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hint="eastAsia" w:ascii="仿宋_GB2312" w:hAnsi="仿宋_GB2312" w:eastAsia="仿宋_GB2312" w:cs="仿宋_GB2312"/>
          <w:sz w:val="32"/>
        </w:rPr>
      </w:pPr>
      <w:r>
        <w:rPr>
          <w:rFonts w:hint="eastAsia" w:ascii="仿宋_GB2312" w:hAnsi="仿宋_GB2312" w:eastAsia="仿宋_GB2312" w:cs="仿宋_GB2312"/>
          <w:sz w:val="32"/>
        </w:rPr>
        <w:t>办公室负责日常政务、办文办会、机要、保密等检务保障工作；政治部负责干部人事、教育培训、党风廉政、司法警务等工作；第一检察部负责普通刑事案件检察工作、社会综合治理工作；第二检察部负责民事检察、行政检察、公益诉讼检察、破坏社会主义市场经济秩序案件、涉生态环境和资源保护、食品药品安全、国有财产保护、国有土地使用权出让领域的刑事案件的检察工作；第三检察部负责控告申诉、刑事执行、案件管理、法律政策研究、职务犯罪案件检察、涉未成年人犯罪案件检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hint="eastAsia" w:ascii="仿宋_GB2312" w:hAnsi="仿宋_GB2312" w:eastAsia="仿宋_GB2312" w:cs="仿宋_GB2312"/>
          <w:sz w:val="32"/>
        </w:rPr>
      </w:pPr>
      <w:r>
        <w:rPr>
          <w:rFonts w:hint="eastAsia" w:ascii="仿宋_GB2312" w:hAnsi="仿宋_GB2312" w:eastAsia="仿宋_GB2312" w:cs="仿宋_GB2312"/>
          <w:sz w:val="32"/>
        </w:rPr>
        <w:t>原有内设机构：办公室、政治处、侦查监督科、公诉科、案件管理办公室、未成年人刑事检察科（含生态环境保护科）、控告申诉检察科、刑事执行检察局、园区检察室等。2019年8月经过内设机构改革，机构整合为办公室、第一检察部、第二检察部、第三检察部、政治部（司法警察大队）。</w:t>
      </w:r>
    </w:p>
    <w:p>
      <w:pPr>
        <w:spacing w:line="584" w:lineRule="exact"/>
        <w:ind w:firstLine="643" w:firstLineChars="200"/>
        <w:rPr>
          <w:rFonts w:hint="eastAsia" w:ascii="仿宋_GB2312" w:hAnsi="仿宋_GB2312" w:eastAsia="仿宋_GB2312" w:cs="仿宋_GB2312"/>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7"/>
        <w:gridCol w:w="1155"/>
        <w:gridCol w:w="1709"/>
        <w:gridCol w:w="25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452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5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70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54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4527" w:type="dxa"/>
            <w:vMerge w:val="continue"/>
            <w:shd w:val="clear" w:color="auto" w:fill="auto"/>
            <w:vAlign w:val="center"/>
          </w:tcPr>
          <w:p/>
        </w:tc>
        <w:tc>
          <w:tcPr>
            <w:tcW w:w="1155" w:type="dxa"/>
            <w:vMerge w:val="continue"/>
            <w:shd w:val="clear" w:color="auto" w:fill="auto"/>
            <w:vAlign w:val="center"/>
          </w:tcPr>
          <w:p/>
        </w:tc>
        <w:tc>
          <w:tcPr>
            <w:tcW w:w="1709" w:type="dxa"/>
            <w:vMerge w:val="continue"/>
            <w:shd w:val="clear" w:color="auto" w:fill="auto"/>
            <w:vAlign w:val="center"/>
          </w:tcPr>
          <w:p/>
        </w:tc>
        <w:tc>
          <w:tcPr>
            <w:tcW w:w="254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4527"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大城县人民检察院</w:t>
            </w:r>
          </w:p>
        </w:tc>
        <w:tc>
          <w:tcPr>
            <w:tcW w:w="1155"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709"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副处（县）级</w:t>
            </w:r>
          </w:p>
        </w:tc>
        <w:tc>
          <w:tcPr>
            <w:tcW w:w="2547"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大城县人民检察院</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1347.47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1347.47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b/>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我院</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1347.47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690.54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632.43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58.11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656.93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eastAsia="zh-CN"/>
        </w:rPr>
        <w:t>和上级财政提前通知转移支付</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检察监督项目、综合业务项目、综合事务管理项目</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1347.47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82.72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52.92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人员类和日常公用</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检察监督、综合业务、综合事务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院</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58.11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检察院</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年，我财政拨款“三公”经费预算安排</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4.1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8.33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我院</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导，以推动“四大检察”“十大业务”全面协调充分发展为目标，抓重点、补短板、强弱项，履行好维护国家政治安全、确保社会大局稳定、促进社会公平正义、保障人民安居乐业的职责任务，全面提高检察工做水平，努力提供更加有力的法治保障。</w:t>
      </w:r>
    </w:p>
    <w:p>
      <w:pPr>
        <w:spacing w:line="584" w:lineRule="exact"/>
        <w:ind w:firstLine="643" w:firstLineChars="200"/>
        <w:rPr>
          <w:rFonts w:hint="eastAsia" w:ascii="楷体_GB2312" w:eastAsia="楷体_GB2312" w:cs="Times New Roman"/>
          <w:b/>
          <w:sz w:val="32"/>
          <w:szCs w:val="32"/>
        </w:rPr>
      </w:pP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1.完成机关日常保障工作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绩效目标：办公室将加大服务管理、综合协调、督促检查工作力度。加强写作能力的培养，提高信息、简报的质量，增加数量，使简报、信息报送的采用率有所突破.</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绩效指标：提高检察干警满意度，提高服务保障水平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2、全面履行侦查监督和审查起诉职能，抓好审查逮捕、立案监督、侦查活动监督、诉讼活动监督、依法指控犯罪。</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绩效目标：受理公安机关提请批准逮捕各类刑事案件，受理各类审查起诉案件、深入开展扫黑除恶，适用认罪认罚制度，推进检务公开。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批准逮捕率达到95%、提起公诉率达到95%、适用认罪认罚达到90%以上，进一步推进检务公开，对人民法院所作判决、裁定已生效的刑事案件起诉书、抗诉书、不起诉决定书、刑事申诉复查决定书等应当公开的法律文书及时予以公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负责案件管理、刑事执行、法律政策研究、控告申诉、职务犯罪案件检察，涉未成年人犯罪案件检察工作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执法监督、涉案财物管理以及案件质量评查等方面开展，羁押必要性审查、社区矫正、财产性执行监督、重大案件侦查终结钱讯问合法性核查，调研、指导性案例编写、受理国家赔偿、刑事申诉、司法救助案件，办理未成年案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绩效指标：案件管理工作在全市排在前三名、羁押必要性审查等达到100%，国家赔偿达到100%，预防未成年犯罪取得良好效果。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民事、行政案件进行监督，提起检察建议书、开展公益诉讼工作。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绩效目标：全年提起检察建议书15份、深入开展公益诉讼工作，加强对民事、行政案件监督。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绩效指标：检察建议采纳率达到95%以上，公益诉讼案件10件。</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助力经济发展。着力服务“三大攻坚战”，努力化解社会重大风险尤其是金融风险，依法严厉惩治非法吸收公众存款、集资诈骗、传销等涉众型经济犯罪；依法治污，推进生态环境保护，深化“两法衔接”平台建设与应用，着力纠正有罪不究、有案不立等违法行为；聚焦决战脱贫攻坚部署，对照“两不愁三保障”要求，认真开展“回头看”，推动帮扶村彻底完成脱贫任务。大力支持民营经济健康发展，严厉打击侵害民营企业合法权益犯罪。</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全面加强法律监督。依法惩治危害社会稳定犯罪，严厉打击重大刑事犯罪和危害人民群众安全感的犯罪。深化扫黑除恶专项斗争，继续在“案件攻坚”上下功夫，提前介入所有黑社会性质组织犯罪。加强民事检察和行政检察工作，实现案结事了人和、案结事了政和。积极推进公益诉讼检察工作，开展为期一年的落实“四个最严”专项监督行动，切实维护国家利益和社会公共利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三是推进智慧检务。以“配置优化，功能完善、安全可靠、统一高效”为目标，加大资金投入，加快远程提讯投入使用，并配备使用桌面云终端、OCR图文识别及智能语音询问系统。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四是锻造过硬队伍。加强诉讼档案归档工作，开展专项清查活动，对照统一业务应用系统特别是没有录入系统的案件登记表认真核对，做到应归尽归。开展培训和岗位练兵，持续深化司法责任制综合配套改革，持续加强全面从严治检。</w:t>
      </w:r>
    </w:p>
    <w:p>
      <w:pPr>
        <w:numPr>
          <w:ilvl w:val="0"/>
          <w:numId w:val="1"/>
        </w:numPr>
        <w:overflowPunct w:val="0"/>
        <w:adjustRightInd w:val="0"/>
        <w:snapToGrid w:val="0"/>
        <w:spacing w:afterLines="50" w:line="580" w:lineRule="exact"/>
        <w:ind w:left="0" w:leftChars="0"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ind w:leftChars="200"/>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2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798"/>
        <w:gridCol w:w="1954"/>
        <w:gridCol w:w="897"/>
        <w:gridCol w:w="1552"/>
        <w:gridCol w:w="2060"/>
        <w:gridCol w:w="586"/>
        <w:gridCol w:w="488"/>
        <w:gridCol w:w="1563"/>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98"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1954"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w:t>
            </w:r>
          </w:p>
        </w:tc>
        <w:tc>
          <w:tcPr>
            <w:tcW w:w="897"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w:t>
            </w:r>
          </w:p>
        </w:tc>
        <w:tc>
          <w:tcPr>
            <w:tcW w:w="1552"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评（扣）分标准</w:t>
            </w:r>
          </w:p>
        </w:tc>
        <w:tc>
          <w:tcPr>
            <w:tcW w:w="2060"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描述</w:t>
            </w:r>
          </w:p>
        </w:tc>
        <w:tc>
          <w:tcPr>
            <w:tcW w:w="2637" w:type="dxa"/>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1229"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7" w:hRule="atLeast"/>
          <w:tblHeader/>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897"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552"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2060"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符号</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值</w:t>
            </w: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单位</w:t>
            </w:r>
          </w:p>
        </w:tc>
        <w:tc>
          <w:tcPr>
            <w:tcW w:w="1229" w:type="dxa"/>
            <w:vMerge w:val="continue"/>
            <w:tcBorders>
              <w:tl2br w:val="nil"/>
              <w:tr2bl w:val="nil"/>
            </w:tcBorders>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98"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部门产出</w:t>
            </w: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保障可是运行数量</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保障科室运行数量</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部</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出庭意见采纳率</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办理全县违法犯罪案件</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07"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当年完成及时性</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打击违法犯罪，提高执法水平</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对于办理案件特定阶段，严格依据相关法律，在特定时间内完成</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成本控制</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成本控制在预算额度内</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严格依据</w:t>
            </w:r>
            <w:r>
              <w:rPr>
                <w:rFonts w:hint="eastAsia" w:ascii="仿宋_GB2312" w:hAnsi="仿宋_GB2312" w:eastAsia="仿宋_GB2312" w:cs="仿宋_GB2312"/>
                <w:sz w:val="21"/>
                <w:szCs w:val="21"/>
                <w:lang w:val="en-US" w:eastAsia="zh-CN"/>
              </w:rPr>
              <w:t>2021年预算执行</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8" w:type="dxa"/>
            <w:vMerge w:val="restart"/>
            <w:tcBorders>
              <w:tl2br w:val="nil"/>
              <w:tr2bl w:val="nil"/>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部门效果</w:t>
            </w: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检察政策知晓率</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社会大众了解法律常识</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01"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保障全县经济发展</w:t>
            </w: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保障全县经济安全发展</w:t>
            </w:r>
          </w:p>
        </w:tc>
        <w:tc>
          <w:tcPr>
            <w:tcW w:w="586"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保障</w:t>
            </w:r>
          </w:p>
        </w:tc>
        <w:tc>
          <w:tcPr>
            <w:tcW w:w="156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建立法制大环境，推进国家治理体系治理能力建设</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7"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155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206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586"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156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长效管理机制健全性</w:t>
            </w:r>
          </w:p>
        </w:tc>
        <w:tc>
          <w:tcPr>
            <w:tcW w:w="155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促进社会稳定，为社会发展提供法制保障</w:t>
            </w:r>
          </w:p>
        </w:tc>
        <w:tc>
          <w:tcPr>
            <w:tcW w:w="58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156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保障持续发展</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9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954"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服务对象满意度</w:t>
            </w:r>
          </w:p>
        </w:tc>
        <w:tc>
          <w:tcPr>
            <w:tcW w:w="155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调查问卷</w:t>
            </w:r>
          </w:p>
        </w:tc>
        <w:tc>
          <w:tcPr>
            <w:tcW w:w="2060" w:type="dxa"/>
            <w:tcBorders>
              <w:tl2br w:val="nil"/>
              <w:tr2bl w:val="nil"/>
            </w:tcBorders>
            <w:noWrap/>
            <w:vAlign w:val="center"/>
          </w:tcPr>
          <w:p>
            <w:pPr>
              <w:widowControl/>
              <w:adjustRightInd w:val="0"/>
              <w:snapToGrid w:val="0"/>
              <w:ind w:firstLine="229"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满意法律服务</w:t>
            </w:r>
          </w:p>
        </w:tc>
        <w:tc>
          <w:tcPr>
            <w:tcW w:w="586"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156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使得法律服务对象满意</w:t>
            </w:r>
          </w:p>
        </w:tc>
        <w:tc>
          <w:tcPr>
            <w:tcW w:w="122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numPr>
          <w:ilvl w:val="0"/>
          <w:numId w:val="0"/>
        </w:numPr>
        <w:spacing w:line="584" w:lineRule="exact"/>
        <w:rPr>
          <w:rFonts w:hint="eastAsia" w:ascii="Times New Roman" w:hAnsi="Times New Roman" w:eastAsia="黑体" w:cs="Times New Roman"/>
          <w:sz w:val="32"/>
          <w:szCs w:val="32"/>
        </w:rPr>
      </w:pPr>
    </w:p>
    <w:p>
      <w:pPr>
        <w:numPr>
          <w:ilvl w:val="0"/>
          <w:numId w:val="0"/>
        </w:numPr>
        <w:spacing w:line="584" w:lineRule="exact"/>
        <w:rPr>
          <w:rFonts w:hint="eastAsia" w:ascii="Times New Roman" w:hAnsi="Times New Roman" w:eastAsia="黑体" w:cs="Times New Roman"/>
          <w:sz w:val="32"/>
          <w:szCs w:val="32"/>
        </w:rPr>
      </w:pPr>
    </w:p>
    <w:p>
      <w:pPr>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方正仿宋_GBK" w:eastAsia="方正仿宋_GBK"/>
          <w:b/>
          <w:sz w:val="28"/>
        </w:rPr>
        <w:t>司法警察工资及保险绩效目标表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1.增强职工归属感，保障办公正常运转。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2.提升检察机关法律监督能力。</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3.保持职工队伍相对稳定。</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发放工资人数</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包括30名司法警察人员</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30人</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当年完成及时性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项目工作开展完成及时性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≤130.05万元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加强工作归属感</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通过加强按时发放工资，进一步增强干部职工归属感，保持干部职工稳定性，保障办公正常运转</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2、关于提前下达2021年中央政法纪检监察转移支付资金—上级（装备）绩效目标表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1.保障社会稳定，维护国家安全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2.成本控制在60万元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3.提高工作质量和效率</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购买设备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包括电脑、显示系统等</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≥50台</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群体满意度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社会公众满意度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ind w:firstLine="422" w:firstLineChars="200"/>
        <w:jc w:val="left"/>
        <w:rPr>
          <w:rFonts w:hint="eastAsia" w:ascii="仿宋_GB2312" w:hAnsi="仿宋_GB2312" w:eastAsia="仿宋_GB2312" w:cs="仿宋_GB2312"/>
          <w:b/>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3、关于提前下达2020年中央政法纪检检察转移支付资金绩效目标表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1.保障国家法律的正确实施.</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2.保障人权,维护司法公正.</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3.成本控制在预算额度内6.8万元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≤6.8万元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ind w:firstLine="422" w:firstLineChars="200"/>
        <w:jc w:val="left"/>
        <w:rPr>
          <w:rFonts w:hint="eastAsia" w:ascii="仿宋_GB2312" w:hAnsi="仿宋_GB2312" w:eastAsia="仿宋_GB2312" w:cs="仿宋_GB2312"/>
          <w:b/>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4、办公楼节能改造工程绩效目标表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1.节能减排，满足生态环境需求。</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2.优化办公环境。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3.成本控制在预算额度内30万元。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节能改造修缮面积</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办公楼节能改造修缮面积值</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906平方米</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竣工合格占总修缮面积</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当年完成及时率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竣工完成面积占总修缮面积</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节约能源</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节约能源效果</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节能减排效果</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节能值占总能量值</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改造后房屋使用安全期限</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办公楼使用年限</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≥30年</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干警满意度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5、建档立卡扶贫专项经费绩效目标表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1.提高贫困户生活质量。</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2.有效进行脱贫工作。</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3.落实政策，提高公共卫生服务水平。</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扶贫工作完成情况占业务工作任务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扶贫工作高质量完成情况</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扶贫工作高质量完成情况占我院业务工作任务比率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扶贫工作开展完成及时性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区域内主要污染病，地方病发病率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扶贫人员发病占健康率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健康扶贫政策知晓率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社会大众了解扶贫知识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基本公共卫生服务水平</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反应我县扶贫人员生活水平</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受益群众满意度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bl>
    <w:p>
      <w:pPr>
        <w:spacing w:line="300" w:lineRule="exact"/>
        <w:jc w:val="left"/>
        <w:rPr>
          <w:rFonts w:hint="eastAsia" w:ascii="仿宋" w:hAnsi="仿宋" w:eastAsia="仿宋" w:cs="仿宋"/>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6、检委会专用会议室绩效目标表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1.提高工作效率和质量</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2.成本控制在预算额度内20万元。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3.优化办公环境，提升办案效率</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购买系统</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包括无纸化、扩声、显示系统等</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4套</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群体满意度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 w:hAnsi="仿宋" w:eastAsia="仿宋" w:cs="仿宋"/>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7、聘用制书记员工资及保险绩效目标表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1.保障检察工作的顺利开展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2.增强干部队伍的归属感</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3.提升检察机关法律监督能力。</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发放工资人数</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包括13名书记员</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13人</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当年完成及时性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项目工作开展完成及时性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67.52万元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加强工作人员归属感</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通过加强按时发放工资，进一步增强干部职工归属感，保持干部队伍相对稳定，保障办公正</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8、检察院听证室系统设备绩效目标表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1.优化办公环境，提高办案效率。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2.按照智慧检务的要求建设高标准、现代化专用会议室。</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3.成本控制在预算额度内30万元。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购买设备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包括检察院端设备、看守所端设备、互联网设备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3套</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群体满意度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社会公众满意度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9、关于提前下达2021年中央政法纪检监察转移支付资金—上级（业务）绩效目标表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1.保障国家法律的正确实施。</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2.保障人权，维护司法公正</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3.成本控制在预算额度内81万元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10、一站式询问救助站绩效目标表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1.优化办公环境，提高办案质量。</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2.成本控制在预算额度内2万元。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3.对未成年被害人实施有针对性的关爱救助。</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采购设备数量</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包括同录设备、电脑桌等</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≥28台</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群体满意度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社会公众满意度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422" w:firstLineChars="200"/>
        <w:jc w:val="left"/>
        <w:rPr>
          <w:rFonts w:hint="eastAsia" w:ascii="仿宋_GB2312" w:hAnsi="仿宋_GB2312" w:eastAsia="仿宋_GB2312" w:cs="仿宋_GB2312"/>
          <w:b/>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11、综合业务管理绩效目标表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1.促进司法公正，维护社会稳定。</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2.保障国家法律正确实施。</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3.惩罚犯罪活动，保障国家安全。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12、临时人员工资绩效目标表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1.保障检察工作的正常开展。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2.提升检察工作的法律监督能力。</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3.加强按时发放工资，进一步增强干部职工归属感。</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发放工资人数</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包括4名临时人员</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4人</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当年完成及时性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项目工作开展完成及时性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≤11.76万元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加强工作人员归属感</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通过加强按时发放工资，进一步增强干部职工归属感，保持干部队伍相对稳定，保障办公正</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 w:hAnsi="仿宋" w:eastAsia="仿宋" w:cs="仿宋"/>
          <w:sz w:val="21"/>
          <w:szCs w:val="21"/>
        </w:rPr>
      </w:pPr>
    </w:p>
    <w:p>
      <w:pPr>
        <w:ind w:firstLine="422" w:firstLineChars="200"/>
        <w:jc w:val="left"/>
        <w:rPr>
          <w:rFonts w:hint="eastAsia" w:ascii="仿宋" w:hAnsi="仿宋" w:eastAsia="仿宋" w:cs="仿宋"/>
          <w:b/>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13、综合事务管理绩效目标表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1.惩罚犯罪活动，保护国家安全。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2.保障公民、法人和其他组织的合法权益。</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3.成本控制在预算额度内5万元。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 w:hAnsi="仿宋" w:eastAsia="仿宋" w:cs="仿宋"/>
          <w:sz w:val="21"/>
          <w:szCs w:val="21"/>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14、关于提前下达2021年省级基层公检法转移支付资金—上级（业务）绩效目标表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1.保障国家安全的正确实施。</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2.保障人权，维护司法公正。</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3.成本控制在预算额度内。</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工作完成合格占中和业务工作任务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15、检察监督绩效目标表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1.保障人民安全，维护司法公正。</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2.成本控制在25万内。</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3.促进司法公正，维护社会稳定。</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工作完成情况占综合业务工作任务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长效管理机制健全性情况</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群众访谈</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包括访谈本县群众，了解满意度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16、关于提前下达2021年省级基层公检法司转移支付资金—上级（装备）绩效目标表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1.保障社会稳定，维护社会安全。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2.成本控制在预算额度内60万元。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3.提高工作效率和质量。</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购买设备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包括无纸化、扩声、显示系统等。</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≥42台</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办结案件占所有的比率</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长效管理机制健全性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群体满意度</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社会公众满意度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17、2021年检察官等人员绩效奖金绩效目标表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1.保障检察工作的正常开展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2.正常发放职工工资福利，保障单位正常运转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3.增强干部职工的归属感，保持干部队伍的稳定性</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发放津贴人数</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包括在职干警</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27人</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工作完成合格占综合业务工作任务</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当年完成及时性</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项目工作开展完成及时性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≤69万元</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保障经济发展</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保障经济安全发展</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检察政策知晓率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社会大众了解法律常识</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仿宋_GB2312" w:eastAsia="仿宋_GB2312" w:cs="仿宋_GB2312"/>
                <w:sz w:val="21"/>
                <w:szCs w:val="21"/>
              </w:rPr>
            </w:pP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长效管理机制</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反应长效管理机制健全性情况</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加强工作人员归属感</w:t>
            </w:r>
          </w:p>
        </w:tc>
        <w:tc>
          <w:tcPr>
            <w:tcW w:w="2835"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通过加强按时发放绩效，进一步增强干部职工归属感，保持干部队伍的相对稳定性</w:t>
            </w:r>
          </w:p>
        </w:tc>
        <w:tc>
          <w:tcPr>
            <w:tcW w:w="2551"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autoSpaceDE w:val="0"/>
        <w:autoSpaceDN w:val="0"/>
        <w:adjustRightInd w:val="0"/>
        <w:spacing w:line="584" w:lineRule="exact"/>
        <w:ind w:firstLine="420" w:firstLineChars="200"/>
        <w:jc w:val="left"/>
        <w:rPr>
          <w:rFonts w:hint="eastAsia" w:ascii="仿宋_GB2312" w:hAnsi="仿宋_GB2312" w:eastAsia="仿宋_GB2312" w:cs="仿宋_GB2312"/>
          <w:sz w:val="21"/>
          <w:szCs w:val="21"/>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firstLineChars="200"/>
        <w:jc w:val="left"/>
        <w:rPr>
          <w:rFonts w:hint="eastAsia" w:hAnsi="宋体"/>
          <w:sz w:val="28"/>
        </w:rPr>
      </w:pPr>
      <w:bookmarkStart w:id="0" w:name="_Toc471398468"/>
      <w:r>
        <w:rPr>
          <w:rFonts w:hint="eastAsia" w:eastAsia="方正仿宋_GBK"/>
          <w:sz w:val="28"/>
        </w:rPr>
        <w:t>2021年，大城县人民检察院本级安排政府采购预算157.74万元。</w:t>
      </w:r>
    </w:p>
    <w:p>
      <w:pPr>
        <w:jc w:val="center"/>
        <w:rPr>
          <w:rFonts w:hint="eastAsia" w:hAnsi="宋体"/>
          <w:sz w:val="36"/>
        </w:rPr>
      </w:pPr>
      <w:r>
        <w:rPr>
          <w:rFonts w:hint="eastAsia" w:ascii="方正小标宋_GBK" w:eastAsia="方正小标宋_GBK"/>
          <w:sz w:val="36"/>
        </w:rPr>
        <w:t>单位政府采购预算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151001</w:t>
            </w:r>
            <w:r>
              <w:rPr>
                <w:rFonts w:hint="eastAsia" w:ascii="方正小标宋_GBK" w:eastAsia="方正小标宋_GBK"/>
                <w:sz w:val="24"/>
              </w:rPr>
              <w:t>大城县人民检察院本级</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1531"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1531"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09"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计量  单位</w:t>
            </w:r>
          </w:p>
        </w:tc>
        <w:tc>
          <w:tcPr>
            <w:tcW w:w="907"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907"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804" w:type="dxa"/>
            <w:gridSpan w:val="6"/>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1531" w:type="dxa"/>
            <w:vMerge w:val="continue"/>
            <w:noWrap w:val="0"/>
            <w:vAlign w:val="center"/>
          </w:tcPr>
          <w:p>
            <w:pPr>
              <w:spacing w:line="300" w:lineRule="exact"/>
              <w:jc w:val="left"/>
              <w:rPr>
                <w:rFonts w:hint="eastAsia" w:ascii="仿宋_GB2312" w:hAnsi="仿宋_GB2312" w:eastAsia="仿宋_GB2312" w:cs="仿宋_GB2312"/>
              </w:rPr>
            </w:pPr>
          </w:p>
        </w:tc>
        <w:tc>
          <w:tcPr>
            <w:tcW w:w="1531" w:type="dxa"/>
            <w:vMerge w:val="continue"/>
            <w:noWrap w:val="0"/>
            <w:vAlign w:val="center"/>
          </w:tcPr>
          <w:p>
            <w:pPr>
              <w:spacing w:line="300" w:lineRule="exact"/>
              <w:jc w:val="left"/>
              <w:rPr>
                <w:rFonts w:hint="eastAsia" w:ascii="仿宋_GB2312" w:hAnsi="仿宋_GB2312" w:eastAsia="仿宋_GB2312" w:cs="仿宋_GB2312"/>
              </w:rPr>
            </w:pPr>
          </w:p>
        </w:tc>
        <w:tc>
          <w:tcPr>
            <w:tcW w:w="709" w:type="dxa"/>
            <w:vMerge w:val="continue"/>
            <w:noWrap w:val="0"/>
            <w:vAlign w:val="center"/>
          </w:tcPr>
          <w:p>
            <w:pPr>
              <w:spacing w:line="300" w:lineRule="exact"/>
              <w:jc w:val="left"/>
              <w:rPr>
                <w:rFonts w:hint="eastAsia" w:ascii="仿宋_GB2312" w:hAnsi="仿宋_GB2312" w:eastAsia="仿宋_GB2312" w:cs="仿宋_GB2312"/>
              </w:rPr>
            </w:pPr>
          </w:p>
        </w:tc>
        <w:tc>
          <w:tcPr>
            <w:tcW w:w="907" w:type="dxa"/>
            <w:vMerge w:val="continue"/>
            <w:noWrap w:val="0"/>
            <w:vAlign w:val="center"/>
          </w:tcPr>
          <w:p>
            <w:pPr>
              <w:spacing w:line="300" w:lineRule="exact"/>
              <w:jc w:val="left"/>
              <w:rPr>
                <w:rFonts w:hint="eastAsia" w:ascii="仿宋_GB2312" w:hAnsi="仿宋_GB2312" w:eastAsia="仿宋_GB2312" w:cs="仿宋_GB2312"/>
              </w:rPr>
            </w:pPr>
          </w:p>
        </w:tc>
        <w:tc>
          <w:tcPr>
            <w:tcW w:w="907" w:type="dxa"/>
            <w:vMerge w:val="continue"/>
            <w:noWrap w:val="0"/>
            <w:vAlign w:val="center"/>
          </w:tcPr>
          <w:p>
            <w:pPr>
              <w:spacing w:line="300" w:lineRule="exact"/>
              <w:jc w:val="left"/>
              <w:rPr>
                <w:rFonts w:hint="eastAsia" w:ascii="仿宋_GB2312" w:hAnsi="仿宋_GB2312" w:eastAsia="仿宋_GB2312" w:cs="仿宋_GB2312"/>
              </w:rPr>
            </w:pP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国有资本经营预算拨款</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113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134" w:type="dxa"/>
            <w:noWrap w:val="0"/>
            <w:vAlign w:val="center"/>
          </w:tcPr>
          <w:p>
            <w:pPr>
              <w:spacing w:line="300" w:lineRule="exact"/>
              <w:jc w:val="right"/>
              <w:rPr>
                <w:rFonts w:hint="default" w:ascii="仿宋_GB2312" w:hAnsi="仿宋_GB2312" w:eastAsia="仿宋_GB2312" w:cs="仿宋_GB2312"/>
                <w:b/>
                <w:lang w:val="en-US" w:eastAsia="zh-CN"/>
              </w:rPr>
            </w:pPr>
            <w:r>
              <w:rPr>
                <w:rFonts w:hint="eastAsia" w:ascii="仿宋_GB2312" w:hAnsi="仿宋_GB2312" w:eastAsia="仿宋_GB2312" w:cs="仿宋_GB2312"/>
                <w:b/>
                <w:lang w:val="en-US" w:eastAsia="zh-CN"/>
              </w:rPr>
              <w:t>190.00</w:t>
            </w:r>
          </w:p>
        </w:tc>
        <w:tc>
          <w:tcPr>
            <w:tcW w:w="1531" w:type="dxa"/>
            <w:noWrap w:val="0"/>
            <w:vAlign w:val="center"/>
          </w:tcPr>
          <w:p>
            <w:pPr>
              <w:spacing w:line="300" w:lineRule="exact"/>
              <w:jc w:val="left"/>
              <w:rPr>
                <w:rFonts w:hint="eastAsia" w:ascii="仿宋_GB2312" w:hAnsi="仿宋_GB2312" w:eastAsia="仿宋_GB2312" w:cs="仿宋_GB2312"/>
                <w:b/>
              </w:rPr>
            </w:pPr>
          </w:p>
        </w:tc>
        <w:tc>
          <w:tcPr>
            <w:tcW w:w="1531" w:type="dxa"/>
            <w:noWrap w:val="0"/>
            <w:vAlign w:val="center"/>
          </w:tcPr>
          <w:p>
            <w:pPr>
              <w:spacing w:line="300" w:lineRule="exact"/>
              <w:jc w:val="left"/>
              <w:rPr>
                <w:rFonts w:hint="eastAsia" w:ascii="仿宋_GB2312" w:hAnsi="仿宋_GB2312" w:eastAsia="仿宋_GB2312" w:cs="仿宋_GB2312"/>
                <w:b/>
              </w:rPr>
            </w:pPr>
          </w:p>
        </w:tc>
        <w:tc>
          <w:tcPr>
            <w:tcW w:w="709" w:type="dxa"/>
            <w:noWrap w:val="0"/>
            <w:vAlign w:val="center"/>
          </w:tcPr>
          <w:p>
            <w:pPr>
              <w:spacing w:line="300" w:lineRule="exact"/>
              <w:jc w:val="center"/>
              <w:rPr>
                <w:rFonts w:hint="eastAsia" w:ascii="仿宋_GB2312" w:hAnsi="仿宋_GB2312" w:eastAsia="仿宋_GB2312" w:cs="仿宋_GB2312"/>
                <w:b/>
              </w:rPr>
            </w:pPr>
          </w:p>
        </w:tc>
        <w:tc>
          <w:tcPr>
            <w:tcW w:w="907" w:type="dxa"/>
            <w:noWrap w:val="0"/>
            <w:vAlign w:val="center"/>
          </w:tcPr>
          <w:p>
            <w:pPr>
              <w:spacing w:line="300" w:lineRule="exact"/>
              <w:jc w:val="right"/>
              <w:rPr>
                <w:rFonts w:hint="eastAsia" w:ascii="仿宋_GB2312" w:hAnsi="仿宋_GB2312" w:eastAsia="仿宋_GB2312" w:cs="仿宋_GB2312"/>
                <w:b/>
              </w:rPr>
            </w:pPr>
          </w:p>
        </w:tc>
        <w:tc>
          <w:tcPr>
            <w:tcW w:w="907" w:type="dxa"/>
            <w:noWrap w:val="0"/>
            <w:vAlign w:val="center"/>
          </w:tcPr>
          <w:p>
            <w:pPr>
              <w:spacing w:line="300" w:lineRule="exact"/>
              <w:jc w:val="right"/>
              <w:rPr>
                <w:rFonts w:hint="eastAsia" w:ascii="仿宋_GB2312" w:hAnsi="仿宋_GB2312" w:eastAsia="仿宋_GB2312" w:cs="仿宋_GB2312"/>
                <w:b/>
              </w:rPr>
            </w:pPr>
          </w:p>
        </w:tc>
        <w:tc>
          <w:tcPr>
            <w:tcW w:w="1134"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157.74</w:t>
            </w:r>
          </w:p>
        </w:tc>
        <w:tc>
          <w:tcPr>
            <w:tcW w:w="1134"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157.74</w:t>
            </w:r>
          </w:p>
        </w:tc>
        <w:tc>
          <w:tcPr>
            <w:tcW w:w="1134" w:type="dxa"/>
            <w:noWrap w:val="0"/>
            <w:vAlign w:val="center"/>
          </w:tcPr>
          <w:p>
            <w:pPr>
              <w:spacing w:line="300" w:lineRule="exact"/>
              <w:jc w:val="right"/>
              <w:rPr>
                <w:rFonts w:hint="eastAsia" w:ascii="仿宋_GB2312" w:hAnsi="仿宋_GB2312" w:eastAsia="仿宋_GB2312" w:cs="仿宋_GB2312"/>
                <w:b/>
              </w:rPr>
            </w:pPr>
          </w:p>
        </w:tc>
        <w:tc>
          <w:tcPr>
            <w:tcW w:w="1134" w:type="dxa"/>
            <w:noWrap w:val="0"/>
            <w:vAlign w:val="center"/>
          </w:tcPr>
          <w:p>
            <w:pPr>
              <w:spacing w:line="300" w:lineRule="exact"/>
              <w:jc w:val="right"/>
              <w:rPr>
                <w:rFonts w:hint="eastAsia" w:ascii="仿宋_GB2312" w:hAnsi="仿宋_GB2312" w:eastAsia="仿宋_GB2312" w:cs="仿宋_GB2312"/>
                <w:b/>
              </w:rPr>
            </w:pPr>
          </w:p>
        </w:tc>
        <w:tc>
          <w:tcPr>
            <w:tcW w:w="1134" w:type="dxa"/>
            <w:noWrap w:val="0"/>
            <w:vAlign w:val="center"/>
          </w:tcPr>
          <w:p>
            <w:pPr>
              <w:spacing w:line="300" w:lineRule="exact"/>
              <w:jc w:val="right"/>
              <w:rPr>
                <w:rFonts w:hint="eastAsia" w:ascii="仿宋_GB2312" w:hAnsi="仿宋_GB2312" w:eastAsia="仿宋_GB2312" w:cs="仿宋_GB2312"/>
                <w:b/>
              </w:rPr>
            </w:pPr>
          </w:p>
        </w:tc>
        <w:tc>
          <w:tcPr>
            <w:tcW w:w="1134" w:type="dxa"/>
            <w:noWrap w:val="0"/>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办公楼节能改造工程</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其他服务</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C99</w:t>
            </w:r>
          </w:p>
        </w:tc>
        <w:tc>
          <w:tcPr>
            <w:tcW w:w="7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1</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检察院听证室系统设备</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其他服务</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C99</w:t>
            </w:r>
          </w:p>
        </w:tc>
        <w:tc>
          <w:tcPr>
            <w:tcW w:w="7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1</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30.00</w:t>
            </w: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检委会专用会议室</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20.00</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其他服务</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C99</w:t>
            </w:r>
          </w:p>
        </w:tc>
        <w:tc>
          <w:tcPr>
            <w:tcW w:w="7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907" w:type="dxa"/>
            <w:noWrap w:val="0"/>
            <w:vAlign w:val="center"/>
          </w:tcPr>
          <w:p>
            <w:pPr>
              <w:spacing w:line="300" w:lineRule="exact"/>
              <w:jc w:val="righ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lang w:val="en-US" w:eastAsia="zh-CN"/>
              </w:rPr>
              <w:t>20</w:t>
            </w:r>
            <w:r>
              <w:rPr>
                <w:rFonts w:hint="eastAsia" w:ascii="仿宋_GB2312" w:hAnsi="仿宋_GB2312" w:eastAsia="仿宋_GB2312" w:cs="仿宋_GB2312"/>
              </w:rPr>
              <w:t>.00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20.00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20.00</w:t>
            </w: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关于提前下达2021年省级基层公检法司转移支付资金</w:t>
            </w:r>
            <w:r>
              <w:rPr>
                <w:rFonts w:hint="eastAsia" w:ascii="仿宋_GB2312" w:hAnsi="仿宋_GB2312" w:eastAsia="仿宋_GB2312" w:cs="仿宋_GB2312"/>
                <w:cs/>
              </w:rPr>
              <w:t>—</w:t>
            </w:r>
            <w:r>
              <w:rPr>
                <w:rFonts w:hint="eastAsia" w:ascii="仿宋_GB2312" w:hAnsi="仿宋_GB2312" w:eastAsia="仿宋_GB2312" w:cs="仿宋_GB2312"/>
              </w:rPr>
              <w:t>上级（装备）</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50.00</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其他服务</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C99</w:t>
            </w:r>
          </w:p>
        </w:tc>
        <w:tc>
          <w:tcPr>
            <w:tcW w:w="7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1</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40.00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40.00</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40.00</w:t>
            </w: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关于提前下达2021年中央政法纪检监察转移支付资金</w:t>
            </w:r>
            <w:r>
              <w:rPr>
                <w:rFonts w:hint="eastAsia" w:ascii="仿宋_GB2312" w:hAnsi="仿宋_GB2312" w:eastAsia="仿宋_GB2312" w:cs="仿宋_GB2312"/>
                <w:cs/>
              </w:rPr>
              <w:t>—</w:t>
            </w:r>
            <w:r>
              <w:rPr>
                <w:rFonts w:hint="eastAsia" w:ascii="仿宋_GB2312" w:hAnsi="仿宋_GB2312" w:eastAsia="仿宋_GB2312" w:cs="仿宋_GB2312"/>
              </w:rPr>
              <w:t>上级（装备）</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60.00</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其他服务</w:t>
            </w:r>
          </w:p>
        </w:tc>
        <w:tc>
          <w:tcPr>
            <w:tcW w:w="153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C99</w:t>
            </w:r>
          </w:p>
        </w:tc>
        <w:tc>
          <w:tcPr>
            <w:tcW w:w="7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1</w:t>
            </w:r>
          </w:p>
        </w:tc>
        <w:tc>
          <w:tcPr>
            <w:tcW w:w="90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37.74</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37.74</w:t>
            </w:r>
          </w:p>
        </w:tc>
        <w:tc>
          <w:tcPr>
            <w:tcW w:w="113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37.74</w:t>
            </w: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c>
          <w:tcPr>
            <w:tcW w:w="1134" w:type="dxa"/>
            <w:noWrap w:val="0"/>
            <w:vAlign w:val="center"/>
          </w:tcPr>
          <w:p>
            <w:pPr>
              <w:spacing w:line="300" w:lineRule="exact"/>
              <w:jc w:val="right"/>
              <w:rPr>
                <w:rFonts w:hint="eastAsia" w:ascii="仿宋_GB2312" w:hAnsi="仿宋_GB2312" w:eastAsia="仿宋_GB2312" w:cs="仿宋_GB2312"/>
              </w:rPr>
            </w:pPr>
          </w:p>
        </w:tc>
      </w:tr>
      <w:bookmarkEnd w:id="0"/>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我院</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2009.47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157.74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大城县人民检察院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2009.47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2200" w:firstLineChars="1000"/>
              <w:jc w:val="both"/>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205.10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bookmarkStart w:id="1" w:name="_GoBack"/>
            <w:bookmarkEnd w:id="1"/>
            <w:r>
              <w:rPr>
                <w:rFonts w:hint="eastAsia" w:ascii="Times New Roman" w:hAnsi="Times New Roman" w:eastAsia="仿宋_GB2312" w:cs="Times New Roman"/>
                <w:sz w:val="22"/>
                <w:lang w:val="en-US" w:eastAsia="zh-CN"/>
              </w:rPr>
              <w:t>539.7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本级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5D8B5"/>
    <w:multiLevelType w:val="singleLevel"/>
    <w:tmpl w:val="EE55D8B5"/>
    <w:lvl w:ilvl="0" w:tentative="0">
      <w:start w:val="2"/>
      <w:numFmt w:val="chineseCounting"/>
      <w:suff w:val="nothing"/>
      <w:lvlText w:val="（%1）"/>
      <w:lvlJc w:val="left"/>
      <w:rPr>
        <w:rFonts w:hint="eastAsia"/>
      </w:rPr>
    </w:lvl>
  </w:abstractNum>
  <w:abstractNum w:abstractNumId="1">
    <w:nsid w:val="00EED92E"/>
    <w:multiLevelType w:val="singleLevel"/>
    <w:tmpl w:val="00EED92E"/>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WU4YWQ4MTMyMWUzZTBjN2VkMTIxYTE1MDVkOGQifQ=="/>
  </w:docVars>
  <w:rsids>
    <w:rsidRoot w:val="00D347CC"/>
    <w:rsid w:val="004A54AA"/>
    <w:rsid w:val="00B80935"/>
    <w:rsid w:val="00D347CC"/>
    <w:rsid w:val="02732F88"/>
    <w:rsid w:val="040B4E22"/>
    <w:rsid w:val="0AA536EB"/>
    <w:rsid w:val="0EEA61B9"/>
    <w:rsid w:val="0F7400E8"/>
    <w:rsid w:val="112759D4"/>
    <w:rsid w:val="13463021"/>
    <w:rsid w:val="135E1307"/>
    <w:rsid w:val="172B2BA6"/>
    <w:rsid w:val="1D51156E"/>
    <w:rsid w:val="1F6D2B4B"/>
    <w:rsid w:val="221C6FF2"/>
    <w:rsid w:val="238B5714"/>
    <w:rsid w:val="32904240"/>
    <w:rsid w:val="36201CDB"/>
    <w:rsid w:val="3F8A033F"/>
    <w:rsid w:val="453418D1"/>
    <w:rsid w:val="46C74A97"/>
    <w:rsid w:val="46E71798"/>
    <w:rsid w:val="4CD074AB"/>
    <w:rsid w:val="513B0701"/>
    <w:rsid w:val="5415260B"/>
    <w:rsid w:val="55E73D2F"/>
    <w:rsid w:val="590605A0"/>
    <w:rsid w:val="5D197800"/>
    <w:rsid w:val="5E5848B8"/>
    <w:rsid w:val="68B52E04"/>
    <w:rsid w:val="6D0D4676"/>
    <w:rsid w:val="735016A6"/>
    <w:rsid w:val="7A411B9B"/>
    <w:rsid w:val="7E93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10074</Words>
  <Characters>10666</Characters>
  <Lines>23</Lines>
  <Paragraphs>6</Paragraphs>
  <TotalTime>27</TotalTime>
  <ScaleCrop>false</ScaleCrop>
  <LinksUpToDate>false</LinksUpToDate>
  <CharactersWithSpaces>10696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办公室</cp:lastModifiedBy>
  <cp:lastPrinted>2018-01-30T06:12:00Z</cp:lastPrinted>
  <dcterms:modified xsi:type="dcterms:W3CDTF">2022-07-28T07:39:16Z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660B625E9CA3413183E8FB3347EE2999</vt:lpwstr>
  </property>
</Properties>
</file>