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大城县气象</w:t>
      </w:r>
      <w:r>
        <w:rPr>
          <w:rFonts w:hint="eastAsia" w:ascii="Times New Roman" w:hAnsi="Times New Roman" w:eastAsia="方正小标宋简体" w:cs="Times New Roman"/>
          <w:sz w:val="44"/>
          <w:szCs w:val="44"/>
          <w:lang w:val="en-US" w:eastAsia="zh-CN"/>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大城县气象</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keepNext w:val="0"/>
        <w:keepLines w:val="0"/>
        <w:pageBreakBefore w:val="0"/>
        <w:widowControl w:val="0"/>
        <w:kinsoku/>
        <w:wordWrap/>
        <w:topLinePunct w:val="0"/>
        <w:bidi w:val="0"/>
        <w:spacing w:line="560" w:lineRule="exact"/>
        <w:ind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大城县气象系统各级管理机构实行上级气象主管机构与本级人民政府双重领导，以上级气象主管机构领导为主的管理体制。在上级气象主管机构和本级人民政府的领导下，根据授权承担本行政区域内气象工作的政府行政管理职能，依法履行气象主管机构的各项职责，主要职责是：</w:t>
      </w:r>
    </w:p>
    <w:p>
      <w:pPr>
        <w:keepNext w:val="0"/>
        <w:keepLines w:val="0"/>
        <w:pageBreakBefore w:val="0"/>
        <w:widowControl w:val="0"/>
        <w:kinsoku/>
        <w:wordWrap/>
        <w:overflowPunct/>
        <w:topLinePunct w:val="0"/>
        <w:autoSpaceDE/>
        <w:autoSpaceDN/>
        <w:bidi w:val="0"/>
        <w:adjustRightInd/>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1.负责本行政区域内气象事业发展规划的制定及气象工作的组织实施；对本行政区域内的气象活动进行指导、监督和行业管理。</w:t>
      </w:r>
    </w:p>
    <w:p>
      <w:pPr>
        <w:keepNext w:val="0"/>
        <w:keepLines w:val="0"/>
        <w:pageBreakBefore w:val="0"/>
        <w:widowControl w:val="0"/>
        <w:kinsoku/>
        <w:wordWrap/>
        <w:overflowPunct/>
        <w:topLinePunct w:val="0"/>
        <w:autoSpaceDE/>
        <w:autoSpaceDN/>
        <w:bidi w:val="0"/>
        <w:adjustRightInd/>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2.组织管理本行政区域内气象灾害防御工作；组织拟订和实施本行政区域的气象灾害防御规划；管理本行政区域人工影响天气工作，指导和组织人工影响天气作业；指导城乡气象工作，组织推进农村气象灾害防御体系和气象服务体系建设，组织指导乡镇（街道）气象工作站和气象协理员、信息员队伍建设。</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3.组织管理本行政区域内雷电灾害防御工作，会同有关部门指导对可能遭受袭击的建筑物、构筑物和其它设施安装的雷电灾害防护装置的检测工作；负责本行政区域内雷电灾害防护装置的设计审核和竣工验收；负责管理本行政区域内的施放气球活动。</w:t>
      </w:r>
    </w:p>
    <w:p>
      <w:pPr>
        <w:keepNext w:val="0"/>
        <w:keepLines w:val="0"/>
        <w:pageBreakBefore w:val="0"/>
        <w:widowControl w:val="0"/>
        <w:kinsoku/>
        <w:wordWrap/>
        <w:topLinePunct w:val="0"/>
        <w:autoSpaceDE w:val="0"/>
        <w:autoSpaceDN w:val="0"/>
        <w:bidi w:val="0"/>
        <w:adjustRightIn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4.组织本行政区域内气候资源的综合调查、区划，指导气候资源的开发利用和保护，组织并审查重点建设工程、重大区域经济开发项目和城乡建设规划的气候可行性论证和气象灾害风险评估。</w:t>
      </w:r>
    </w:p>
    <w:p>
      <w:pPr>
        <w:keepNext w:val="0"/>
        <w:keepLines w:val="0"/>
        <w:pageBreakBefore w:val="0"/>
        <w:widowControl w:val="0"/>
        <w:kinsoku/>
        <w:wordWrap/>
        <w:topLinePunct w:val="0"/>
        <w:autoSpaceDE w:val="0"/>
        <w:autoSpaceDN w:val="0"/>
        <w:bidi w:val="0"/>
        <w:adjustRightIn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6.负责本行政区域内的气象监测、预报、预警、公共服务管理工作；组织管理本行政区域内气象信息的发布和传播；组织重大活动、突发公共事件气象保障工作；承担重大突发公共事件预警信息发布系统建设及运行维护。</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7.组织开展气象法制宣传教育，负责监督有关气象法律法规的实施，对违反《中华人民共和国气象法》等法律法规有关规定的行为依法进行处罚，承担有关行政诉讼；组织宣传、普及气象科学知识。</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8.管理本级气象部门内部的计划财务、人事劳动、队伍建设、教育培训和业务建设；负责气象部门双重计划财务体制的落实工作；负责党的建设、精神文明和气象文化建设。</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9.承担上级气象主管机构和本级人民政府交办的其他事项。</w:t>
      </w:r>
    </w:p>
    <w:p>
      <w:pPr>
        <w:keepNext w:val="0"/>
        <w:keepLines w:val="0"/>
        <w:pageBreakBefore w:val="0"/>
        <w:widowControl w:val="0"/>
        <w:kinsoku/>
        <w:wordWrap/>
        <w:topLinePunct w:val="0"/>
        <w:autoSpaceDE w:val="0"/>
        <w:autoSpaceDN w:val="0"/>
        <w:bidi w:val="0"/>
        <w:adjustRightInd w:val="0"/>
        <w:spacing w:line="560" w:lineRule="exact"/>
        <w:ind w:firstLine="630" w:firstLineChars="196"/>
        <w:jc w:val="left"/>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keepNext w:val="0"/>
        <w:keepLines w:val="0"/>
        <w:pageBreakBefore w:val="0"/>
        <w:widowControl w:val="0"/>
        <w:kinsoku/>
        <w:wordWrap/>
        <w:topLinePunct w:val="0"/>
        <w:bidi w:val="0"/>
        <w:spacing w:line="560" w:lineRule="exact"/>
        <w:jc w:val="center"/>
        <w:textAlignment w:val="auto"/>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44"/>
        <w:gridCol w:w="1642"/>
        <w:gridCol w:w="1467"/>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744"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642"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67"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744"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c>
          <w:tcPr>
            <w:tcW w:w="1642"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c>
          <w:tcPr>
            <w:tcW w:w="1467"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c>
          <w:tcPr>
            <w:tcW w:w="2902"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44"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大城县气象局</w:t>
            </w:r>
          </w:p>
        </w:tc>
        <w:tc>
          <w:tcPr>
            <w:tcW w:w="1642"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事业</w:t>
            </w:r>
          </w:p>
        </w:tc>
        <w:tc>
          <w:tcPr>
            <w:tcW w:w="1467"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正科级</w:t>
            </w:r>
          </w:p>
        </w:tc>
        <w:tc>
          <w:tcPr>
            <w:tcW w:w="2902"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财政性资金基本保证</w:t>
            </w:r>
          </w:p>
        </w:tc>
      </w:tr>
    </w:tbl>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仿宋" w:cs="Times New Roman"/>
          <w:color w:val="FF0000"/>
          <w:sz w:val="32"/>
          <w:szCs w:val="32"/>
        </w:rPr>
      </w:pP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气象局</w:t>
      </w:r>
      <w:r>
        <w:rPr>
          <w:rFonts w:ascii="Times New Roman" w:hAnsi="Times New Roman" w:eastAsia="仿宋_GB2312" w:cs="Times New Roman"/>
          <w:sz w:val="32"/>
          <w:szCs w:val="32"/>
        </w:rPr>
        <w:t>的收支包含在部门预算中。</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反映本部门当年全部收入。2021年预算收入</w:t>
      </w:r>
      <w:r>
        <w:rPr>
          <w:rFonts w:hint="eastAsia" w:ascii="仿宋_GB2312" w:hAnsi="仿宋" w:eastAsia="仿宋_GB2312"/>
          <w:sz w:val="32"/>
          <w:szCs w:val="32"/>
          <w:lang w:val="en-US" w:eastAsia="zh-CN"/>
        </w:rPr>
        <w:t>170.27</w:t>
      </w:r>
      <w:r>
        <w:rPr>
          <w:rFonts w:hint="eastAsia" w:ascii="仿宋_GB2312" w:hAnsi="仿宋" w:eastAsia="仿宋_GB2312"/>
          <w:sz w:val="32"/>
          <w:szCs w:val="32"/>
        </w:rPr>
        <w:t>万元，其中：一般公共预算收入</w:t>
      </w:r>
      <w:r>
        <w:rPr>
          <w:rFonts w:hint="eastAsia" w:ascii="仿宋_GB2312" w:hAnsi="仿宋" w:eastAsia="仿宋_GB2312"/>
          <w:sz w:val="32"/>
          <w:szCs w:val="32"/>
          <w:lang w:val="en-US" w:eastAsia="zh-CN"/>
        </w:rPr>
        <w:t>170.27</w:t>
      </w:r>
      <w:r>
        <w:rPr>
          <w:rFonts w:hint="eastAsia" w:ascii="仿宋_GB2312" w:hAnsi="仿宋" w:eastAsia="仿宋_GB2312"/>
          <w:sz w:val="32"/>
          <w:szCs w:val="32"/>
        </w:rPr>
        <w:t>万元，基金预算收入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万元，财政专户核拨收入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万元，其他来源收入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万元，上年结转</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收支预算总表支出栏、基本支出表、项目支出表按经济分类和支出功能分类科目编制，反映</w:t>
      </w:r>
      <w:r>
        <w:rPr>
          <w:rFonts w:hint="eastAsia" w:ascii="仿宋_GB2312" w:hAnsi="仿宋" w:eastAsia="仿宋_GB2312"/>
          <w:sz w:val="32"/>
          <w:szCs w:val="32"/>
          <w:lang w:eastAsia="zh-CN"/>
        </w:rPr>
        <w:t>我局</w:t>
      </w:r>
      <w:r>
        <w:rPr>
          <w:rFonts w:hint="eastAsia" w:ascii="仿宋_GB2312" w:hAnsi="仿宋" w:eastAsia="仿宋_GB2312"/>
          <w:sz w:val="32"/>
          <w:szCs w:val="32"/>
          <w:lang w:val="en-US" w:eastAsia="zh-CN"/>
        </w:rPr>
        <w:t>2021</w:t>
      </w:r>
      <w:r>
        <w:rPr>
          <w:rFonts w:hint="eastAsia" w:ascii="仿宋_GB2312" w:hAnsi="仿宋" w:eastAsia="仿宋_GB2312"/>
          <w:sz w:val="32"/>
          <w:szCs w:val="32"/>
        </w:rPr>
        <w:t>年度部门预算中支出预算的总体情况。2021年支出预算</w:t>
      </w:r>
      <w:r>
        <w:rPr>
          <w:rFonts w:hint="eastAsia" w:ascii="仿宋_GB2312" w:hAnsi="仿宋" w:eastAsia="仿宋_GB2312"/>
          <w:sz w:val="32"/>
          <w:szCs w:val="32"/>
          <w:lang w:val="en-US" w:eastAsia="zh-CN"/>
        </w:rPr>
        <w:t>170.27</w:t>
      </w:r>
      <w:r>
        <w:rPr>
          <w:rFonts w:hint="eastAsia" w:ascii="仿宋_GB2312" w:hAnsi="仿宋" w:eastAsia="仿宋_GB2312"/>
          <w:sz w:val="32"/>
          <w:szCs w:val="32"/>
        </w:rPr>
        <w:t>万元，其中基本支出</w:t>
      </w:r>
      <w:r>
        <w:rPr>
          <w:rFonts w:hint="eastAsia" w:ascii="仿宋_GB2312" w:hAnsi="仿宋" w:eastAsia="仿宋_GB2312"/>
          <w:sz w:val="32"/>
          <w:szCs w:val="32"/>
          <w:lang w:val="en-US" w:eastAsia="zh-CN"/>
        </w:rPr>
        <w:t>40.21</w:t>
      </w:r>
      <w:r>
        <w:rPr>
          <w:rFonts w:hint="eastAsia" w:ascii="仿宋_GB2312" w:hAnsi="仿宋" w:eastAsia="仿宋_GB2312"/>
          <w:sz w:val="32"/>
          <w:szCs w:val="32"/>
        </w:rPr>
        <w:t>万元，包括人员类项目经费</w:t>
      </w:r>
      <w:r>
        <w:rPr>
          <w:rFonts w:hint="eastAsia" w:ascii="仿宋_GB2312" w:hAnsi="仿宋" w:eastAsia="仿宋_GB2312"/>
          <w:sz w:val="32"/>
          <w:szCs w:val="32"/>
          <w:lang w:val="en-US" w:eastAsia="zh-CN"/>
        </w:rPr>
        <w:t>36.52</w:t>
      </w:r>
      <w:r>
        <w:rPr>
          <w:rFonts w:hint="eastAsia" w:ascii="仿宋_GB2312" w:hAnsi="仿宋" w:eastAsia="仿宋_GB2312"/>
          <w:sz w:val="32"/>
          <w:szCs w:val="32"/>
        </w:rPr>
        <w:t>万元和运转类公用项目经费</w:t>
      </w:r>
      <w:r>
        <w:rPr>
          <w:rFonts w:hint="eastAsia" w:ascii="仿宋_GB2312" w:hAnsi="仿宋" w:eastAsia="仿宋_GB2312"/>
          <w:sz w:val="32"/>
          <w:szCs w:val="32"/>
          <w:lang w:val="en-US" w:eastAsia="zh-CN"/>
        </w:rPr>
        <w:t>3.69</w:t>
      </w:r>
      <w:r>
        <w:rPr>
          <w:rFonts w:hint="eastAsia" w:ascii="仿宋_GB2312" w:hAnsi="仿宋" w:eastAsia="仿宋_GB2312"/>
          <w:sz w:val="32"/>
          <w:szCs w:val="32"/>
        </w:rPr>
        <w:t>万元；运转类其他及特定目标类项目支出</w:t>
      </w:r>
      <w:r>
        <w:rPr>
          <w:rFonts w:hint="eastAsia" w:ascii="仿宋_GB2312" w:hAnsi="仿宋" w:eastAsia="仿宋_GB2312"/>
          <w:sz w:val="32"/>
          <w:szCs w:val="32"/>
          <w:lang w:val="en-US" w:eastAsia="zh-CN"/>
        </w:rPr>
        <w:t>130.06</w:t>
      </w:r>
      <w:r>
        <w:rPr>
          <w:rFonts w:hint="eastAsia" w:ascii="仿宋_GB2312" w:hAnsi="仿宋" w:eastAsia="仿宋_GB2312"/>
          <w:sz w:val="32"/>
          <w:szCs w:val="32"/>
        </w:rPr>
        <w:t>万元，包括本级支出，主要为</w:t>
      </w:r>
      <w:r>
        <w:rPr>
          <w:rFonts w:hint="eastAsia" w:ascii="仿宋_GB2312" w:hAnsi="仿宋" w:eastAsia="仿宋_GB2312"/>
          <w:sz w:val="32"/>
          <w:szCs w:val="32"/>
          <w:lang w:eastAsia="zh-CN"/>
        </w:rPr>
        <w:t>大城县气象局业务用房及配套基础设施建设工程项目、</w:t>
      </w:r>
      <w:r>
        <w:rPr>
          <w:rFonts w:hint="eastAsia" w:ascii="仿宋_GB2312" w:hAnsi="仿宋" w:eastAsia="仿宋_GB2312"/>
          <w:sz w:val="32"/>
          <w:szCs w:val="32"/>
        </w:rPr>
        <w:t>大气污染气象条件预报预测经费、气象灾害防御指挥部维持经费、设备维持经费。</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2021年预算收支安排</w:t>
      </w:r>
      <w:r>
        <w:rPr>
          <w:rFonts w:hint="eastAsia" w:ascii="仿宋_GB2312" w:hAnsi="仿宋" w:eastAsia="仿宋_GB2312"/>
          <w:sz w:val="32"/>
          <w:szCs w:val="32"/>
          <w:lang w:val="en-US" w:eastAsia="zh-CN"/>
        </w:rPr>
        <w:t>170.27</w:t>
      </w:r>
      <w:r>
        <w:rPr>
          <w:rFonts w:hint="eastAsia" w:ascii="仿宋_GB2312" w:hAnsi="仿宋" w:eastAsia="仿宋_GB2312"/>
          <w:sz w:val="32"/>
          <w:szCs w:val="32"/>
        </w:rPr>
        <w:t>万元，较2020年预算增加</w:t>
      </w:r>
      <w:r>
        <w:rPr>
          <w:rFonts w:hint="eastAsia" w:ascii="仿宋_GB2312" w:hAnsi="仿宋" w:eastAsia="仿宋_GB2312"/>
          <w:sz w:val="32"/>
          <w:szCs w:val="32"/>
          <w:lang w:val="en-US" w:eastAsia="zh-CN"/>
        </w:rPr>
        <w:t>110.06</w:t>
      </w:r>
      <w:r>
        <w:rPr>
          <w:rFonts w:hint="eastAsia" w:ascii="仿宋_GB2312" w:hAnsi="仿宋" w:eastAsia="仿宋_GB2312"/>
          <w:sz w:val="32"/>
          <w:szCs w:val="32"/>
        </w:rPr>
        <w:t>万元，其中：基本支出增加</w:t>
      </w:r>
      <w:r>
        <w:rPr>
          <w:rFonts w:hint="eastAsia" w:ascii="仿宋_GB2312" w:hAnsi="仿宋" w:eastAsia="仿宋_GB2312"/>
          <w:sz w:val="32"/>
          <w:szCs w:val="32"/>
          <w:lang w:val="en-US" w:eastAsia="zh-CN"/>
        </w:rPr>
        <w:t>0.60</w:t>
      </w:r>
      <w:r>
        <w:rPr>
          <w:rFonts w:hint="eastAsia" w:ascii="仿宋_GB2312" w:hAnsi="仿宋" w:eastAsia="仿宋_GB2312"/>
          <w:sz w:val="32"/>
          <w:szCs w:val="32"/>
        </w:rPr>
        <w:t>万元，主要为</w:t>
      </w:r>
      <w:r>
        <w:rPr>
          <w:rFonts w:hint="eastAsia" w:ascii="仿宋_GB2312" w:hAnsi="仿宋" w:eastAsia="仿宋_GB2312"/>
          <w:sz w:val="32"/>
          <w:szCs w:val="32"/>
          <w:lang w:eastAsia="zh-CN"/>
        </w:rPr>
        <w:t>人员经费</w:t>
      </w:r>
      <w:r>
        <w:rPr>
          <w:rFonts w:hint="eastAsia" w:ascii="仿宋_GB2312" w:hAnsi="仿宋" w:eastAsia="仿宋_GB2312"/>
          <w:sz w:val="32"/>
          <w:szCs w:val="32"/>
        </w:rPr>
        <w:t>支出；项目支出增加</w:t>
      </w:r>
      <w:r>
        <w:rPr>
          <w:rFonts w:hint="eastAsia" w:ascii="仿宋_GB2312" w:hAnsi="仿宋" w:eastAsia="仿宋_GB2312"/>
          <w:sz w:val="32"/>
          <w:szCs w:val="32"/>
          <w:lang w:val="en-US" w:eastAsia="zh-CN"/>
        </w:rPr>
        <w:t>110.00</w:t>
      </w:r>
      <w:r>
        <w:rPr>
          <w:rFonts w:hint="eastAsia" w:ascii="仿宋_GB2312" w:hAnsi="仿宋" w:eastAsia="仿宋_GB2312"/>
          <w:sz w:val="32"/>
          <w:szCs w:val="32"/>
        </w:rPr>
        <w:t>万元，主要为</w:t>
      </w:r>
      <w:r>
        <w:rPr>
          <w:rFonts w:hint="eastAsia" w:ascii="仿宋_GB2312" w:hAnsi="仿宋" w:eastAsia="仿宋_GB2312"/>
          <w:sz w:val="32"/>
          <w:szCs w:val="32"/>
          <w:lang w:eastAsia="zh-CN"/>
        </w:rPr>
        <w:t>大城县气象局业务用房及配套基础设施建设工程项目和自然灾害综合风险普查经费</w:t>
      </w:r>
      <w:r>
        <w:rPr>
          <w:rFonts w:hint="eastAsia" w:ascii="仿宋_GB2312" w:hAnsi="仿宋" w:eastAsia="仿宋_GB2312"/>
          <w:sz w:val="32"/>
          <w:szCs w:val="32"/>
        </w:rPr>
        <w:t>项目支出。</w:t>
      </w:r>
    </w:p>
    <w:p>
      <w:pPr>
        <w:keepNext w:val="0"/>
        <w:keepLines w:val="0"/>
        <w:pageBreakBefore w:val="0"/>
        <w:widowControl w:val="0"/>
        <w:kinsoku/>
        <w:wordWrap/>
        <w:topLinePunct w:val="0"/>
        <w:autoSpaceDE w:val="0"/>
        <w:autoSpaceDN w:val="0"/>
        <w:bidi w:val="0"/>
        <w:adjustRightInd w:val="0"/>
        <w:spacing w:line="560" w:lineRule="exact"/>
        <w:ind w:left="198"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2021年，我局机关运行经费共计安排</w:t>
      </w:r>
      <w:r>
        <w:rPr>
          <w:rFonts w:hint="eastAsia" w:ascii="仿宋_GB2312" w:hAnsi="仿宋" w:eastAsia="仿宋_GB2312"/>
          <w:sz w:val="32"/>
          <w:szCs w:val="32"/>
          <w:lang w:val="en-US" w:eastAsia="zh-CN"/>
        </w:rPr>
        <w:t>3.69</w:t>
      </w:r>
      <w:r>
        <w:rPr>
          <w:rFonts w:hint="eastAsia" w:ascii="仿宋_GB2312" w:hAnsi="仿宋" w:eastAsia="仿宋_GB2312"/>
          <w:sz w:val="32"/>
          <w:szCs w:val="32"/>
        </w:rPr>
        <w:t>万元，主要用于</w:t>
      </w:r>
      <w:r>
        <w:rPr>
          <w:rFonts w:hint="eastAsia" w:ascii="仿宋_GB2312" w:hAnsi="仿宋" w:eastAsia="仿宋_GB2312"/>
          <w:sz w:val="32"/>
          <w:szCs w:val="32"/>
          <w:lang w:eastAsia="zh-CN"/>
        </w:rPr>
        <w:t>单位</w:t>
      </w:r>
      <w:r>
        <w:rPr>
          <w:rFonts w:hint="eastAsia" w:ascii="仿宋_GB2312" w:hAnsi="仿宋" w:eastAsia="仿宋_GB2312"/>
          <w:sz w:val="32"/>
          <w:szCs w:val="32"/>
        </w:rPr>
        <w:t>办公区的日常维修、办公用房水电费、办公用房取暖费、办公用房物业管理费等日常运行支出。</w:t>
      </w:r>
    </w:p>
    <w:p>
      <w:pPr>
        <w:keepNext w:val="0"/>
        <w:keepLines w:val="0"/>
        <w:pageBreakBefore w:val="0"/>
        <w:widowControl w:val="0"/>
        <w:kinsoku/>
        <w:wordWrap/>
        <w:topLinePunct w:val="0"/>
        <w:autoSpaceDE w:val="0"/>
        <w:autoSpaceDN w:val="0"/>
        <w:bidi w:val="0"/>
        <w:adjustRightInd w:val="0"/>
        <w:spacing w:line="560" w:lineRule="exact"/>
        <w:ind w:firstLine="630" w:firstLineChars="196"/>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2021年，我局财政拨款“三公”经费预算安排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万元。其中，因公出国（境）费。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万元；公务用车购置及运维费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万元（其中：公务用车购置费为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万元，公务用车运维费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万元)；公务接待费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万元。与2020年相比持平，无增减变化。</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topLinePunct w:val="0"/>
        <w:bidi w:val="0"/>
        <w:spacing w:line="56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sz w:val="32"/>
          <w:szCs w:val="32"/>
          <w:lang w:val="en-US" w:eastAsia="zh-CN"/>
        </w:rPr>
      </w:pPr>
      <w:r>
        <w:rPr>
          <w:rFonts w:hint="eastAsia" w:ascii="仿宋_GB2312" w:hAnsi="仿宋" w:eastAsia="仿宋_GB2312"/>
          <w:sz w:val="32"/>
          <w:szCs w:val="32"/>
          <w:lang w:val="en-US" w:eastAsia="zh-CN"/>
        </w:rPr>
        <w:t>以习近平新时代中国特色社会主义思想为指导，认真落实县委、县政府的工作部署，以深化改革为发展动力，以信息化为基础，以智慧气象为重要标准，切实推进气象现代化建设。提升气象灾害预报预警能力，完善突发预警信息发布系统，突发灾害性天气预警提前量达到30分钟；提升全县气象装备保障水平，保障气象网络安全稳定运行时间超过95%。大力提升公共气象服务能力，确保气象服务网站全年正常运行8000小时以上。优化防雷专业气象服务，推进专业服务改革，气象服务满意度稳定在80分以上。加强部门间合作，加强对工业园区、重点企业、特色行业服务，提升气象产业对本地经济发展的直接贡献。</w:t>
      </w:r>
    </w:p>
    <w:p>
      <w:pPr>
        <w:keepNext w:val="0"/>
        <w:keepLines w:val="0"/>
        <w:pageBreakBefore w:val="0"/>
        <w:widowControl w:val="0"/>
        <w:kinsoku/>
        <w:wordWrap/>
        <w:topLinePunct w:val="0"/>
        <w:bidi w:val="0"/>
        <w:spacing w:line="56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1、气象灾害综合监测能力进一步提升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绩效目标：建设完善的气象灾害监测站网，保障全县气象灾害监测站网和计算机通信网络正常运行；建立气象灾害预报指标体系和预报预警业务系统，开展气象灾害预警；建立突发事件预警信息发布系统。</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绩效指标：12个气象观测站全部建成温度、雨量多传感器标准系统，综合观测业务可用性平均不低于90%，综合观测数据可用率平均不低于95%。</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2、气象灾害预报预警能力整体增强</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绩效目标：通过招录2名劳务派遣人员，开展开展气象灾害防御中心工作，切实提高气象灾害的防御能力和水平，最大限度地减轻或避免气象灾害造成的人员伤亡、财产损失，为全县经济社会发展提供有力保障。</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绩效指标：着力提高暴雨预警准确率和强对流天气预警提前量等2个社会关注度最高的天气预报预警项目。其中，暴雨预警准确率达到85%以上，强对流天气预警发布的提前时间达到20分钟。 </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3、气象灾害风险防范能力显著提高</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绩效目标：开展专项气象灾害普查，编制气象灾害风险区划；加大重大气象灾害现场调查，强化灾害风险评估业务；加大基层气象防灾减灾标准化建设，提升基层气象防灾减灾能力。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绩效指标：完成专项气象灾害普查，数据完备度达60%以上，制作气象灾害风险区划地图；重大气象灾害灾情现场调查率达到50%，完成重大气象灾害风险评估；完成基层人员气象灾害防御能力提升工作。</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4、基层气象台站基础设施得到进一步改善</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通过项目的开展，2022年项目投入使用，解决气象探测环境保护要求与县城西部建设发展之间矛盾，提升县城西部基础设施建设和公共服务水平；有效改善基层气象台站工作环境，优化配套设施环境，气象局业务自动化、现代化程度得到明显提升，气象信息发布能力和气象服务能力得到明显提高。</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绩效指标：工程验收合格率100%，基础设施建成后的利用、使用情况达到95%以上，气象探测环境综合评分95分以上。</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5、气象社会治理能力显著增强</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绩效目标：落实社会管理职能，加快推进“互联网+审批服务”和“线上线下深度融合”，进一步提高审批效率。通过书面检查与双随机抽查相结合的方式，推进防雷重点单位防雷安全检查全覆盖。</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绩效指标：行政许可审批事项全部实现网上办理；双随机执法抽查率达到5%；防雷安全重点单位防雷安全检查覆盖率达到100%。</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6、提升汛期及重大活动气象保障能力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绩效目标：加强智能网格预报产品和其他数值产品的解释、应用；加强汛期灾害性天气落区预报和重大活动中的时空精细化气象服务，进一步提升汛期及重大活动的气象服务保障能力。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河北省集约化综合气象业务平台》稳定运行时间超过98%，智能网格预报产品和其他数值产品在预报业务中得到普遍应用；汛期重大灾害性天气、高影响天气过程不漏报，两会及重要节假日等重大活动决策服务根据需要提前到2～7天。</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7、大气污染气象服务保障能力进一步提升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绩效目标：强化重污染天气应对气象保障服务，加强环境气象业务支撑能力建设，提升全县大气污染防治气象保障综合能力。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绩效指标：开展全县大气污染气象扩散条件预报分析，空气质量预报时效延长到7天；制作发布3种以上环境气象服务产品；与环保局和专家组配合，努力实现重污染天气预警提前2天发布。</w:t>
      </w:r>
    </w:p>
    <w:p>
      <w:pPr>
        <w:keepNext w:val="0"/>
        <w:keepLines w:val="0"/>
        <w:pageBreakBefore w:val="0"/>
        <w:widowControl w:val="0"/>
        <w:kinsoku/>
        <w:wordWrap/>
        <w:topLinePunct w:val="0"/>
        <w:bidi w:val="0"/>
        <w:spacing w:line="56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完善财务制度建设。为保证支出规范、资金安全，坚持制度先行。及时梳理部门内控制度，修订完善资金管理办法，建立健全预算绩效管理工作机制。严格执行《大城县气象局业务建设项目管理办法》及信息化项目管理规定，履行相关程序，落实各方责任，规范管理行为，堵塞管理漏洞，防范化解风险隐患。</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加强项目管理。充分发挥业务科室、项目技术专家和社会中介组织的力量，全面参与项目事前论证评审、事中督导评估和事后评价总结的全过程监管，形成多环节全过程的监督管理格局，尽早发现问题解决问题。依托网上报销审批系统，守牢资金支出最后一道防线，杜绝不合规支出，避免和减少损失。</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加强绩效运行监控。通过规划重点项目管理平台，对项目申报、初审、论证、评审、审批、实施、验收等全过程进行实时动态监管，及时跟踪目标实现程度和预算执行情况，并对全年绩效目标预期完成情况进行综合判断，发现问题及时纠偏，确保绩效目标如期保质实现。同时，将项目评价结果应用于当年的预算动态调整和第二年度的预算编制，形成滚动闭环预算管理。</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做好绩效自评。按要求开展上年度部门预算绩效自评和重点项目自评工作，开展预算项目事前绩效评审，加强预算执行和绩效运行跟踪。各项目责任科室按照年初申报的《项目绩效信息表》填写相应的《项目支出绩效自评表》并撰写相关项目的绩效自评工作总结。对绩效评价中发现的问题及时整改，下一年申报预算项目时调整优化支出结构，强化绩效自评结果应用。</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加强宣传培训调研。结合巡视巡察、审计、财务检查等发现的问题，对单位负责人、财务人员、经办人员进行培训，提高业务素质；加强调研，提出优化预算资金配置、提高资金使用效益的意见；加大宣传力度，强化预算绩效管理意识，促进预算绩效管理水平进一步提升。</w:t>
      </w:r>
    </w:p>
    <w:p>
      <w:pPr>
        <w:overflowPunct w:val="0"/>
        <w:adjustRightInd w:val="0"/>
        <w:snapToGrid w:val="0"/>
        <w:spacing w:afterLines="50" w:line="580" w:lineRule="exact"/>
        <w:jc w:val="left"/>
        <w:rPr>
          <w:rFonts w:hint="eastAsia" w:ascii="楷体_GB2312" w:eastAsia="楷体_GB2312" w:cs="Times New Roman"/>
          <w:b/>
          <w:sz w:val="32"/>
          <w:szCs w:val="32"/>
          <w:lang w:eastAsia="zh-CN"/>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41"/>
        <w:gridCol w:w="1160"/>
        <w:gridCol w:w="2893"/>
        <w:gridCol w:w="2786"/>
        <w:gridCol w:w="2161"/>
        <w:gridCol w:w="589"/>
        <w:gridCol w:w="678"/>
        <w:gridCol w:w="534"/>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41"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160"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2893"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2786"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评（扣）分标准</w:t>
            </w:r>
          </w:p>
        </w:tc>
        <w:tc>
          <w:tcPr>
            <w:tcW w:w="2161"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描述</w:t>
            </w:r>
          </w:p>
        </w:tc>
        <w:tc>
          <w:tcPr>
            <w:tcW w:w="1801" w:type="dxa"/>
            <w:gridSpan w:val="3"/>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1607"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blHeader/>
          <w:jc w:val="center"/>
        </w:trPr>
        <w:tc>
          <w:tcPr>
            <w:tcW w:w="1141" w:type="dxa"/>
            <w:vMerge w:val="continue"/>
            <w:tcBorders>
              <w:tl2br w:val="nil"/>
              <w:tr2bl w:val="nil"/>
            </w:tcBorders>
            <w:vAlign w:val="center"/>
          </w:tcPr>
          <w:p>
            <w:pPr>
              <w:rPr>
                <w:rFonts w:hint="eastAsia" w:ascii="仿宋_GB2312" w:hAnsi="仿宋_GB2312" w:eastAsia="仿宋_GB2312" w:cs="仿宋_GB2312"/>
              </w:rPr>
            </w:pPr>
          </w:p>
        </w:tc>
        <w:tc>
          <w:tcPr>
            <w:tcW w:w="1160" w:type="dxa"/>
            <w:vMerge w:val="continue"/>
            <w:tcBorders>
              <w:tl2br w:val="nil"/>
              <w:tr2bl w:val="nil"/>
            </w:tcBorders>
            <w:vAlign w:val="center"/>
          </w:tcPr>
          <w:p>
            <w:pPr>
              <w:rPr>
                <w:rFonts w:hint="eastAsia" w:ascii="仿宋_GB2312" w:hAnsi="仿宋_GB2312" w:eastAsia="仿宋_GB2312" w:cs="仿宋_GB2312"/>
              </w:rPr>
            </w:pPr>
          </w:p>
        </w:tc>
        <w:tc>
          <w:tcPr>
            <w:tcW w:w="2893" w:type="dxa"/>
            <w:vMerge w:val="continue"/>
            <w:tcBorders>
              <w:tl2br w:val="nil"/>
              <w:tr2bl w:val="nil"/>
            </w:tcBorders>
            <w:vAlign w:val="center"/>
          </w:tcPr>
          <w:p>
            <w:pPr>
              <w:rPr>
                <w:rFonts w:hint="eastAsia" w:ascii="仿宋_GB2312" w:hAnsi="仿宋_GB2312" w:eastAsia="仿宋_GB2312" w:cs="仿宋_GB2312"/>
              </w:rPr>
            </w:pPr>
          </w:p>
        </w:tc>
        <w:tc>
          <w:tcPr>
            <w:tcW w:w="2786" w:type="dxa"/>
            <w:vMerge w:val="continue"/>
            <w:tcBorders>
              <w:tl2br w:val="nil"/>
              <w:tr2bl w:val="nil"/>
            </w:tcBorders>
            <w:vAlign w:val="center"/>
          </w:tcPr>
          <w:p>
            <w:pPr>
              <w:rPr>
                <w:rFonts w:hint="eastAsia" w:ascii="仿宋_GB2312" w:hAnsi="仿宋_GB2312" w:eastAsia="仿宋_GB2312" w:cs="仿宋_GB2312"/>
              </w:rPr>
            </w:pPr>
          </w:p>
        </w:tc>
        <w:tc>
          <w:tcPr>
            <w:tcW w:w="2161" w:type="dxa"/>
            <w:vMerge w:val="continue"/>
            <w:tcBorders>
              <w:tl2br w:val="nil"/>
              <w:tr2bl w:val="nil"/>
            </w:tcBorders>
            <w:vAlign w:val="center"/>
          </w:tcPr>
          <w:p>
            <w:pPr>
              <w:rPr>
                <w:rFonts w:hint="eastAsia" w:ascii="仿宋_GB2312" w:hAnsi="仿宋_GB2312" w:eastAsia="仿宋_GB2312" w:cs="仿宋_GB2312"/>
              </w:rPr>
            </w:pP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符号</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值</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单位</w:t>
            </w:r>
          </w:p>
        </w:tc>
        <w:tc>
          <w:tcPr>
            <w:tcW w:w="1607" w:type="dxa"/>
            <w:vMerge w:val="continue"/>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41"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部门产出</w:t>
            </w: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289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常规设备观测次数</w:t>
            </w:r>
          </w:p>
        </w:tc>
        <w:tc>
          <w:tcPr>
            <w:tcW w:w="278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全部完成得满分，每降低指标值的 1%</w:t>
            </w:r>
          </w:p>
        </w:tc>
        <w:tc>
          <w:tcPr>
            <w:tcW w:w="216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本部门所有观测设备全年观测温度、压强、风力、湿度的次数</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8672.00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次</w:t>
            </w:r>
          </w:p>
        </w:tc>
        <w:tc>
          <w:tcPr>
            <w:tcW w:w="160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仿宋_GB2312" w:hAnsi="仿宋_GB2312" w:eastAsia="仿宋_GB2312" w:cs="仿宋_GB2312"/>
              </w:rPr>
            </w:p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289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决策服务产品数量</w:t>
            </w:r>
          </w:p>
        </w:tc>
        <w:tc>
          <w:tcPr>
            <w:tcW w:w="278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未达到服务产品期数</w:t>
            </w:r>
          </w:p>
        </w:tc>
        <w:tc>
          <w:tcPr>
            <w:tcW w:w="216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各种决策气象服务产品数量</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30.00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期</w:t>
            </w:r>
          </w:p>
        </w:tc>
        <w:tc>
          <w:tcPr>
            <w:tcW w:w="160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仿宋_GB2312" w:hAnsi="仿宋_GB2312" w:eastAsia="仿宋_GB2312" w:cs="仿宋_GB2312"/>
              </w:rPr>
            </w:p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质量</w:t>
            </w:r>
          </w:p>
        </w:tc>
        <w:tc>
          <w:tcPr>
            <w:tcW w:w="289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地面气象观测数据的可用率</w:t>
            </w:r>
          </w:p>
        </w:tc>
        <w:tc>
          <w:tcPr>
            <w:tcW w:w="278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达到目标值得满分，每降低指标值的 1%</w:t>
            </w:r>
          </w:p>
        </w:tc>
        <w:tc>
          <w:tcPr>
            <w:tcW w:w="216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国家级无人自动气象站观测数据的可用比例</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95.00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60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时效</w:t>
            </w:r>
          </w:p>
        </w:tc>
        <w:tc>
          <w:tcPr>
            <w:tcW w:w="289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重要天气预警提前量</w:t>
            </w:r>
          </w:p>
        </w:tc>
        <w:tc>
          <w:tcPr>
            <w:tcW w:w="278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重要天气预警信息发布提前时间小于20分钟</w:t>
            </w:r>
          </w:p>
        </w:tc>
        <w:tc>
          <w:tcPr>
            <w:tcW w:w="216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重要天气预警提前量</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20.00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分钟</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灾害天气过程总结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成本</w:t>
            </w:r>
          </w:p>
        </w:tc>
        <w:tc>
          <w:tcPr>
            <w:tcW w:w="289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项目预算控制数</w:t>
            </w:r>
          </w:p>
        </w:tc>
        <w:tc>
          <w:tcPr>
            <w:tcW w:w="278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超预算执行</w:t>
            </w:r>
          </w:p>
        </w:tc>
        <w:tc>
          <w:tcPr>
            <w:tcW w:w="216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项目预算控制数</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130.06</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万元</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预算批复文件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效益</w:t>
            </w:r>
          </w:p>
        </w:tc>
        <w:tc>
          <w:tcPr>
            <w:tcW w:w="289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气象设备运行正常率</w:t>
            </w:r>
          </w:p>
        </w:tc>
        <w:tc>
          <w:tcPr>
            <w:tcW w:w="278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气象设备正常运行率低于98%</w:t>
            </w:r>
          </w:p>
        </w:tc>
        <w:tc>
          <w:tcPr>
            <w:tcW w:w="216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气象设备运行正常率</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98.00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效益</w:t>
            </w:r>
          </w:p>
        </w:tc>
        <w:tc>
          <w:tcPr>
            <w:tcW w:w="289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科普宣传覆盖率</w:t>
            </w:r>
          </w:p>
        </w:tc>
        <w:tc>
          <w:tcPr>
            <w:tcW w:w="278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达到目标值得满分，每降低指标值的 1%</w:t>
            </w:r>
          </w:p>
        </w:tc>
        <w:tc>
          <w:tcPr>
            <w:tcW w:w="216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辖区公众接受气象科普信息覆盖程度</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80.00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可持续影响</w:t>
            </w:r>
          </w:p>
        </w:tc>
        <w:tc>
          <w:tcPr>
            <w:tcW w:w="289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社会大众气象防灾减灾能力的提升</w:t>
            </w:r>
          </w:p>
        </w:tc>
        <w:tc>
          <w:tcPr>
            <w:tcW w:w="278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社会大众气象防灾减灾能力未得到有效提升</w:t>
            </w:r>
          </w:p>
        </w:tc>
        <w:tc>
          <w:tcPr>
            <w:tcW w:w="216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社会大众气象防灾减灾能力的提升</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提升</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年终总结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2893"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公众气象服务满意度</w:t>
            </w:r>
          </w:p>
        </w:tc>
        <w:tc>
          <w:tcPr>
            <w:tcW w:w="2786"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委托第三方公司对公众进行调查，满意度低于95%</w:t>
            </w:r>
          </w:p>
        </w:tc>
        <w:tc>
          <w:tcPr>
            <w:tcW w:w="2161"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反映公众利用气象条件趋利避害的能力，气象服务产品的公众满意度</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w:t>
            </w:r>
            <w:r>
              <w:rPr>
                <w:rFonts w:hint="eastAsia" w:ascii="仿宋_GB2312" w:hAnsi="仿宋_GB2312" w:eastAsia="仿宋_GB2312" w:cs="仿宋_GB2312"/>
                <w:lang w:val="en-US" w:eastAsia="zh-CN"/>
              </w:rPr>
              <w:t>5</w:t>
            </w:r>
            <w:r>
              <w:rPr>
                <w:rFonts w:hint="eastAsia" w:ascii="仿宋_GB2312" w:hAnsi="仿宋_GB2312" w:eastAsia="仿宋_GB2312" w:cs="仿宋_GB2312"/>
              </w:rPr>
              <w:t>.00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2893"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专业气象服务满意度</w:t>
            </w:r>
          </w:p>
        </w:tc>
        <w:tc>
          <w:tcPr>
            <w:tcW w:w="2786"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委托第三方公司对服务对象进行调查，满意度低于90%</w:t>
            </w:r>
          </w:p>
        </w:tc>
        <w:tc>
          <w:tcPr>
            <w:tcW w:w="2161"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专业气象服务满意度</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9</w:t>
            </w:r>
            <w:r>
              <w:rPr>
                <w:rFonts w:hint="eastAsia" w:ascii="仿宋_GB2312" w:hAnsi="仿宋_GB2312" w:eastAsia="仿宋_GB2312" w:cs="仿宋_GB2312"/>
                <w:lang w:val="en-US" w:eastAsia="zh-CN"/>
              </w:rPr>
              <w:t>0</w:t>
            </w:r>
            <w:r>
              <w:rPr>
                <w:rFonts w:hint="eastAsia" w:ascii="仿宋_GB2312" w:hAnsi="仿宋_GB2312" w:eastAsia="仿宋_GB2312" w:cs="仿宋_GB2312"/>
              </w:rPr>
              <w:t>.00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大气污染气象条件预报预测经费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通过开展重污染天气的预报预警服务，为大气污染防治工作提供科学依据，通过靠宣传，提高人民气象防灾减灾能力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重污染天气气象服务专题报告期数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反映重污染天气气象服务水平和气象保障经济发展的能力</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52</w:t>
            </w:r>
            <w:r>
              <w:rPr>
                <w:rFonts w:hint="eastAsia" w:ascii="仿宋_GB2312" w:hAnsi="仿宋_GB2312" w:eastAsia="仿宋_GB2312" w:cs="仿宋_GB2312"/>
                <w:color w:val="000000"/>
                <w:kern w:val="0"/>
                <w:sz w:val="21"/>
                <w:szCs w:val="21"/>
              </w:rPr>
              <w:t>期</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预报准确率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预报预警发布的准确率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重污染天气预警提前量</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重污染天气预警提前量</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20分钟</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灾害天气过程总结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预算控制数</w:t>
            </w:r>
          </w:p>
        </w:tc>
        <w:tc>
          <w:tcPr>
            <w:tcW w:w="3402" w:type="dxa"/>
            <w:shd w:val="clear" w:color="auto" w:fill="auto"/>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rPr>
              <w:t>预算控制数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5万元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对大气污染防治产生积极影响</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对大气污染防治产生积极影响</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积极</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社会大众气象防灾减灾能力的提升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社会大众气象防灾减灾能力的提升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提升</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专业气象服务满意度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专业气象服务满意度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公众气象服务满意度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反映公众利用气象条件趋利避害的能力，气象服务产品的公众满意度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防雷管理经费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防雷检查和科普宣传，提高人民的防雷安全意识，保障全县防雷安全。通过项目的开展为防雷装置设计审核和竣工验收行政许可事项委托中介机构进行技术服务，包括防雷装置图纸评价和竣工验收服务检测，实现202</w:t>
            </w: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年防雷装置设计审核和竣工验收行政许可事项正常开展。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全年集中开展的防雷安全检查次数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全年集中开展的防雷安全检查次数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3次</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防雷检查企业的百分率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实际检查的企业占应检查企业的百分率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防雷许可的办理时效</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办理防雷行政许可的天数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3天</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国发〔2016〕11号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预算控制数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预算控制数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人民防雷安全意识和能力的提升</w:t>
            </w:r>
          </w:p>
        </w:tc>
        <w:tc>
          <w:tcPr>
            <w:tcW w:w="3402" w:type="dxa"/>
            <w:shd w:val="clear" w:color="auto" w:fill="auto"/>
            <w:vAlign w:val="center"/>
          </w:tcPr>
          <w:p>
            <w:pPr>
              <w:widowControl/>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人民防雷安全意识和能力的提升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提升</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可持续影响</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审核管理机制健全性</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反映项目单位对第三方的审核管理机制是否健全</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健全</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可持续影响</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档案管理机制健全性</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反映档案制度管理机制是否健全</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健全</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用户使用满意度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反映调查中用户反馈满意和较满意的数量占调查用户总数量的比率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气象灾害防御指挥部维持经费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召开气象灾害防御指挥部联席会议，部署气象防灾减灾工作；开展气象灾害防御单位检查，确保安全度汛；开展气象信息员的更新入库工作及培训，提高人民气象防灾减灾能力。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气象信息员培训次数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开展</w:t>
            </w:r>
            <w:r>
              <w:rPr>
                <w:rFonts w:hint="eastAsia" w:ascii="仿宋_GB2312" w:hAnsi="仿宋_GB2312" w:eastAsia="仿宋_GB2312" w:cs="仿宋_GB2312"/>
                <w:color w:val="000000"/>
                <w:kern w:val="0"/>
                <w:sz w:val="21"/>
                <w:szCs w:val="21"/>
                <w:lang w:val="en-US" w:eastAsia="zh-CN"/>
              </w:rPr>
              <w:t>气象信息员培训次数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3次</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预报准确率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预报预警发布的准确率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信息员更新入库率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w:t>
            </w:r>
            <w:r>
              <w:rPr>
                <w:rFonts w:hint="eastAsia" w:ascii="仿宋_GB2312" w:hAnsi="仿宋_GB2312" w:eastAsia="仿宋_GB2312" w:cs="仿宋_GB2312"/>
                <w:color w:val="000000"/>
                <w:kern w:val="0"/>
                <w:sz w:val="21"/>
                <w:szCs w:val="21"/>
                <w:lang w:val="en-US" w:eastAsia="zh-CN"/>
              </w:rPr>
              <w:t>更新信息员数量占全部信息员比例</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99%</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sz w:val="21"/>
                <w:szCs w:val="21"/>
                <w:lang w:val="en-US" w:eastAsia="zh-CN"/>
              </w:rPr>
              <w:t>预算控制数</w:t>
            </w:r>
          </w:p>
        </w:tc>
        <w:tc>
          <w:tcPr>
            <w:tcW w:w="3402"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sz w:val="21"/>
                <w:szCs w:val="21"/>
                <w:lang w:val="en-US" w:eastAsia="zh-CN"/>
              </w:rPr>
              <w:t>预算控制数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2万元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为科学防灾减灾提供支撑</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为科学防灾减灾提供支撑</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满足</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信息员</w:t>
            </w:r>
            <w:r>
              <w:rPr>
                <w:rFonts w:hint="eastAsia" w:ascii="仿宋_GB2312" w:hAnsi="仿宋_GB2312" w:eastAsia="仿宋_GB2312" w:cs="仿宋_GB2312"/>
                <w:color w:val="000000"/>
                <w:kern w:val="0"/>
                <w:sz w:val="21"/>
                <w:szCs w:val="21"/>
              </w:rPr>
              <w:t>气象防灾减灾能力的提升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信息员</w:t>
            </w:r>
            <w:r>
              <w:rPr>
                <w:rFonts w:hint="eastAsia" w:ascii="仿宋_GB2312" w:hAnsi="仿宋_GB2312" w:eastAsia="仿宋_GB2312" w:cs="仿宋_GB2312"/>
                <w:color w:val="000000"/>
                <w:kern w:val="0"/>
                <w:sz w:val="21"/>
                <w:szCs w:val="21"/>
              </w:rPr>
              <w:t>气象防灾减灾能力的提升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提升</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培训满意度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受培训人员的满意程度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96%</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公众气象服务满意度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反映公众利用气象条件趋利避害的能力，气象服务产品的公众满意度</w:t>
            </w:r>
          </w:p>
        </w:tc>
        <w:tc>
          <w:tcPr>
            <w:tcW w:w="1843" w:type="dxa"/>
            <w:shd w:val="clear" w:color="auto" w:fill="auto"/>
            <w:vAlign w:val="center"/>
          </w:tcPr>
          <w:p>
            <w:pPr>
              <w:spacing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设备维持经费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通过项目的开展保障设备的上线率，提高数据的入库率和数据的可用率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仪器维护次数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全年维护仪器的次数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12次</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地面气象观测数据的可用率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国家级无人自动气象站观测数据的可用比例</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气象观测数据入库时间</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气象数据进入数据库所用时间</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1分钟</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预算控制数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预算控制数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气象设备运行正常率</w:t>
            </w:r>
          </w:p>
        </w:tc>
        <w:tc>
          <w:tcPr>
            <w:tcW w:w="3402" w:type="dxa"/>
            <w:shd w:val="clear" w:color="auto" w:fill="auto"/>
            <w:vAlign w:val="center"/>
          </w:tcPr>
          <w:p>
            <w:pPr>
              <w:widowControl/>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气象设备运行正常率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98%</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入库数据的可用率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入库数据的可用率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98%</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可持续影响</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气象设备运行情况</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反映气象设备正常运行情况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正常</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受益群体</w:t>
            </w:r>
            <w:r>
              <w:rPr>
                <w:rFonts w:hint="eastAsia" w:ascii="仿宋_GB2312" w:hAnsi="仿宋_GB2312" w:eastAsia="仿宋_GB2312" w:cs="仿宋_GB2312"/>
                <w:color w:val="000000"/>
                <w:kern w:val="0"/>
                <w:sz w:val="21"/>
                <w:szCs w:val="21"/>
              </w:rPr>
              <w:t>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受益群体调查中，满意和较满意的人数占全部调查人数的比率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气象灾害防御中心人员经费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通过招录2名劳务派遣人员，开展开展气象灾害防御中心工作，切实提高气象灾害的防御能力和水平，最大限度地减轻或避免气象灾害造成的人员伤亡、财产损失，为全县经济社会发展提供有力保障。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劳务派遣人员工资发放次数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反映劳务派遣人员工资发放的次数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lang w:val="en-US" w:eastAsia="zh-CN"/>
              </w:rPr>
              <w:t>=12次</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预报准确率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预报预警发布的准确率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85%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工资发放及时率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反映工资按时发放的情况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预算控制数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预算控制数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7.56万元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预报预警提前时间</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反映提高决策气象服务的针对性、敏感性、综合性和实效性</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20分钟</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灾害天气过程总结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长效管理机制健全性</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反映管理机制健全性的情况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健全</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劳务派遣人员满意度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反映劳务派遣人员对各项待遇的满意程度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服务对象满意度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服务对象满意度</w:t>
            </w:r>
          </w:p>
        </w:tc>
        <w:tc>
          <w:tcPr>
            <w:tcW w:w="1843" w:type="dxa"/>
            <w:shd w:val="clear" w:color="auto" w:fill="auto"/>
            <w:vAlign w:val="center"/>
          </w:tcPr>
          <w:p>
            <w:pPr>
              <w:spacing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自然灾害综合风险普查经费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w:t>
            </w:r>
            <w:r>
              <w:rPr>
                <w:rFonts w:hint="eastAsia" w:ascii="仿宋_GB2312" w:hAnsi="仿宋_GB2312" w:eastAsia="仿宋_GB2312" w:cs="仿宋_GB2312"/>
                <w:color w:val="000000"/>
                <w:kern w:val="0"/>
                <w:sz w:val="21"/>
                <w:szCs w:val="21"/>
                <w:lang w:eastAsia="zh-CN"/>
              </w:rPr>
              <w:t>项目的实施</w:t>
            </w: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eastAsia="zh-CN"/>
              </w:rPr>
              <w:t>摸清灾害风险隐患底数，查明重点区域抗灾能力，客观认识灾害综合风险水平，为政府有效开展自然灾害防治和应急管理工作、切实保障社会可持续发展提供权威的灾害风险信息和科学决策依据。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调查灾害种类</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完成气象灾害调查的种类</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8类</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普查数据错误率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错误数据占全部普查数据的</w:t>
            </w:r>
            <w:r>
              <w:rPr>
                <w:rFonts w:hint="eastAsia" w:ascii="仿宋_GB2312" w:hAnsi="仿宋_GB2312" w:eastAsia="仿宋_GB2312" w:cs="仿宋_GB2312"/>
                <w:color w:val="000000"/>
                <w:kern w:val="0"/>
                <w:sz w:val="21"/>
                <w:szCs w:val="21"/>
              </w:rPr>
              <w:t>百分率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完成普查工作，通过上级审核及时</w:t>
            </w:r>
            <w:r>
              <w:rPr>
                <w:rFonts w:hint="eastAsia" w:ascii="仿宋_GB2312" w:hAnsi="仿宋_GB2312" w:eastAsia="仿宋_GB2312" w:cs="仿宋_GB2312"/>
                <w:color w:val="000000"/>
                <w:kern w:val="0"/>
                <w:sz w:val="21"/>
                <w:szCs w:val="21"/>
                <w:lang w:val="en-US" w:eastAsia="zh-CN"/>
              </w:rPr>
              <w:t>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及时完成普查工作，通过上级审核</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预算控制数</w:t>
            </w:r>
          </w:p>
        </w:tc>
        <w:tc>
          <w:tcPr>
            <w:tcW w:w="3402"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考察项目实施</w:t>
            </w:r>
            <w:r>
              <w:rPr>
                <w:rFonts w:hint="eastAsia" w:ascii="仿宋_GB2312" w:hAnsi="仿宋_GB2312" w:eastAsia="仿宋_GB2312" w:cs="仿宋_GB2312"/>
                <w:color w:val="000000"/>
                <w:kern w:val="0"/>
                <w:sz w:val="21"/>
                <w:szCs w:val="21"/>
                <w:lang w:val="en-US" w:eastAsia="zh-CN"/>
              </w:rPr>
              <w:t>实际使用预算资金情况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10万元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经济效益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普查数据产品的利用率</w:t>
            </w:r>
          </w:p>
        </w:tc>
        <w:tc>
          <w:tcPr>
            <w:tcW w:w="3402" w:type="dxa"/>
            <w:shd w:val="clear" w:color="auto" w:fill="auto"/>
            <w:vAlign w:val="center"/>
          </w:tcPr>
          <w:p>
            <w:pPr>
              <w:widowControl/>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普查数据产品的利用率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气象灾害风险普查率</w:t>
            </w:r>
          </w:p>
        </w:tc>
        <w:tc>
          <w:tcPr>
            <w:tcW w:w="3402" w:type="dxa"/>
            <w:shd w:val="clear" w:color="auto" w:fill="auto"/>
            <w:vAlign w:val="center"/>
          </w:tcPr>
          <w:p>
            <w:pPr>
              <w:widowControl/>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数据普查覆盖率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both"/>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气象灾害损失</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w:t>
            </w:r>
            <w:r>
              <w:rPr>
                <w:rFonts w:hint="eastAsia" w:ascii="仿宋_GB2312" w:hAnsi="仿宋_GB2312" w:eastAsia="仿宋_GB2312" w:cs="仿宋_GB2312"/>
                <w:color w:val="000000"/>
                <w:kern w:val="0"/>
                <w:sz w:val="21"/>
                <w:szCs w:val="21"/>
                <w:lang w:val="en-US" w:eastAsia="zh-CN"/>
              </w:rPr>
              <w:t>气象灾害造成损失的情况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降低</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用户使用满意度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反映调查中用户反馈满意和较满意的数量占调查用户总数量的比率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大城县气象局业务用房及配套基础设施建设工程资金费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2030"/>
        <w:gridCol w:w="19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项目的开展，2022年项目投入使用，解决气象探测环境保护要求与县城西部建设发展之间矛盾，提升县城西部基础设施建设和公共服务水平；有效改善基层气象台站工作环境，优化配套设施环境，气象局业务自动化、现代化程度得到明显提升，气象信息发布能力和气象服务能力得到明显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030"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19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vMerge w:val="restart"/>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建设工程量</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基础设施建设的建筑面积</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=1199.47平方米</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可研报告批复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vMerge w:val="continue"/>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探测环境评分</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气象探测环境综合评分</w:t>
            </w:r>
          </w:p>
        </w:tc>
        <w:tc>
          <w:tcPr>
            <w:tcW w:w="2030" w:type="dxa"/>
            <w:shd w:val="clear" w:color="auto" w:fill="auto"/>
            <w:vAlign w:val="center"/>
          </w:tcPr>
          <w:p>
            <w:pPr>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95分</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探测环境评估报告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工程验收合格率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通过验收的工程量占建设总量的比率</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lang w:val="en-US" w:eastAsia="zh-CN"/>
              </w:rPr>
              <w:t>=100%</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工程按期完成率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按期完成的工程量占总工程量的比率</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lang w:val="en-US" w:eastAsia="zh-CN"/>
              </w:rPr>
              <w:t>=100%</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预算控制数</w:t>
            </w:r>
          </w:p>
        </w:tc>
        <w:tc>
          <w:tcPr>
            <w:tcW w:w="3402"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考察项目实施实际使用预算资金情况</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100万元</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基础设施对业务支撑的满足度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年度建设项目满足本单位气象业务开展所需基础设施需求程度的平均值</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综合利用率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基础设施建成后的利用、使用情况</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可持续影响</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气象服务能力提升情况</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相关业务、工作等开展的情况</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提升</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受益群体满意度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本单位职工对项目投入使用的调查中，满意和较满意的人数占全部调查人数的比率</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96%</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65</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气象局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rPr>
              <w:t>大城县气象局业务用房及配套基础设施建设工程项目资金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100.00</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事业单位用房</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A010206</w:t>
            </w:r>
          </w:p>
        </w:tc>
        <w:tc>
          <w:tcPr>
            <w:tcW w:w="709" w:type="dxa"/>
            <w:shd w:val="clear" w:color="auto" w:fill="auto"/>
            <w:vAlign w:val="center"/>
          </w:tcPr>
          <w:p>
            <w:pPr>
              <w:spacing w:line="300" w:lineRule="exact"/>
              <w:jc w:val="center"/>
              <w:rPr>
                <w:rFonts w:ascii="方正书宋_GBK" w:hAnsi="Calibri" w:eastAsia="方正书宋_GBK" w:cs="Arial"/>
                <w:kern w:val="2"/>
                <w:sz w:val="21"/>
                <w:szCs w:val="22"/>
                <w:lang w:val="en-US" w:eastAsia="zh-CN" w:bidi="ar-SA"/>
              </w:rPr>
            </w:pPr>
            <w:r>
              <w:rPr>
                <w:rFonts w:hint="eastAsia" w:ascii="方正书宋_GBK" w:eastAsia="方正书宋_GBK"/>
              </w:rPr>
              <w:t>平方米</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0.00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大城县气象局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bl>
    <w:p>
      <w:pPr>
        <w:ind w:firstLine="420" w:firstLineChars="200"/>
        <w:jc w:val="left"/>
        <w:rPr>
          <w:rFonts w:hint="eastAsia" w:ascii="黑体" w:hAnsi="黑体" w:eastAsia="黑体" w:cs="黑体"/>
        </w:rPr>
      </w:pPr>
      <w:r>
        <w:rPr>
          <w:rFonts w:hint="eastAsia" w:ascii="黑体" w:hAnsi="黑体" w:eastAsia="黑体" w:cs="黑体"/>
        </w:rPr>
        <w:t>注：无固定资产占用情况，空表列示。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w:t>
      </w:r>
      <w:bookmarkStart w:id="3" w:name="_GoBack"/>
      <w:bookmarkEnd w:id="3"/>
      <w:r>
        <w:rPr>
          <w:rFonts w:ascii="Times New Roman" w:hAnsi="Times New Roman" w:eastAsia="仿宋_GB2312" w:cs="Times New Roman"/>
          <w:sz w:val="32"/>
          <w:szCs w:val="32"/>
        </w:rPr>
        <w:t>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mJjNzBjOWVjYjdkZDk0MTZmOTY3ZDhiZGViODJlMmEifQ=="/>
  </w:docVars>
  <w:rsids>
    <w:rsidRoot w:val="00D347CC"/>
    <w:rsid w:val="004A54AA"/>
    <w:rsid w:val="00B80935"/>
    <w:rsid w:val="00D347CC"/>
    <w:rsid w:val="02732F88"/>
    <w:rsid w:val="09AC15F2"/>
    <w:rsid w:val="0D053C29"/>
    <w:rsid w:val="0F440082"/>
    <w:rsid w:val="23CF4B51"/>
    <w:rsid w:val="25D8219B"/>
    <w:rsid w:val="2B9221BF"/>
    <w:rsid w:val="324A51A7"/>
    <w:rsid w:val="33935DCF"/>
    <w:rsid w:val="348514B5"/>
    <w:rsid w:val="3B6D1944"/>
    <w:rsid w:val="3C3F75D6"/>
    <w:rsid w:val="3F8A033F"/>
    <w:rsid w:val="406C62B7"/>
    <w:rsid w:val="46E71798"/>
    <w:rsid w:val="482E0BAA"/>
    <w:rsid w:val="4C846160"/>
    <w:rsid w:val="52BC20AC"/>
    <w:rsid w:val="55E73D2F"/>
    <w:rsid w:val="5A1E686B"/>
    <w:rsid w:val="5A8328D0"/>
    <w:rsid w:val="664304B8"/>
    <w:rsid w:val="6D0D4676"/>
    <w:rsid w:val="74F12D9F"/>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8844</Words>
  <Characters>9191</Characters>
  <Lines>23</Lines>
  <Paragraphs>6</Paragraphs>
  <TotalTime>0</TotalTime>
  <ScaleCrop>false</ScaleCrop>
  <LinksUpToDate>false</LinksUpToDate>
  <CharactersWithSpaces>9255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2021-03-28T01:39:00Z</cp:lastPrinted>
  <dcterms:modified xsi:type="dcterms:W3CDTF">2022-07-28T07:13:04Z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C1DA15A63C7D4587BA2ECE6E966FA5E9</vt:lpwstr>
  </property>
</Properties>
</file>