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大城县信访局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大城县信访局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lang w:val="en-US" w:eastAsia="zh-CN"/>
        </w:rPr>
        <w:t xml:space="preserve">研究提出全县信访工作思路，拟定信访工作有关政策、规定。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lang w:val="en-US" w:eastAsia="zh-CN"/>
        </w:rPr>
        <w:t xml:space="preserve">办理人民群众来信，接待群众来访，受理群众网上诉求，查办信访案件；负责人民群众 建议征集工作。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 xml:space="preserve">调查研究和综合分析全县信访形势及信访工作状况，总结推广各部门信访工作经验，提 出改进和加强信访工作的意见和建议。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lang w:val="en-US" w:eastAsia="zh-CN"/>
        </w:rPr>
        <w:t>参与组织、协调、指导全县社会治安综合治理和维护社会政治稳定工作，协助保障国家、 省、市、县重大政治活动顺利进行，参与处理影响社会政治稳定的突发性、群体性事件。</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w:t>
      </w:r>
      <w:r>
        <w:rPr>
          <w:rFonts w:ascii="Times New Roman" w:hAnsi="Times New Roman" w:eastAsia="仿宋_GB2312" w:cs="Times New Roman"/>
          <w:sz w:val="32"/>
          <w:szCs w:val="32"/>
          <w:lang w:val="en-US" w:eastAsia="zh-CN"/>
        </w:rPr>
        <w:t xml:space="preserve">督促检查和指导各镇（区）、县直部门的信访工作。对镇（区）党委、政府，县直部门信 访工作年度责任目标进行考核，对全县社会治安综合治理和维护社会政治稳定年度负责任目标中有关 信访工作进行考核。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lang w:val="en-US" w:eastAsia="zh-CN"/>
        </w:rPr>
        <w:t xml:space="preserve">协助国家信访局、省信访局、市信访局处理群众进京、赴省、到市上访工作；综合协调 处理跨地区、跨部门、跨行业的重要信访问题，协助公安机关维护县委、县政府机关正常工作秩序。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lang w:val="en-US" w:eastAsia="zh-CN"/>
        </w:rPr>
        <w:t xml:space="preserve">负责县级领导和县直部门领导公开接访和包联案件的组织协调工作。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（八）</w:t>
      </w:r>
      <w:r>
        <w:rPr>
          <w:rFonts w:ascii="Times New Roman" w:hAnsi="Times New Roman" w:eastAsia="仿宋_GB2312" w:cs="Times New Roman"/>
          <w:sz w:val="32"/>
          <w:szCs w:val="32"/>
          <w:lang w:val="en-US" w:eastAsia="zh-CN"/>
        </w:rPr>
        <w:t xml:space="preserve">承担县信访工作联席会议的日常工作，督促落实联席会议决定的事项。 </w:t>
      </w:r>
    </w:p>
    <w:p>
      <w:pPr>
        <w:spacing w:line="584" w:lineRule="exact"/>
        <w:ind w:firstLine="640" w:firstLineChars="200"/>
        <w:rPr>
          <w:rFonts w:ascii="Times New Roman" w:hAnsi="Times New Roman" w:eastAsia="楷体_GB2312" w:cs="Times New Roman"/>
          <w:b/>
          <w:sz w:val="32"/>
          <w:szCs w:val="32"/>
        </w:rPr>
      </w:pPr>
      <w:r>
        <w:rPr>
          <w:rFonts w:hint="eastAsia" w:ascii="Times New Roman" w:hAnsi="Times New Roman" w:eastAsia="仿宋_GB2312" w:cs="Times New Roman"/>
          <w:sz w:val="32"/>
          <w:szCs w:val="32"/>
          <w:lang w:val="en-US" w:eastAsia="zh-CN"/>
        </w:rPr>
        <w:t>（九）</w:t>
      </w:r>
      <w:r>
        <w:rPr>
          <w:rFonts w:ascii="Times New Roman" w:hAnsi="Times New Roman" w:eastAsia="仿宋_GB2312" w:cs="Times New Roman"/>
          <w:sz w:val="32"/>
          <w:szCs w:val="32"/>
          <w:lang w:val="en-US" w:eastAsia="zh-CN"/>
        </w:rPr>
        <w:t>完成县委、县政府和国家信访局、省信访局、市信访局交办的其他任务。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大城县信访局</w:t>
            </w:r>
          </w:p>
        </w:tc>
        <w:tc>
          <w:tcPr>
            <w:tcW w:w="1134" w:type="dxa"/>
            <w:noWrap w:val="0"/>
            <w:vAlign w:val="center"/>
          </w:tcPr>
          <w:p>
            <w:pPr>
              <w:spacing w:line="300" w:lineRule="exact"/>
              <w:jc w:val="center"/>
              <w:rPr>
                <w:rFonts w:hint="eastAsia" w:ascii="仿宋" w:hAnsi="仿宋" w:eastAsia="仿宋"/>
                <w:szCs w:val="24"/>
                <w:lang w:eastAsia="zh-CN"/>
              </w:rPr>
            </w:pPr>
            <w:r>
              <w:rPr>
                <w:rFonts w:hint="eastAsia" w:ascii="仿宋" w:hAnsi="仿宋" w:eastAsia="仿宋"/>
                <w:szCs w:val="24"/>
                <w:lang w:eastAsia="zh-CN"/>
              </w:rPr>
              <w:t>行政</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正科级</w:t>
            </w:r>
          </w:p>
        </w:tc>
        <w:tc>
          <w:tcPr>
            <w:tcW w:w="2902" w:type="dxa"/>
            <w:noWrap w:val="0"/>
            <w:vAlign w:val="center"/>
          </w:tcPr>
          <w:p>
            <w:pPr>
              <w:spacing w:line="300" w:lineRule="exact"/>
              <w:jc w:val="center"/>
              <w:rPr>
                <w:rFonts w:hint="eastAsia" w:ascii="仿宋" w:hAnsi="仿宋" w:eastAsia="仿宋"/>
                <w:szCs w:val="24"/>
                <w:lang w:eastAsia="zh-CN"/>
              </w:rPr>
            </w:pPr>
            <w:r>
              <w:rPr>
                <w:rFonts w:hint="eastAsia"/>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大城县信访局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557.14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557.14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557.14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209.54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188.31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21.24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347.6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2022年办公用房等修缮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2022年劳务派遣人员工资、保险等经费</w:t>
      </w:r>
      <w:r>
        <w:rPr>
          <w:rFonts w:hint="eastAsia" w:ascii="Times New Roman" w:hAnsi="Times New Roman" w:eastAsia="仿宋_GB2312" w:cs="Times New Roman"/>
          <w:sz w:val="32"/>
          <w:szCs w:val="32"/>
          <w:lang w:eastAsia="zh-CN"/>
        </w:rPr>
        <w:t>、2022年信访案件救助资金、2022年信访维稳经费</w:t>
      </w:r>
      <w:r>
        <w:rPr>
          <w:rFonts w:ascii="Times New Roman" w:hAnsi="Times New Roman" w:eastAsia="仿宋_GB2312" w:cs="Times New Roman"/>
          <w:sz w:val="32"/>
          <w:szCs w:val="32"/>
        </w:rPr>
        <w:t>等；其他支出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557.14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64.62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16.63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highlight w:val="none"/>
          <w:lang w:val="en-US" w:eastAsia="zh-CN"/>
        </w:rPr>
        <w:t>81.25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增加了</w:t>
      </w:r>
      <w:r>
        <w:rPr>
          <w:rFonts w:hint="eastAsia" w:ascii="Times New Roman" w:hAnsi="Times New Roman" w:eastAsia="仿宋_GB2312" w:cs="Times New Roman"/>
          <w:sz w:val="32"/>
          <w:szCs w:val="32"/>
        </w:rPr>
        <w:t>2022年信访维稳经费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我局机关运行经费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21.24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我局</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，公务接待费增加</w:t>
      </w:r>
      <w:r>
        <w:rPr>
          <w:rFonts w:hint="eastAsia" w:ascii="Times New Roman" w:hAnsi="Times New Roman" w:eastAsia="仿宋_GB2312" w:cs="Times New Roman"/>
          <w:sz w:val="32"/>
          <w:szCs w:val="32"/>
          <w:highlight w:val="none"/>
          <w:lang w:val="en-US" w:eastAsia="zh-CN"/>
        </w:rPr>
        <w:t>0万元。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Calibri" w:hAnsi="Calibri" w:cs="Calibri"/>
          <w:b w:val="0"/>
          <w:bCs w:val="0"/>
          <w:i w:val="0"/>
          <w:iCs w:val="0"/>
          <w:caps w:val="0"/>
          <w:color w:val="000000"/>
          <w:spacing w:val="0"/>
          <w:sz w:val="22"/>
          <w:szCs w:val="22"/>
        </w:rPr>
      </w:pPr>
      <w:r>
        <w:rPr>
          <w:rFonts w:hint="eastAsia" w:ascii="Times New Roman" w:hAnsi="Times New Roman" w:eastAsia="仿宋_GB2312" w:cs="Times New Roman"/>
          <w:sz w:val="32"/>
          <w:szCs w:val="32"/>
          <w:highlight w:val="none"/>
          <w:lang w:val="en-US" w:eastAsia="zh-CN"/>
        </w:rPr>
        <w:t>对上访人所反映的问题及时受理并交办给相关部门，同时让各部门做好上访人员的思想稳控工作。做好冬奥会、冬残奥会、全国“两会”等各重大会议期间的值守及稳控工作，接待分流越级上访人员，协助处理上级个访及集体访，做好闹访人员的稳控及劝返工作。按时办结上级交办的各类案件，提高信访案件结案率，提高信访受理满意度，维护国家机关的正常工作秩序，保障信访工作的正常进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1、劳务派遣人员工资及保险</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绩效目标：通过项目的开展准时准确的为15名劳务派遣人员发放工资及各类保险缴费。 </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绩效指标：提升我局工作效率时间，解决15名人员就业。</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2、门卫及律师咨询费</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绩效目标：通过项目的开展确保为门卫及律法发放劳务费，确保我局的安全运行。</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绩效指标：提升我局法律日常安全。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3、办公用房等修缮</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绩效目标：通过项目的开展确保信访局办公用房得到整体维修改造。</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绩效指标：改善办公环境，更好的满足工作人员的工作需求，提高整体工作效率。</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4、信访维稳经费</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绩效目标：通过项目的开展准时准确的解决特殊信访疑难问题，提高办理质量和效率。</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绩效指标：办理人民群众来信、来访、网上信访；协助上级信访局处理越级上访工作，做好各种大会议期间的值守及劝返工作。</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5、信访案件救助资金</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绩效目标：通过项目的开展对确有实际困难的特殊疑难信访个案当事人予以救助，</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绩效指标：解决信访人基本生活保障，解决部分特殊疑难问题。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1.强化服务意识，促进领导接访下访深入开展。</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2.强化基层基础，积极排查化解各种信访问题。认真做好初信、初访工作。高度重视初信初访办理工作，强化初信、初访台账管理。切实加大矛盾纠纷调处力度。多策并举，积极化解疑难信访问题。</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3.强化交办督办，推进信访问题的及时解决。</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4.强化依法处置，规范信访秩序。规范信访办理程序，把好受理、交办、转送、督办等各个环节，提高行政效率，确保信访事项按时按质办结。</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5.强化调查研究，积极提出化解矛盾纠纷的政策性意见。</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6.强化创新意识，不断完善工作机制，加强网络培训，各单位推进网上信访工作，为方便人民群众反映问题。</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7.强化自身建设，不断提高工作效率。加大对信访干部的培训力度，努力提高信访干部的综合素质。</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8.全力做好单位其他工作。</w:t>
      </w:r>
    </w:p>
    <w:p>
      <w:pPr>
        <w:spacing w:line="584" w:lineRule="exact"/>
        <w:ind w:firstLine="640" w:firstLineChars="200"/>
        <w:rPr>
          <w:rFonts w:hint="eastAsia" w:ascii="Times New Roman" w:hAnsi="Times New Roman" w:eastAsia="仿宋_GB2312"/>
          <w:sz w:val="32"/>
          <w:szCs w:val="32"/>
          <w:lang w:val="en-US" w:eastAsia="zh-CN"/>
        </w:rPr>
      </w:pPr>
    </w:p>
    <w:p>
      <w:pPr>
        <w:spacing w:line="584" w:lineRule="exact"/>
        <w:ind w:firstLine="640" w:firstLineChars="200"/>
        <w:rPr>
          <w:rFonts w:hint="eastAsia" w:ascii="Times New Roman" w:hAnsi="Times New Roman" w:eastAsia="仿宋_GB2312"/>
          <w:sz w:val="32"/>
          <w:szCs w:val="32"/>
          <w:lang w:val="en-US" w:eastAsia="zh-CN"/>
        </w:rPr>
      </w:pPr>
    </w:p>
    <w:p>
      <w:pPr>
        <w:spacing w:line="584" w:lineRule="exact"/>
        <w:ind w:firstLine="640" w:firstLineChars="200"/>
        <w:rPr>
          <w:rFonts w:hint="eastAsia" w:ascii="Times New Roman" w:hAnsi="Times New Roman" w:eastAsia="仿宋_GB2312"/>
          <w:sz w:val="32"/>
          <w:szCs w:val="32"/>
          <w:lang w:val="en-US" w:eastAsia="zh-CN"/>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一级指标</w:t>
            </w:r>
          </w:p>
        </w:tc>
        <w:tc>
          <w:tcPr>
            <w:tcW w:w="1384" w:type="dxa"/>
            <w:vMerge w:val="restart"/>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指标</w:t>
            </w:r>
          </w:p>
        </w:tc>
        <w:tc>
          <w:tcPr>
            <w:tcW w:w="1530" w:type="dxa"/>
            <w:vMerge w:val="restart"/>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三级</w:t>
            </w:r>
          </w:p>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指标</w:t>
            </w:r>
          </w:p>
        </w:tc>
        <w:tc>
          <w:tcPr>
            <w:tcW w:w="1663" w:type="dxa"/>
            <w:vMerge w:val="restart"/>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评（扣）分标准</w:t>
            </w:r>
          </w:p>
        </w:tc>
        <w:tc>
          <w:tcPr>
            <w:tcW w:w="1483" w:type="dxa"/>
            <w:vMerge w:val="restart"/>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绩效指标</w:t>
            </w:r>
          </w:p>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描述</w:t>
            </w:r>
          </w:p>
        </w:tc>
        <w:tc>
          <w:tcPr>
            <w:tcW w:w="2184" w:type="dxa"/>
            <w:gridSpan w:val="3"/>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指标值</w:t>
            </w:r>
          </w:p>
        </w:tc>
        <w:tc>
          <w:tcPr>
            <w:tcW w:w="765" w:type="dxa"/>
            <w:vMerge w:val="restart"/>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指标值</w:t>
            </w:r>
          </w:p>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384"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530"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663"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483"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14" w:type="dxa"/>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符号</w:t>
            </w:r>
          </w:p>
        </w:tc>
        <w:tc>
          <w:tcPr>
            <w:tcW w:w="533" w:type="dxa"/>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值</w:t>
            </w:r>
          </w:p>
        </w:tc>
        <w:tc>
          <w:tcPr>
            <w:tcW w:w="1137" w:type="dxa"/>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bCs/>
                <w:sz w:val="18"/>
                <w:szCs w:val="18"/>
              </w:rPr>
              <w:t>单位</w:t>
            </w:r>
          </w:p>
        </w:tc>
        <w:tc>
          <w:tcPr>
            <w:tcW w:w="765"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138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数量指标</w:t>
            </w:r>
          </w:p>
        </w:tc>
        <w:tc>
          <w:tcPr>
            <w:tcW w:w="1530"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信访案件</w:t>
            </w:r>
          </w:p>
        </w:tc>
        <w:tc>
          <w:tcPr>
            <w:tcW w:w="166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完成情况</w:t>
            </w:r>
          </w:p>
        </w:tc>
        <w:tc>
          <w:tcPr>
            <w:tcW w:w="148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信访案件办结率</w:t>
            </w:r>
          </w:p>
        </w:tc>
        <w:tc>
          <w:tcPr>
            <w:tcW w:w="51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53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1137"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当年发生案件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38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质量指标</w:t>
            </w:r>
          </w:p>
        </w:tc>
        <w:tc>
          <w:tcPr>
            <w:tcW w:w="153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及时率</w:t>
            </w:r>
          </w:p>
        </w:tc>
        <w:tc>
          <w:tcPr>
            <w:tcW w:w="166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接收时间</w:t>
            </w:r>
          </w:p>
        </w:tc>
        <w:tc>
          <w:tcPr>
            <w:tcW w:w="148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信访案件接收时效率</w:t>
            </w:r>
          </w:p>
        </w:tc>
        <w:tc>
          <w:tcPr>
            <w:tcW w:w="51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53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137"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当年发生案件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38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时效指标</w:t>
            </w:r>
          </w:p>
        </w:tc>
        <w:tc>
          <w:tcPr>
            <w:tcW w:w="153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时间</w:t>
            </w:r>
          </w:p>
        </w:tc>
        <w:tc>
          <w:tcPr>
            <w:tcW w:w="166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实际情况</w:t>
            </w:r>
          </w:p>
        </w:tc>
        <w:tc>
          <w:tcPr>
            <w:tcW w:w="148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工资保险发放缴纳时间</w:t>
            </w:r>
          </w:p>
        </w:tc>
        <w:tc>
          <w:tcPr>
            <w:tcW w:w="51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53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w:t>
            </w:r>
          </w:p>
        </w:tc>
        <w:tc>
          <w:tcPr>
            <w:tcW w:w="1137"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日</w:t>
            </w:r>
          </w:p>
        </w:tc>
        <w:tc>
          <w:tcPr>
            <w:tcW w:w="7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每月按时缴纳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38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成本指标</w:t>
            </w:r>
          </w:p>
        </w:tc>
        <w:tc>
          <w:tcPr>
            <w:tcW w:w="153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经费</w:t>
            </w:r>
          </w:p>
        </w:tc>
        <w:tc>
          <w:tcPr>
            <w:tcW w:w="166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预算批复</w:t>
            </w:r>
          </w:p>
        </w:tc>
        <w:tc>
          <w:tcPr>
            <w:tcW w:w="148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经费支出情况</w:t>
            </w:r>
          </w:p>
        </w:tc>
        <w:tc>
          <w:tcPr>
            <w:tcW w:w="51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53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347.6</w:t>
            </w:r>
          </w:p>
        </w:tc>
        <w:tc>
          <w:tcPr>
            <w:tcW w:w="1137"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万元</w:t>
            </w:r>
          </w:p>
        </w:tc>
        <w:tc>
          <w:tcPr>
            <w:tcW w:w="7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138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社会效益指标</w:t>
            </w:r>
          </w:p>
        </w:tc>
        <w:tc>
          <w:tcPr>
            <w:tcW w:w="1530"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就业</w:t>
            </w:r>
          </w:p>
        </w:tc>
        <w:tc>
          <w:tcPr>
            <w:tcW w:w="166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合同签订</w:t>
            </w:r>
          </w:p>
        </w:tc>
        <w:tc>
          <w:tcPr>
            <w:tcW w:w="148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解决物业人员人数</w:t>
            </w:r>
          </w:p>
        </w:tc>
        <w:tc>
          <w:tcPr>
            <w:tcW w:w="51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53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137"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人</w:t>
            </w:r>
          </w:p>
        </w:tc>
        <w:tc>
          <w:tcPr>
            <w:tcW w:w="765"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合同签订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38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可持续影响指标</w:t>
            </w:r>
          </w:p>
        </w:tc>
        <w:tc>
          <w:tcPr>
            <w:tcW w:w="1530"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时间</w:t>
            </w:r>
          </w:p>
        </w:tc>
        <w:tc>
          <w:tcPr>
            <w:tcW w:w="166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实际情况</w:t>
            </w:r>
          </w:p>
        </w:tc>
        <w:tc>
          <w:tcPr>
            <w:tcW w:w="148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持续影响力</w:t>
            </w:r>
          </w:p>
        </w:tc>
        <w:tc>
          <w:tcPr>
            <w:tcW w:w="51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53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137"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年</w:t>
            </w:r>
          </w:p>
        </w:tc>
        <w:tc>
          <w:tcPr>
            <w:tcW w:w="7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持续影响率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38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满意度</w:t>
            </w:r>
          </w:p>
        </w:tc>
        <w:tc>
          <w:tcPr>
            <w:tcW w:w="153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166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实际情况</w:t>
            </w:r>
          </w:p>
        </w:tc>
        <w:tc>
          <w:tcPr>
            <w:tcW w:w="148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群众满意度</w:t>
            </w:r>
          </w:p>
        </w:tc>
        <w:tc>
          <w:tcPr>
            <w:tcW w:w="51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53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90</w:t>
            </w:r>
          </w:p>
        </w:tc>
        <w:tc>
          <w:tcPr>
            <w:tcW w:w="1137"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7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问卷调查</w:t>
            </w:r>
          </w:p>
        </w:tc>
      </w:tr>
    </w:tbl>
    <w:p>
      <w:pPr>
        <w:widowControl/>
        <w:adjustRightInd w:val="0"/>
        <w:snapToGrid w:val="0"/>
        <w:jc w:val="center"/>
        <w:rPr>
          <w:rFonts w:hint="eastAsia" w:ascii="方正书宋_GBK" w:eastAsia="方正书宋_GBK"/>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2022年办公用房等修缮</w:t>
      </w:r>
      <w:r>
        <w:rPr>
          <w:rFonts w:ascii="Times New Roman" w:hAnsi="Times New Roman" w:eastAsia="仿宋_GB2312" w:cs="Times New Roman"/>
          <w:sz w:val="28"/>
        </w:rPr>
        <w:t>绩效目标表</w:t>
      </w:r>
      <w:bookmarkStart w:id="0" w:name="_Toc29799657"/>
      <w:bookmarkEnd w:id="0"/>
    </w:p>
    <w:tbl>
      <w:tblPr>
        <w:tblStyle w:val="8"/>
        <w:tblW w:w="125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8"/>
        <w:gridCol w:w="1952"/>
        <w:gridCol w:w="1186"/>
        <w:gridCol w:w="2536"/>
        <w:gridCol w:w="706"/>
        <w:gridCol w:w="704"/>
        <w:gridCol w:w="1767"/>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[13102522P00924810001L]2022年办公用房等修缮</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[202]大城县信访局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[202001]大城县信访局本级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r>
              <w:rPr>
                <w:rStyle w:val="13"/>
                <w:rFonts w:hint="eastAsia" w:ascii="宋体" w:hAnsi="宋体" w:eastAsia="宋体" w:cs="宋体"/>
                <w:sz w:val="18"/>
                <w:szCs w:val="18"/>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为保持信访办公楼原有的使用功能，防止、减少和控制其破损，保障办公环境。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目标内容1保障机关正常运行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目标内容2防止、减少办公用房破损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粉刷面积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受益职工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受益职工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单位职工数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来往群众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随机问答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随机问答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2022年劳务派遣人员工资、保险等经费项目</w:t>
      </w:r>
      <w:r>
        <w:rPr>
          <w:rFonts w:ascii="Times New Roman" w:hAnsi="Times New Roman" w:eastAsia="仿宋_GB2312" w:cs="Times New Roman"/>
          <w:sz w:val="28"/>
        </w:rPr>
        <w:t>绩效目标表</w:t>
      </w:r>
    </w:p>
    <w:tbl>
      <w:tblPr>
        <w:tblStyle w:val="8"/>
        <w:tblW w:w="137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8"/>
        <w:gridCol w:w="2214"/>
        <w:gridCol w:w="1132"/>
        <w:gridCol w:w="2876"/>
        <w:gridCol w:w="751"/>
        <w:gridCol w:w="749"/>
        <w:gridCol w:w="1969"/>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[13102522P00883110001H]2022年劳务派遣人员工资、保险等经费</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[202]大城县信访局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[202001]大城县信访局本级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64.00</w:t>
            </w:r>
            <w:r>
              <w:rPr>
                <w:rStyle w:val="14"/>
                <w:rFonts w:hint="eastAsia" w:ascii="宋体" w:hAnsi="宋体" w:eastAsia="宋体" w:cs="宋体"/>
                <w:sz w:val="18"/>
                <w:szCs w:val="18"/>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劳务派遣人员工资及保险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按时支付劳务派遣人员工资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按时缴纳劳务派遣人员各项保险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劳务派遣人数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签订合同职工数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河北省最低标准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按月发放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经费支出情况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解决无业人员人数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提升我局工作效率时间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合同签订时间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2022年门卫及律师咨询费项目</w:t>
      </w:r>
      <w:r>
        <w:rPr>
          <w:rFonts w:ascii="Times New Roman" w:hAnsi="Times New Roman" w:eastAsia="仿宋_GB2312" w:cs="Times New Roman"/>
          <w:sz w:val="28"/>
        </w:rPr>
        <w:t>绩效目标表</w:t>
      </w:r>
    </w:p>
    <w:tbl>
      <w:tblPr>
        <w:tblStyle w:val="8"/>
        <w:tblW w:w="138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8"/>
        <w:gridCol w:w="2369"/>
        <w:gridCol w:w="1211"/>
        <w:gridCol w:w="3077"/>
        <w:gridCol w:w="834"/>
        <w:gridCol w:w="831"/>
        <w:gridCol w:w="1784"/>
        <w:gridCol w:w="1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[13102522P009246100019]2022年门卫及律师咨询费</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[202]大城县信访局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[202001]大城县信访局本级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用于发放门卫工资及律师咨询费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目标内容1保障门卫工资的发放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目标内容2保障律师咨询费的发放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门卫问答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解决无业人员人数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律师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受益职工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提升我局法律日常安全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合同签订时间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宋体" w:hAnsi="宋体" w:eastAsia="宋体" w:cs="宋体"/>
          <w:sz w:val="18"/>
          <w:szCs w:val="18"/>
        </w:rPr>
      </w:pPr>
    </w:p>
    <w:p>
      <w:pPr>
        <w:numPr>
          <w:ilvl w:val="0"/>
          <w:numId w:val="0"/>
        </w:numPr>
        <w:jc w:val="left"/>
        <w:outlineLvl w:val="1"/>
        <w:rPr>
          <w:rFonts w:ascii="Times New Roman" w:hAnsi="Times New Roman" w:eastAsia="仿宋_GB2312" w:cs="Times New Roman"/>
          <w:sz w:val="28"/>
          <w:lang w:val="en-US" w:eastAsia="zh-CN"/>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2022年信访案件救助资金项目绩</w:t>
      </w:r>
      <w:r>
        <w:rPr>
          <w:rFonts w:ascii="Times New Roman" w:hAnsi="Times New Roman" w:eastAsia="仿宋_GB2312" w:cs="Times New Roman"/>
          <w:sz w:val="28"/>
        </w:rPr>
        <w:t>效目标表</w:t>
      </w:r>
    </w:p>
    <w:p>
      <w:pPr>
        <w:numPr>
          <w:ilvl w:val="0"/>
          <w:numId w:val="0"/>
        </w:numPr>
        <w:ind w:leftChars="200"/>
        <w:jc w:val="left"/>
        <w:outlineLvl w:val="1"/>
        <w:rPr>
          <w:rFonts w:ascii="Times New Roman" w:hAnsi="Times New Roman" w:eastAsia="仿宋_GB2312" w:cs="Times New Roman"/>
          <w:sz w:val="28"/>
        </w:rPr>
      </w:pPr>
    </w:p>
    <w:tbl>
      <w:tblPr>
        <w:tblStyle w:val="8"/>
        <w:tblW w:w="132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8"/>
        <w:gridCol w:w="2068"/>
        <w:gridCol w:w="1257"/>
        <w:gridCol w:w="2687"/>
        <w:gridCol w:w="856"/>
        <w:gridCol w:w="719"/>
        <w:gridCol w:w="1662"/>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[13102522P00924710001Y]2022年信访案件救助资金</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[202]大城县信访局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[202001]大城县信访局本级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主要用于解决信访人的合理诉求，对确有实际困难的特殊信访个案当事人予以救助，解决其基本生活保障。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目标内容1解决一部分信访问题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目标内容2做到息诉罢访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息诉罢访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息诉罢访率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息诉罢访率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项目年初预算资金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我县实际人口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受益访户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受益访户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随机问答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访户满意度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随机问答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ind w:leftChars="200"/>
        <w:jc w:val="left"/>
        <w:outlineLvl w:val="1"/>
        <w:rPr>
          <w:rFonts w:ascii="Times New Roman" w:hAnsi="Times New Roman" w:eastAsia="仿宋_GB2312" w:cs="Times New Roman"/>
          <w:sz w:val="28"/>
        </w:rPr>
      </w:pPr>
    </w:p>
    <w:p>
      <w:pPr>
        <w:numPr>
          <w:ilvl w:val="0"/>
          <w:numId w:val="0"/>
        </w:numPr>
        <w:ind w:leftChars="200"/>
        <w:jc w:val="left"/>
        <w:outlineLvl w:val="1"/>
        <w:rPr>
          <w:rFonts w:ascii="Times New Roman" w:hAnsi="Times New Roman" w:eastAsia="仿宋_GB2312" w:cs="Times New Roman"/>
          <w:sz w:val="28"/>
        </w:rPr>
      </w:pPr>
    </w:p>
    <w:p>
      <w:pPr>
        <w:numPr>
          <w:ilvl w:val="0"/>
          <w:numId w:val="0"/>
        </w:numPr>
        <w:ind w:leftChars="200"/>
        <w:jc w:val="left"/>
        <w:outlineLvl w:val="1"/>
        <w:rPr>
          <w:rFonts w:ascii="Times New Roman" w:hAnsi="Times New Roman" w:eastAsia="仿宋_GB2312" w:cs="Times New Roman"/>
          <w:sz w:val="28"/>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2022年信访维稳经费项目</w:t>
      </w:r>
      <w:r>
        <w:rPr>
          <w:rFonts w:ascii="Times New Roman" w:hAnsi="Times New Roman" w:eastAsia="仿宋_GB2312" w:cs="Times New Roman"/>
          <w:sz w:val="28"/>
        </w:rPr>
        <w:t>绩效目标表</w:t>
      </w:r>
    </w:p>
    <w:tbl>
      <w:tblPr>
        <w:tblStyle w:val="8"/>
        <w:tblW w:w="140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4"/>
        <w:gridCol w:w="2029"/>
        <w:gridCol w:w="1880"/>
        <w:gridCol w:w="2342"/>
        <w:gridCol w:w="1058"/>
        <w:gridCol w:w="775"/>
        <w:gridCol w:w="1778"/>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[13102522P00924510001K]2022年信访维稳经费</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[202]大城县信访局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[202001]大城县信访局本级</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220.00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办理群众来信、来访、网上信访；协助上级信访局处理越级上访工作。负责指导全县信访督查、复查复核、听证等工作，并对相关事项进行审核、上报；负责信访疑难案件的督办。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67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目标内容1妥善处置非正常访，维护社会大局和谐稳定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67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目标内容2解决特殊信访问题，畅通信访渠道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值班</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人数</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信访问题</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解决特殊信访疑难问题</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历年突发事件解决情况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信访事项按期结案率</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办理群众来信来访</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历年突发事件解决情况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信访问题接收时效</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历年突发事件解决情况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工作时间</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经费支出</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持续影响力</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持续影响率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受益群体</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受益群体</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黑体" w:cs="Times New Roman"/>
          <w:sz w:val="32"/>
          <w:szCs w:val="32"/>
          <w:lang w:val="en-US" w:eastAsia="zh-CN"/>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信访局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val="0"/>
                <w:bCs/>
              </w:rPr>
            </w:pPr>
          </w:p>
        </w:tc>
        <w:tc>
          <w:tcPr>
            <w:tcW w:w="1134"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1531"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1531"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709" w:type="dxa"/>
            <w:shd w:val="clear" w:color="auto" w:fill="auto"/>
            <w:vAlign w:val="center"/>
          </w:tcPr>
          <w:p>
            <w:pPr>
              <w:spacing w:line="300" w:lineRule="exact"/>
              <w:jc w:val="center"/>
              <w:rPr>
                <w:rFonts w:hint="eastAsia" w:ascii="方正书宋_GBK" w:eastAsia="方正书宋_GBK" w:cs="Times New Roman"/>
                <w:b w:val="0"/>
                <w:bCs/>
                <w:lang w:eastAsia="zh-CN"/>
              </w:rPr>
            </w:pPr>
          </w:p>
        </w:tc>
        <w:tc>
          <w:tcPr>
            <w:tcW w:w="907"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907"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133.02</w:t>
      </w:r>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信访局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133.02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C19D7"/>
    <w:multiLevelType w:val="singleLevel"/>
    <w:tmpl w:val="B8EC19D7"/>
    <w:lvl w:ilvl="0" w:tentative="0">
      <w:start w:val="3"/>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A5NTVmNjhhZmQ3ZjQzMGYwMDQzOWFiNzVmMWM0MjYifQ=="/>
  </w:docVars>
  <w:rsids>
    <w:rsidRoot w:val="00D347CC"/>
    <w:rsid w:val="004A54AA"/>
    <w:rsid w:val="00B80935"/>
    <w:rsid w:val="00D347CC"/>
    <w:rsid w:val="02732F88"/>
    <w:rsid w:val="02ED18F5"/>
    <w:rsid w:val="036B42F6"/>
    <w:rsid w:val="06D40AEF"/>
    <w:rsid w:val="06FC7C8A"/>
    <w:rsid w:val="07FE4C54"/>
    <w:rsid w:val="08F17C18"/>
    <w:rsid w:val="096075E0"/>
    <w:rsid w:val="0B8640B9"/>
    <w:rsid w:val="0BE3000C"/>
    <w:rsid w:val="0D337282"/>
    <w:rsid w:val="10306074"/>
    <w:rsid w:val="14B75B62"/>
    <w:rsid w:val="166A7CD9"/>
    <w:rsid w:val="18227E83"/>
    <w:rsid w:val="194D5548"/>
    <w:rsid w:val="1A0256C7"/>
    <w:rsid w:val="1C133195"/>
    <w:rsid w:val="1FA17F3E"/>
    <w:rsid w:val="250F4166"/>
    <w:rsid w:val="26C92C5D"/>
    <w:rsid w:val="270F5EE3"/>
    <w:rsid w:val="277067A1"/>
    <w:rsid w:val="28CF027D"/>
    <w:rsid w:val="2A9C54E8"/>
    <w:rsid w:val="2D9728B7"/>
    <w:rsid w:val="2E697C4C"/>
    <w:rsid w:val="30B11EC9"/>
    <w:rsid w:val="32805EA8"/>
    <w:rsid w:val="32DD614E"/>
    <w:rsid w:val="34B025C1"/>
    <w:rsid w:val="36E23E09"/>
    <w:rsid w:val="378C62F1"/>
    <w:rsid w:val="37CB65F4"/>
    <w:rsid w:val="38742FE5"/>
    <w:rsid w:val="3AED3825"/>
    <w:rsid w:val="3BAC05FC"/>
    <w:rsid w:val="3D5C4912"/>
    <w:rsid w:val="3F8A033F"/>
    <w:rsid w:val="40374002"/>
    <w:rsid w:val="43014594"/>
    <w:rsid w:val="45DA351F"/>
    <w:rsid w:val="46682F99"/>
    <w:rsid w:val="4668433B"/>
    <w:rsid w:val="46E71798"/>
    <w:rsid w:val="49634005"/>
    <w:rsid w:val="49717335"/>
    <w:rsid w:val="4A57197A"/>
    <w:rsid w:val="4C1309AF"/>
    <w:rsid w:val="4CCE387C"/>
    <w:rsid w:val="4D343D61"/>
    <w:rsid w:val="4F750978"/>
    <w:rsid w:val="4FFD5BE1"/>
    <w:rsid w:val="506568B4"/>
    <w:rsid w:val="523A3795"/>
    <w:rsid w:val="529F39C7"/>
    <w:rsid w:val="5357612F"/>
    <w:rsid w:val="55E73D2F"/>
    <w:rsid w:val="58A137B4"/>
    <w:rsid w:val="58AF03AE"/>
    <w:rsid w:val="59961702"/>
    <w:rsid w:val="59C46BA1"/>
    <w:rsid w:val="59E6060A"/>
    <w:rsid w:val="5A6A7EA6"/>
    <w:rsid w:val="5B177F52"/>
    <w:rsid w:val="5BE9378A"/>
    <w:rsid w:val="5C7E1F12"/>
    <w:rsid w:val="610105B8"/>
    <w:rsid w:val="63D158F2"/>
    <w:rsid w:val="67FB398A"/>
    <w:rsid w:val="687C0C91"/>
    <w:rsid w:val="6A1E4F6D"/>
    <w:rsid w:val="6A3B3474"/>
    <w:rsid w:val="6D0D4676"/>
    <w:rsid w:val="6D686D7A"/>
    <w:rsid w:val="70E57B3B"/>
    <w:rsid w:val="713D3C4A"/>
    <w:rsid w:val="74AE2B63"/>
    <w:rsid w:val="7693525B"/>
    <w:rsid w:val="79341AC6"/>
    <w:rsid w:val="79964022"/>
    <w:rsid w:val="7A3A3474"/>
    <w:rsid w:val="7A411B9B"/>
    <w:rsid w:val="7A6C3AF2"/>
    <w:rsid w:val="7EFA2FBC"/>
    <w:rsid w:val="7FAD34C0"/>
    <w:rsid w:val="7FE30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41"/>
    <w:basedOn w:val="9"/>
    <w:qFormat/>
    <w:uiPriority w:val="0"/>
    <w:rPr>
      <w:rFonts w:hint="eastAsia" w:ascii="宋体" w:hAnsi="宋体" w:eastAsia="宋体" w:cs="宋体"/>
      <w:color w:val="000000"/>
      <w:sz w:val="22"/>
      <w:szCs w:val="22"/>
      <w:u w:val="none"/>
    </w:rPr>
  </w:style>
  <w:style w:type="character" w:customStyle="1" w:styleId="14">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5622</Words>
  <Characters>6097</Characters>
  <Lines>23</Lines>
  <Paragraphs>6</Paragraphs>
  <TotalTime>24</TotalTime>
  <ScaleCrop>false</ScaleCrop>
  <LinksUpToDate>false</LinksUpToDate>
  <CharactersWithSpaces>6122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2022-07-28T09:18:01Z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E8F324BF07EC42B0B2159CBB4BE17433</vt:lpwstr>
  </property>
</Properties>
</file>