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color w:val="000000" w:themeColor="text1"/>
          <w:sz w:val="44"/>
          <w:szCs w:val="44"/>
          <w:highlight w:val="none"/>
          <w14:textFill>
            <w14:solidFill>
              <w14:schemeClr w14:val="tx1"/>
            </w14:solidFill>
          </w14:textFill>
        </w:rPr>
      </w:pPr>
    </w:p>
    <w:p>
      <w:pPr>
        <w:spacing w:line="584" w:lineRule="exact"/>
        <w:ind w:firstLine="880" w:firstLineChars="200"/>
        <w:jc w:val="center"/>
        <w:rPr>
          <w:rFonts w:ascii="Times New Roman" w:hAnsi="Times New Roman" w:eastAsia="仿宋_GB2312" w:cs="Times New Roman"/>
          <w:color w:val="000000" w:themeColor="text1"/>
          <w:sz w:val="44"/>
          <w:szCs w:val="44"/>
          <w:highlight w:val="none"/>
          <w14:textFill>
            <w14:solidFill>
              <w14:schemeClr w14:val="tx1"/>
            </w14:solidFill>
          </w14:textFill>
        </w:rPr>
      </w:pPr>
    </w:p>
    <w:p>
      <w:pPr>
        <w:spacing w:line="584" w:lineRule="exact"/>
        <w:ind w:firstLine="880" w:firstLineChars="200"/>
        <w:jc w:val="center"/>
        <w:rPr>
          <w:rFonts w:ascii="Times New Roman" w:hAnsi="Times New Roman" w:eastAsia="方正小标宋简体" w:cs="Times New Roman"/>
          <w:color w:val="000000" w:themeColor="text1"/>
          <w:sz w:val="44"/>
          <w:szCs w:val="44"/>
          <w:highlight w:val="none"/>
          <w14:textFill>
            <w14:solidFill>
              <w14:schemeClr w14:val="tx1"/>
            </w14:solidFill>
          </w14:textFill>
        </w:rPr>
      </w:pP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大城县</w:t>
      </w:r>
      <w:r>
        <w:rPr>
          <w:rFonts w:hint="eastAsia" w:ascii="Times New Roman" w:hAnsi="Times New Roman" w:eastAsia="方正小标宋简体" w:cs="Times New Roman"/>
          <w:color w:val="000000" w:themeColor="text1"/>
          <w:sz w:val="44"/>
          <w:szCs w:val="44"/>
          <w:highlight w:val="none"/>
          <w:lang w:eastAsia="zh-CN"/>
          <w14:textFill>
            <w14:solidFill>
              <w14:schemeClr w14:val="tx1"/>
            </w14:solidFill>
          </w14:textFill>
        </w:rPr>
        <w:t>平舒镇油房中心小学</w:t>
      </w:r>
      <w:r>
        <w:rPr>
          <w:rFonts w:ascii="Times New Roman" w:hAnsi="Times New Roman" w:eastAsia="方正小标宋简体" w:cs="Times New Roman"/>
          <w:color w:val="000000" w:themeColor="text1"/>
          <w:sz w:val="44"/>
          <w:szCs w:val="44"/>
          <w:highlight w:val="none"/>
          <w14:textFill>
            <w14:solidFill>
              <w14:schemeClr w14:val="tx1"/>
            </w14:solidFill>
          </w14:textFill>
        </w:rPr>
        <w:t>20</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22</w:t>
      </w:r>
      <w:r>
        <w:rPr>
          <w:rFonts w:ascii="Times New Roman" w:hAnsi="Times New Roman" w:eastAsia="方正小标宋简体" w:cs="Times New Roman"/>
          <w:color w:val="000000" w:themeColor="text1"/>
          <w:sz w:val="44"/>
          <w:szCs w:val="44"/>
          <w:highlight w:val="none"/>
          <w14:textFill>
            <w14:solidFill>
              <w14:schemeClr w14:val="tx1"/>
            </w14:solidFill>
          </w14:textFill>
        </w:rPr>
        <w:t>年部门预算信息公开</w:t>
      </w:r>
      <w:r>
        <w:rPr>
          <w:rFonts w:hint="eastAsia" w:ascii="Times New Roman" w:hAnsi="Times New Roman" w:eastAsia="方正小标宋简体" w:cs="Times New Roman"/>
          <w:color w:val="000000" w:themeColor="text1"/>
          <w:sz w:val="44"/>
          <w:szCs w:val="44"/>
          <w:highlight w:val="none"/>
          <w14:textFill>
            <w14:solidFill>
              <w14:schemeClr w14:val="tx1"/>
            </w14:solidFill>
          </w14:textFill>
        </w:rPr>
        <w:t>情况说明</w:t>
      </w:r>
    </w:p>
    <w:p>
      <w:pPr>
        <w:spacing w:line="584" w:lineRule="exact"/>
        <w:ind w:firstLine="880" w:firstLineChars="200"/>
        <w:jc w:val="center"/>
        <w:rPr>
          <w:rFonts w:hint="default" w:ascii="Times New Roman" w:hAnsi="Times New Roman" w:eastAsia="仿宋_GB2312" w:cs="Times New Roman"/>
          <w:color w:val="000000" w:themeColor="text1"/>
          <w:sz w:val="44"/>
          <w:szCs w:val="44"/>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44"/>
          <w:szCs w:val="44"/>
          <w:highlight w:val="none"/>
          <w:lang w:val="en-US" w:eastAsia="zh-CN"/>
          <w14:textFill>
            <w14:solidFill>
              <w14:schemeClr w14:val="tx1"/>
            </w14:solidFill>
          </w14:textFill>
        </w:rPr>
        <w:t xml:space="preserve">                              </w:t>
      </w:r>
    </w:p>
    <w:p>
      <w:pPr>
        <w:spacing w:line="58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大城县</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平舒</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油房</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中心小学</w:t>
      </w: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年部门预算公开如下：</w:t>
      </w:r>
    </w:p>
    <w:p>
      <w:pPr>
        <w:numPr>
          <w:ilvl w:val="0"/>
          <w:numId w:val="1"/>
        </w:num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部门职责及机构设置情况</w:t>
      </w:r>
    </w:p>
    <w:p>
      <w:pPr>
        <w:pStyle w:val="12"/>
        <w:spacing w:line="660" w:lineRule="exact"/>
        <w:ind w:firstLine="640" w:firstLineChars="200"/>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color w:val="000000" w:themeColor="text1"/>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一</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全面贯彻党的教育方针，大力实施素质教育。</w:t>
      </w:r>
    </w:p>
    <w:p>
      <w:pPr>
        <w:pStyle w:val="12"/>
        <w:spacing w:line="660" w:lineRule="exact"/>
        <w:ind w:firstLine="640" w:firstLineChars="200"/>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二</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 xml:space="preserve"> 研究拟定学校中长期发展规划和年度计划，组织小学教育教学工作，确保高质量的九年义务教育工作成果。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三</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坚持以教学为中心，努力提高教学质量，不断改进教学方法，提高办学水平。</w:t>
      </w:r>
    </w:p>
    <w:p>
      <w:pPr>
        <w:ind w:firstLine="627" w:firstLineChars="196"/>
        <w:rPr>
          <w:rFonts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四</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五</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六</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 xml:space="preserve"> 扎实开展文明校园创建工作，构建良好的教学环境氛围。</w:t>
      </w:r>
    </w:p>
    <w:p>
      <w:pPr>
        <w:pStyle w:val="12"/>
        <w:spacing w:line="660" w:lineRule="exact"/>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七</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eastAsia="zh-CN"/>
          <w14:textFill>
            <w14:solidFill>
              <w14:schemeClr w14:val="tx1"/>
            </w14:solidFill>
          </w14:textFill>
        </w:rPr>
        <w:t>严格管理学校教育经费，规范执行财务管理制度，做好各项财务报表和预决算方案编报工作。</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八</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规范学校办学行为、教师从教行为，杜绝违规办学、违规收费、有违师德师风等行为。</w:t>
      </w:r>
    </w:p>
    <w:p>
      <w:pPr>
        <w:ind w:firstLine="627" w:firstLineChars="196"/>
        <w:rPr>
          <w:rFonts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九</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严格按照上级部门要求，组织招生、入学和毕业鉴定工作。</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十</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组织做好教职工的考核、奖惩、工资、职称评定、退休审批及教师招聘等工作。</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十一</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加强党的建设，充分调动党员干部的积极性，在教育教学和其他各项工作中发挥党员先锋模范作用。</w:t>
      </w:r>
    </w:p>
    <w:p>
      <w:pPr>
        <w:ind w:firstLine="627" w:firstLineChars="196"/>
        <w:rPr>
          <w:rFonts w:hint="eastAsia" w:ascii="仿宋_GB2312" w:eastAsia="仿宋_GB2312"/>
          <w:color w:val="000000" w:themeColor="text1"/>
          <w:sz w:val="32"/>
          <w:szCs w:val="32"/>
          <w:highlight w:val="none"/>
          <w14:textFill>
            <w14:solidFill>
              <w14:schemeClr w14:val="tx1"/>
            </w14:solidFill>
          </w14:textFill>
        </w:rPr>
      </w:pP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hAnsi="Times New Roman" w:eastAsia="仿宋_GB2312"/>
          <w:color w:val="000000" w:themeColor="text1"/>
          <w:sz w:val="32"/>
          <w:szCs w:val="32"/>
          <w:highlight w:val="none"/>
          <w14:textFill>
            <w14:solidFill>
              <w14:schemeClr w14:val="tx1"/>
            </w14:solidFill>
          </w14:textFill>
        </w:rPr>
        <w:t>十二</w:t>
      </w:r>
      <w:r>
        <w:rPr>
          <w:rFonts w:ascii="仿宋_GB2312" w:hAnsi="Times New Roman"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pP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十三</w:t>
      </w:r>
      <w:r>
        <w:rPr>
          <w:rFonts w:ascii="仿宋_GB2312"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eastAsia" w:ascii="仿宋_GB2312" w:hAnsi="Times New Roman" w:eastAsia="仿宋_GB2312" w:cs="Times New Roman"/>
          <w:color w:val="000000" w:themeColor="text1"/>
          <w:kern w:val="2"/>
          <w:sz w:val="32"/>
          <w:szCs w:val="32"/>
          <w:highlight w:val="none"/>
          <w:lang w:eastAsia="zh-CN"/>
          <w14:textFill>
            <w14:solidFill>
              <w14:schemeClr w14:val="tx1"/>
            </w14:solidFill>
          </w14:textFill>
        </w:rPr>
        <w:t>完成县委和县政府以及上级主管部门交办的其他任务。</w:t>
      </w:r>
    </w:p>
    <w:p>
      <w:pPr>
        <w:numPr>
          <w:ilvl w:val="0"/>
          <w:numId w:val="0"/>
        </w:numPr>
        <w:spacing w:line="584" w:lineRule="exact"/>
        <w:rPr>
          <w:rFonts w:ascii="Times New Roman" w:hAnsi="Times New Roman" w:eastAsia="黑体" w:cs="Times New Roman"/>
          <w:color w:val="000000" w:themeColor="text1"/>
          <w:sz w:val="32"/>
          <w:szCs w:val="32"/>
          <w:highlight w:val="none"/>
          <w14:textFill>
            <w14:solidFill>
              <w14:schemeClr w14:val="tx1"/>
            </w14:solidFill>
          </w14:textFill>
        </w:rPr>
      </w:pPr>
    </w:p>
    <w:p>
      <w:pPr>
        <w:autoSpaceDE w:val="0"/>
        <w:autoSpaceDN w:val="0"/>
        <w:adjustRightInd w:val="0"/>
        <w:spacing w:line="584" w:lineRule="exact"/>
        <w:ind w:firstLine="630" w:firstLineChars="196"/>
        <w:jc w:val="left"/>
        <w:rPr>
          <w:rFonts w:ascii="Times New Roman" w:hAnsi="Times New Roman" w:eastAsia="楷体_GB2312" w:cs="Times New Roman"/>
          <w:b/>
          <w:color w:val="000000" w:themeColor="text1"/>
          <w:sz w:val="32"/>
          <w:szCs w:val="32"/>
          <w:highlight w:val="none"/>
          <w14:textFill>
            <w14:solidFill>
              <w14:schemeClr w14:val="tx1"/>
            </w14:solidFill>
          </w14:textFill>
        </w:rPr>
      </w:pPr>
      <w:r>
        <w:rPr>
          <w:rFonts w:ascii="Times New Roman" w:hAnsi="Times New Roman" w:eastAsia="楷体_GB2312" w:cs="Times New Roman"/>
          <w:b/>
          <w:color w:val="000000" w:themeColor="text1"/>
          <w:sz w:val="32"/>
          <w:szCs w:val="32"/>
          <w:highlight w:val="none"/>
          <w14:textFill>
            <w14:solidFill>
              <w14:schemeClr w14:val="tx1"/>
            </w14:solidFill>
          </w14:textFill>
        </w:rPr>
        <w:t>机构设置：</w:t>
      </w:r>
    </w:p>
    <w:p>
      <w:pPr>
        <w:spacing w:line="584" w:lineRule="exact"/>
        <w:jc w:val="center"/>
        <w:outlineLvl w:val="0"/>
        <w:rPr>
          <w:rFonts w:ascii="Times New Roman" w:hAnsi="Times New Roman" w:eastAsia="仿宋_GB2312" w:cs="Times New Roman"/>
          <w:b/>
          <w:color w:val="000000" w:themeColor="text1"/>
          <w:sz w:val="32"/>
          <w:szCs w:val="24"/>
          <w:highlight w:val="none"/>
          <w14:textFill>
            <w14:solidFill>
              <w14:schemeClr w14:val="tx1"/>
            </w14:solidFill>
          </w14:textFill>
        </w:rPr>
      </w:pPr>
      <w:r>
        <w:rPr>
          <w:rFonts w:ascii="Times New Roman" w:hAnsi="Times New Roman" w:eastAsia="仿宋_GB2312" w:cs="Times New Roman"/>
          <w:b/>
          <w:color w:val="000000" w:themeColor="text1"/>
          <w:sz w:val="32"/>
          <w:szCs w:val="24"/>
          <w:highlight w:val="none"/>
          <w14:textFill>
            <w14:solidFill>
              <w14:schemeClr w14:val="tx1"/>
            </w14:solidFill>
          </w14:textFill>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000000" w:themeColor="text1"/>
                <w:szCs w:val="24"/>
                <w:highlight w:val="none"/>
                <w14:textFill>
                  <w14:solidFill>
                    <w14:schemeClr w14:val="tx1"/>
                  </w14:solidFill>
                </w14:textFill>
              </w:rPr>
            </w:pPr>
            <w:r>
              <w:rPr>
                <w:rFonts w:ascii="Times New Roman" w:hAnsi="Times New Roman" w:eastAsia="仿宋_GB2312" w:cs="Times New Roman"/>
                <w:b/>
                <w:color w:val="000000" w:themeColor="text1"/>
                <w:szCs w:val="24"/>
                <w:highlight w:val="none"/>
                <w14:textFill>
                  <w14:solidFill>
                    <w14:schemeClr w14:val="tx1"/>
                  </w14:solidFill>
                </w14:textFill>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000000" w:themeColor="text1"/>
                <w:highlight w:val="none"/>
                <w14:textFill>
                  <w14:solidFill>
                    <w14:schemeClr w14:val="tx1"/>
                  </w14:solidFill>
                </w14:textFill>
              </w:rPr>
            </w:pPr>
          </w:p>
        </w:tc>
        <w:tc>
          <w:tcPr>
            <w:tcW w:w="1134" w:type="dxa"/>
            <w:vMerge w:val="continue"/>
            <w:shd w:val="clear" w:color="auto" w:fill="auto"/>
            <w:vAlign w:val="center"/>
          </w:tcPr>
          <w:p>
            <w:pPr>
              <w:rPr>
                <w:color w:val="000000" w:themeColor="text1"/>
                <w:highlight w:val="none"/>
                <w14:textFill>
                  <w14:solidFill>
                    <w14:schemeClr w14:val="tx1"/>
                  </w14:solidFill>
                </w14:textFill>
              </w:rPr>
            </w:pPr>
          </w:p>
        </w:tc>
        <w:tc>
          <w:tcPr>
            <w:tcW w:w="1276" w:type="dxa"/>
            <w:vMerge w:val="continue"/>
            <w:shd w:val="clear" w:color="auto" w:fill="auto"/>
            <w:vAlign w:val="center"/>
          </w:tcPr>
          <w:p>
            <w:pPr>
              <w:rPr>
                <w:color w:val="000000" w:themeColor="text1"/>
                <w:highlight w:val="none"/>
                <w14:textFill>
                  <w14:solidFill>
                    <w14:schemeClr w14:val="tx1"/>
                  </w14:solidFill>
                </w14:textFill>
              </w:rPr>
            </w:pPr>
          </w:p>
        </w:tc>
        <w:tc>
          <w:tcPr>
            <w:tcW w:w="2902" w:type="dxa"/>
            <w:vMerge w:val="continue"/>
            <w:shd w:val="clear" w:color="auto" w:fill="auto"/>
            <w:vAlign w:val="center"/>
          </w:tcPr>
          <w:p>
            <w:pPr>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color w:val="000000" w:themeColor="text1"/>
                <w:highlight w:val="none"/>
                <w14:textFill>
                  <w14:solidFill>
                    <w14:schemeClr w14:val="tx1"/>
                  </w14:solidFill>
                </w14:textFill>
              </w:rPr>
            </w:pPr>
            <w:r>
              <w:rPr>
                <w:rFonts w:hint="eastAsia" w:ascii="Times New Roman" w:hAnsi="Times New Roman" w:eastAsia="仿宋_GB2312" w:cs="Times New Roman"/>
                <w:b/>
                <w:color w:val="000000" w:themeColor="text1"/>
                <w:highlight w:val="none"/>
                <w14:textFill>
                  <w14:solidFill>
                    <w14:schemeClr w14:val="tx1"/>
                  </w14:solidFill>
                </w14:textFill>
              </w:rPr>
              <w:t>大城县</w:t>
            </w:r>
            <w:r>
              <w:rPr>
                <w:rFonts w:hint="eastAsia" w:ascii="Times New Roman" w:hAnsi="Times New Roman" w:eastAsia="仿宋_GB2312" w:cs="Times New Roman"/>
                <w:b/>
                <w:color w:val="000000" w:themeColor="text1"/>
                <w:highlight w:val="none"/>
                <w:lang w:eastAsia="zh-CN"/>
                <w14:textFill>
                  <w14:solidFill>
                    <w14:schemeClr w14:val="tx1"/>
                  </w14:solidFill>
                </w14:textFill>
              </w:rPr>
              <w:t>平舒</w:t>
            </w:r>
            <w:r>
              <w:rPr>
                <w:rFonts w:hint="eastAsia" w:ascii="Times New Roman" w:hAnsi="Times New Roman" w:eastAsia="仿宋_GB2312" w:cs="Times New Roman"/>
                <w:b/>
                <w:color w:val="000000" w:themeColor="text1"/>
                <w:highlight w:val="none"/>
                <w14:textFill>
                  <w14:solidFill>
                    <w14:schemeClr w14:val="tx1"/>
                  </w14:solidFill>
                </w14:textFill>
              </w:rPr>
              <w:t>镇</w:t>
            </w:r>
            <w:r>
              <w:rPr>
                <w:rFonts w:hint="eastAsia" w:ascii="Times New Roman" w:hAnsi="Times New Roman" w:eastAsia="仿宋_GB2312" w:cs="Times New Roman"/>
                <w:b/>
                <w:color w:val="000000" w:themeColor="text1"/>
                <w:highlight w:val="none"/>
                <w:lang w:eastAsia="zh-CN"/>
                <w14:textFill>
                  <w14:solidFill>
                    <w14:schemeClr w14:val="tx1"/>
                  </w14:solidFill>
                </w14:textFill>
              </w:rPr>
              <w:t>油房</w:t>
            </w:r>
            <w:r>
              <w:rPr>
                <w:rFonts w:hint="eastAsia" w:ascii="Times New Roman" w:hAnsi="Times New Roman" w:eastAsia="仿宋_GB2312" w:cs="Times New Roman"/>
                <w:b/>
                <w:color w:val="000000" w:themeColor="text1"/>
                <w:highlight w:val="none"/>
                <w14:textFill>
                  <w14:solidFill>
                    <w14:schemeClr w14:val="tx1"/>
                  </w14:solidFill>
                </w14:textFill>
              </w:rPr>
              <w:t>中心小学</w:t>
            </w:r>
          </w:p>
        </w:tc>
        <w:tc>
          <w:tcPr>
            <w:tcW w:w="1134" w:type="dxa"/>
            <w:shd w:val="clear" w:color="auto" w:fill="auto"/>
            <w:vAlign w:val="center"/>
          </w:tcPr>
          <w:p>
            <w:pPr>
              <w:spacing w:line="584" w:lineRule="exact"/>
              <w:jc w:val="center"/>
              <w:rPr>
                <w:rFonts w:ascii="Times New Roman" w:hAnsi="Times New Roman" w:eastAsia="仿宋_GB2312" w:cs="Times New Roman"/>
                <w:b/>
                <w:color w:val="000000" w:themeColor="text1"/>
                <w:highlight w:val="none"/>
                <w14:textFill>
                  <w14:solidFill>
                    <w14:schemeClr w14:val="tx1"/>
                  </w14:solidFill>
                </w14:textFill>
              </w:rPr>
            </w:pPr>
            <w:r>
              <w:rPr>
                <w:rFonts w:hint="eastAsia" w:ascii="Times New Roman" w:hAnsi="Times New Roman" w:eastAsia="仿宋_GB2312" w:cs="Times New Roman"/>
                <w:b/>
                <w:color w:val="000000" w:themeColor="text1"/>
                <w:highlight w:val="none"/>
                <w14:textFill>
                  <w14:solidFill>
                    <w14:schemeClr w14:val="tx1"/>
                  </w14:solidFill>
                </w14:textFill>
              </w:rPr>
              <w:t>事业单位</w:t>
            </w:r>
          </w:p>
        </w:tc>
        <w:tc>
          <w:tcPr>
            <w:tcW w:w="1276" w:type="dxa"/>
            <w:shd w:val="clear" w:color="auto" w:fill="auto"/>
            <w:vAlign w:val="center"/>
          </w:tcPr>
          <w:p>
            <w:pPr>
              <w:spacing w:line="584" w:lineRule="exact"/>
              <w:jc w:val="center"/>
              <w:rPr>
                <w:rFonts w:hint="eastAsia" w:ascii="Times New Roman" w:hAnsi="Times New Roman" w:eastAsia="仿宋_GB2312" w:cs="Times New Roman"/>
                <w:b/>
                <w:color w:val="000000" w:themeColor="text1"/>
                <w:highlight w:val="none"/>
                <w:lang w:eastAsia="zh-CN"/>
                <w14:textFill>
                  <w14:solidFill>
                    <w14:schemeClr w14:val="tx1"/>
                  </w14:solidFill>
                </w14:textFill>
              </w:rPr>
            </w:pPr>
            <w:r>
              <w:rPr>
                <w:rFonts w:hint="eastAsia" w:ascii="Times New Roman" w:hAnsi="Times New Roman" w:eastAsia="仿宋_GB2312" w:cs="Times New Roman"/>
                <w:b/>
                <w:color w:val="000000" w:themeColor="text1"/>
                <w:highlight w:val="none"/>
                <w:lang w:eastAsia="zh-CN"/>
                <w14:textFill>
                  <w14:solidFill>
                    <w14:schemeClr w14:val="tx1"/>
                  </w14:solidFill>
                </w14:textFill>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color w:val="000000" w:themeColor="text1"/>
                <w:sz w:val="18"/>
                <w:szCs w:val="18"/>
                <w:highlight w:val="none"/>
                <w14:textFill>
                  <w14:solidFill>
                    <w14:schemeClr w14:val="tx1"/>
                  </w14:solidFill>
                </w14:textFill>
              </w:rPr>
            </w:pPr>
            <w:r>
              <w:rPr>
                <w:rFonts w:ascii="Times New Roman" w:hAnsi="Times New Roman" w:eastAsia="仿宋" w:cs="Times New Roman"/>
                <w:b/>
                <w:color w:val="000000" w:themeColor="text1"/>
                <w:sz w:val="24"/>
                <w:szCs w:val="24"/>
                <w:highlight w:val="none"/>
                <w14:textFill>
                  <w14:solidFill>
                    <w14:schemeClr w14:val="tx1"/>
                  </w14:solidFill>
                </w14:textFill>
              </w:rPr>
              <w:t>财政性资金基本保证</w:t>
            </w:r>
          </w:p>
        </w:tc>
      </w:tr>
    </w:tbl>
    <w:p>
      <w:p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二、部门预算安排的总体情况</w:t>
      </w:r>
    </w:p>
    <w:p>
      <w:pPr>
        <w:spacing w:line="58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按照预算管理有关规定，目前我</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县</w:t>
      </w:r>
      <w:r>
        <w:rPr>
          <w:rFonts w:ascii="Times New Roman" w:hAnsi="Times New Roman" w:eastAsia="仿宋_GB2312" w:cs="Times New Roman"/>
          <w:color w:val="000000" w:themeColor="text1"/>
          <w:sz w:val="32"/>
          <w:szCs w:val="32"/>
          <w:highlight w:val="none"/>
          <w14:textFill>
            <w14:solidFill>
              <w14:schemeClr w14:val="tx1"/>
            </w14:solidFill>
          </w14:textFill>
        </w:rPr>
        <w:t>部门预算的编制实行综合预算制度，即全部收入和支出都反映在预算中。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大城县</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平舒镇油房中心小学</w:t>
      </w:r>
      <w:r>
        <w:rPr>
          <w:rFonts w:ascii="Times New Roman" w:hAnsi="Times New Roman" w:eastAsia="仿宋_GB2312" w:cs="Times New Roman"/>
          <w:color w:val="000000" w:themeColor="text1"/>
          <w:sz w:val="32"/>
          <w:szCs w:val="32"/>
          <w:highlight w:val="none"/>
          <w14:textFill>
            <w14:solidFill>
              <w14:schemeClr w14:val="tx1"/>
            </w14:solidFill>
          </w14:textFill>
        </w:rPr>
        <w:t>及所属事业单位的收支包含在部门预算中。</w:t>
      </w:r>
    </w:p>
    <w:p>
      <w:pPr>
        <w:spacing w:line="584" w:lineRule="exact"/>
        <w:ind w:firstLine="64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1、收入说明</w:t>
      </w:r>
    </w:p>
    <w:p>
      <w:pPr>
        <w:spacing w:line="584"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反映本部门当年全部收入。20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年预算收入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万元，其中：一般公共预算收入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328.05</w:t>
      </w:r>
      <w:r>
        <w:rPr>
          <w:rFonts w:ascii="Times New Roman" w:hAnsi="Times New Roman" w:eastAsia="仿宋_GB2312" w:cs="Times New Roman"/>
          <w:color w:val="000000" w:themeColor="text1"/>
          <w:sz w:val="32"/>
          <w:szCs w:val="32"/>
          <w:highlight w:val="none"/>
          <w14:textFill>
            <w14:solidFill>
              <w14:schemeClr w14:val="tx1"/>
            </w14:solidFill>
          </w14:textFill>
        </w:rPr>
        <w:t>万元，基金预算收入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万元，财政专户核拨收入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万元，其他来源收入</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上年结转</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0.04</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szCs w:val="32"/>
          <w:highlight w:val="none"/>
          <w14:textFill>
            <w14:solidFill>
              <w14:schemeClr w14:val="tx1"/>
            </w14:solidFill>
          </w14:textFill>
        </w:rPr>
        <w:t>。</w:t>
      </w:r>
    </w:p>
    <w:p>
      <w:pPr>
        <w:spacing w:line="584" w:lineRule="exact"/>
        <w:ind w:firstLine="64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2、支出说明</w:t>
      </w:r>
    </w:p>
    <w:p>
      <w:pPr>
        <w:spacing w:line="584" w:lineRule="exact"/>
        <w:ind w:firstLine="64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收支预算总表支出栏、基本支出表、项目支出表按经济分类和支出功能分类科目编制，反映</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校</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2022</w:t>
      </w:r>
      <w:r>
        <w:rPr>
          <w:rFonts w:ascii="Times New Roman" w:hAnsi="Times New Roman" w:eastAsia="仿宋_GB2312" w:cs="Times New Roman"/>
          <w:color w:val="000000" w:themeColor="text1"/>
          <w:sz w:val="32"/>
          <w:szCs w:val="32"/>
          <w:highlight w:val="none"/>
          <w14:textFill>
            <w14:solidFill>
              <w14:schemeClr w14:val="tx1"/>
            </w14:solidFill>
          </w14:textFill>
        </w:rPr>
        <w:t>年度部门预算中支出预算的总体情况。20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年支出预算</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万元，其中基本支出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万元，包括人员类项目经费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315.88</w:t>
      </w:r>
      <w:r>
        <w:rPr>
          <w:rFonts w:ascii="Times New Roman" w:hAnsi="Times New Roman" w:eastAsia="仿宋_GB2312" w:cs="Times New Roman"/>
          <w:color w:val="000000" w:themeColor="text1"/>
          <w:sz w:val="32"/>
          <w:szCs w:val="32"/>
          <w:highlight w:val="none"/>
          <w14:textFill>
            <w14:solidFill>
              <w14:schemeClr w14:val="tx1"/>
            </w14:solidFill>
          </w14:textFill>
        </w:rPr>
        <w:t>万元和</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运转类</w:t>
      </w:r>
      <w:r>
        <w:rPr>
          <w:rFonts w:ascii="Times New Roman" w:hAnsi="Times New Roman" w:eastAsia="仿宋_GB2312" w:cs="Times New Roman"/>
          <w:color w:val="000000" w:themeColor="text1"/>
          <w:sz w:val="32"/>
          <w:szCs w:val="32"/>
          <w:highlight w:val="none"/>
          <w14:textFill>
            <w14:solidFill>
              <w14:schemeClr w14:val="tx1"/>
            </w14:solidFill>
          </w14:textFill>
        </w:rPr>
        <w:t>公用项目经费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12.21</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spacing w:line="584" w:lineRule="exact"/>
        <w:ind w:firstLine="64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3、比上年增减情况</w:t>
      </w:r>
    </w:p>
    <w:p>
      <w:pPr>
        <w:spacing w:line="584" w:lineRule="exact"/>
        <w:ind w:firstLine="64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年预算收支安排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328.09</w:t>
      </w:r>
      <w:r>
        <w:rPr>
          <w:rFonts w:ascii="Times New Roman" w:hAnsi="Times New Roman" w:eastAsia="仿宋_GB2312" w:cs="Times New Roman"/>
          <w:color w:val="000000" w:themeColor="text1"/>
          <w:sz w:val="32"/>
          <w:szCs w:val="32"/>
          <w:highlight w:val="none"/>
          <w14:textFill>
            <w14:solidFill>
              <w14:schemeClr w14:val="tx1"/>
            </w14:solidFill>
          </w14:textFill>
        </w:rPr>
        <w:t>万元，较20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21</w:t>
      </w:r>
      <w:r>
        <w:rPr>
          <w:rFonts w:ascii="Times New Roman" w:hAnsi="Times New Roman" w:eastAsia="仿宋_GB2312" w:cs="Times New Roman"/>
          <w:color w:val="000000" w:themeColor="text1"/>
          <w:sz w:val="32"/>
          <w:szCs w:val="32"/>
          <w:highlight w:val="none"/>
          <w14:textFill>
            <w14:solidFill>
              <w14:schemeClr w14:val="tx1"/>
            </w14:solidFill>
          </w14:textFill>
        </w:rPr>
        <w:t>年预算</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减少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2.7</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万元，其中：基本支出增加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2.7</w:t>
      </w:r>
      <w:r>
        <w:rPr>
          <w:rFonts w:ascii="Times New Roman" w:hAnsi="Times New Roman" w:eastAsia="仿宋_GB2312" w:cs="Times New Roman"/>
          <w:color w:val="000000" w:themeColor="text1"/>
          <w:sz w:val="32"/>
          <w:szCs w:val="32"/>
          <w:highlight w:val="none"/>
          <w14:textFill>
            <w14:solidFill>
              <w14:schemeClr w14:val="tx1"/>
            </w14:solidFill>
          </w14:textFill>
        </w:rPr>
        <w:t>万元，主要为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基本工资</w:t>
      </w:r>
      <w:r>
        <w:rPr>
          <w:rFonts w:ascii="Times New Roman" w:hAnsi="Times New Roman" w:eastAsia="仿宋_GB2312" w:cs="Times New Roman"/>
          <w:color w:val="000000" w:themeColor="text1"/>
          <w:sz w:val="32"/>
          <w:szCs w:val="32"/>
          <w:highlight w:val="none"/>
          <w14:textFill>
            <w14:solidFill>
              <w14:schemeClr w14:val="tx1"/>
            </w14:solidFill>
          </w14:textFill>
        </w:rPr>
        <w:t>支出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autoSpaceDE w:val="0"/>
        <w:autoSpaceDN w:val="0"/>
        <w:adjustRightInd w:val="0"/>
        <w:spacing w:line="584" w:lineRule="exact"/>
        <w:ind w:left="198"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中心校</w:t>
      </w:r>
      <w:r>
        <w:rPr>
          <w:rFonts w:ascii="Times New Roman" w:hAnsi="Times New Roman" w:eastAsia="仿宋_GB2312" w:cs="Times New Roman"/>
          <w:color w:val="000000" w:themeColor="text1"/>
          <w:sz w:val="32"/>
          <w:szCs w:val="32"/>
          <w:highlight w:val="none"/>
          <w14:textFill>
            <w14:solidFill>
              <w14:schemeClr w14:val="tx1"/>
            </w14:solidFill>
          </w14:textFill>
        </w:rPr>
        <w:t>运行经费共计安排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12.21</w:t>
      </w:r>
      <w:r>
        <w:rPr>
          <w:rFonts w:ascii="Times New Roman" w:hAnsi="Times New Roman" w:eastAsia="仿宋_GB2312" w:cs="Times New Roman"/>
          <w:color w:val="000000" w:themeColor="text1"/>
          <w:sz w:val="32"/>
          <w:szCs w:val="32"/>
          <w:highlight w:val="none"/>
          <w14:textFill>
            <w14:solidFill>
              <w14:schemeClr w14:val="tx1"/>
            </w14:solidFill>
          </w14:textFill>
        </w:rPr>
        <w:t>万元，主要用于</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油房中心小学</w:t>
      </w:r>
      <w:r>
        <w:rPr>
          <w:rFonts w:ascii="Times New Roman" w:hAnsi="Times New Roman" w:eastAsia="仿宋_GB2312" w:cs="Times New Roman"/>
          <w:color w:val="000000" w:themeColor="text1"/>
          <w:sz w:val="32"/>
          <w:szCs w:val="32"/>
          <w:highlight w:val="none"/>
          <w14:textFill>
            <w14:solidFill>
              <w14:schemeClr w14:val="tx1"/>
            </w14:solidFill>
          </w14:textFill>
        </w:rPr>
        <w:t>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22</w:t>
      </w:r>
      <w:r>
        <w:rPr>
          <w:rFonts w:ascii="Times New Roman" w:hAnsi="Times New Roman" w:eastAsia="仿宋_GB2312" w:cs="Times New Roman"/>
          <w:color w:val="000000" w:themeColor="text1"/>
          <w:sz w:val="32"/>
          <w:szCs w:val="32"/>
          <w:highlight w:val="none"/>
          <w14:textFill>
            <w14:solidFill>
              <w14:schemeClr w14:val="tx1"/>
            </w14:solidFill>
          </w14:textFill>
        </w:rPr>
        <w:t>年，我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中心小学</w:t>
      </w:r>
      <w:r>
        <w:rPr>
          <w:rFonts w:ascii="Times New Roman" w:hAnsi="Times New Roman" w:eastAsia="仿宋_GB2312" w:cs="Times New Roman"/>
          <w:color w:val="000000" w:themeColor="text1"/>
          <w:sz w:val="32"/>
          <w:szCs w:val="32"/>
          <w:highlight w:val="none"/>
          <w14:textFill>
            <w14:solidFill>
              <w14:schemeClr w14:val="tx1"/>
            </w14:solidFill>
          </w14:textFill>
        </w:rPr>
        <w:t>财政拨款“三公”经费预算安排</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其中</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因公出国（境）费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万元；公务用车购置及运维费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万元（其中：公务用车购置费为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万元，公务用车运维费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万元)；公务接待费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万元。与20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21</w:t>
      </w:r>
      <w:r>
        <w:rPr>
          <w:rFonts w:ascii="Times New Roman" w:hAnsi="Times New Roman" w:eastAsia="仿宋_GB2312" w:cs="Times New Roman"/>
          <w:color w:val="000000" w:themeColor="text1"/>
          <w:sz w:val="32"/>
          <w:szCs w:val="32"/>
          <w:highlight w:val="none"/>
          <w14:textFill>
            <w14:solidFill>
              <w14:schemeClr w14:val="tx1"/>
            </w14:solidFill>
          </w14:textFill>
        </w:rPr>
        <w:t>年</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相比</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持平</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其中，</w:t>
      </w:r>
      <w:r>
        <w:rPr>
          <w:rFonts w:ascii="Times New Roman" w:hAnsi="Times New Roman" w:eastAsia="仿宋_GB2312" w:cs="Times New Roman"/>
          <w:color w:val="000000" w:themeColor="text1"/>
          <w:sz w:val="32"/>
          <w:szCs w:val="32"/>
          <w:highlight w:val="none"/>
          <w14:textFill>
            <w14:solidFill>
              <w14:schemeClr w14:val="tx1"/>
            </w14:solidFill>
          </w14:textFill>
        </w:rPr>
        <w:t>公务用车购置及运维费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万元（其中：公务用车购置费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万元，公务用车运维费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我部门切实落实勤俭节约各项规定，压减公车运行经费支出</w:t>
      </w:r>
      <w:r>
        <w:rPr>
          <w:rFonts w:ascii="Times New Roman" w:hAnsi="Times New Roman" w:eastAsia="仿宋_GB2312" w:cs="Times New Roman"/>
          <w:color w:val="000000" w:themeColor="text1"/>
          <w:sz w:val="32"/>
          <w:szCs w:val="32"/>
          <w:highlight w:val="none"/>
          <w14:textFill>
            <w14:solidFill>
              <w14:schemeClr w14:val="tx1"/>
            </w14:solidFill>
          </w14:textFill>
        </w:rPr>
        <w:t>；公务接待费</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我部门切实落实勤俭节约各项规定，严格控制公务接待费支出</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与20</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21</w:t>
      </w:r>
      <w:r>
        <w:rPr>
          <w:rFonts w:ascii="Times New Roman" w:hAnsi="Times New Roman" w:eastAsia="仿宋_GB2312" w:cs="Times New Roman"/>
          <w:color w:val="000000" w:themeColor="text1"/>
          <w:sz w:val="32"/>
          <w:szCs w:val="32"/>
          <w:highlight w:val="none"/>
          <w14:textFill>
            <w14:solidFill>
              <w14:schemeClr w14:val="tx1"/>
            </w14:solidFill>
          </w14:textFill>
        </w:rPr>
        <w:t>年相比持平，无增减变化。</w:t>
      </w:r>
    </w:p>
    <w:p>
      <w:p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五、绩效预算信息</w:t>
      </w:r>
    </w:p>
    <w:p>
      <w:pPr>
        <w:spacing w:line="584" w:lineRule="exact"/>
        <w:ind w:firstLine="640" w:firstLineChars="200"/>
        <w:rPr>
          <w:rFonts w:ascii="Times New Roman" w:hAnsi="Times New Roman" w:eastAsia="黑体" w:cs="Times New Roman"/>
          <w:color w:val="000000" w:themeColor="text1"/>
          <w:sz w:val="32"/>
          <w:szCs w:val="32"/>
          <w:highlight w:val="none"/>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第一部分 部门整体绩效目标</w:t>
      </w:r>
    </w:p>
    <w:p>
      <w:pPr>
        <w:spacing w:line="584" w:lineRule="exact"/>
        <w:ind w:firstLine="643" w:firstLineChars="200"/>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（一）总体绩效目标</w:t>
      </w:r>
    </w:p>
    <w:p>
      <w:pPr>
        <w:ind w:firstLine="640" w:firstLineChars="200"/>
        <w:rPr>
          <w:rFonts w:ascii="仿宋_GB2312"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w:t>
      </w:r>
      <w:r>
        <w:rPr>
          <w:rFonts w:hint="eastAsia" w:ascii="Times New Roman" w:hAnsi="Times New Roman" w:eastAsia="仿宋_GB2312"/>
          <w:color w:val="000000" w:themeColor="text1"/>
          <w:sz w:val="32"/>
          <w:szCs w:val="32"/>
          <w:highlight w:val="none"/>
          <w:lang w:eastAsia="zh-CN"/>
          <w14:textFill>
            <w14:solidFill>
              <w14:schemeClr w14:val="tx1"/>
            </w14:solidFill>
          </w14:textFill>
        </w:rPr>
        <w:t>学校</w:t>
      </w:r>
      <w:r>
        <w:rPr>
          <w:rFonts w:hint="eastAsia" w:ascii="Times New Roman" w:hAnsi="Times New Roman" w:eastAsia="仿宋_GB2312"/>
          <w:color w:val="000000" w:themeColor="text1"/>
          <w:sz w:val="32"/>
          <w:szCs w:val="32"/>
          <w:highlight w:val="none"/>
          <w14:textFill>
            <w14:solidFill>
              <w14:schemeClr w14:val="tx1"/>
            </w14:solidFill>
          </w14:textFill>
        </w:rPr>
        <w:t>的发展目标。</w:t>
      </w:r>
    </w:p>
    <w:p>
      <w:pPr>
        <w:spacing w:line="584" w:lineRule="exact"/>
        <w:ind w:firstLine="643" w:firstLineChars="200"/>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olor w:val="000000" w:themeColor="text1"/>
          <w:sz w:val="32"/>
          <w:szCs w:val="32"/>
          <w:highlight w:val="none"/>
          <w14:textFill>
            <w14:solidFill>
              <w14:schemeClr w14:val="tx1"/>
            </w14:solidFill>
          </w14:textFill>
        </w:rPr>
        <w:t>提高学生综合素质</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绩效目标：通过开展新生军训、运动会、足球特色学校建设等活动，提高学生综合素质，促进学生全面、健康成长。</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指标：在校舍建设、资金投入、师资配备、学位扩充等方面，加大工作力度，创新工作方式，必须按时完成基本消除大班额的工作目标。建立督导问责机制，市委督查室、市政府督查室会同市教育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hint="eastAsia" w:ascii="楷体_GB2312" w:eastAsia="楷体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绩效指标：开展教师岗位大练兵系列活动，组织优质课比赛、教师技能（素养）大赛、送教下乡、专题论坛等活动，提升师资队伍综合素质。</w:t>
      </w:r>
    </w:p>
    <w:p>
      <w:pPr>
        <w:numPr>
          <w:ilvl w:val="0"/>
          <w:numId w:val="2"/>
        </w:numPr>
        <w:spacing w:line="584" w:lineRule="exact"/>
        <w:ind w:firstLine="643" w:firstLineChars="200"/>
        <w:rPr>
          <w:rFonts w:hint="eastAsia"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工作保障措施</w:t>
      </w:r>
    </w:p>
    <w:p>
      <w:pPr>
        <w:spacing w:line="584"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加强支出管理。优化资金支出结构，将资金同项目实施挂钩，提升资金的使用效能。尽快履行采购手续，启动项目，及时支付资金，力争</w:t>
      </w:r>
      <w:r>
        <w:rPr>
          <w:rFonts w:ascii="Times New Roman" w:hAnsi="Times New Roman" w:eastAsia="仿宋_GB2312"/>
          <w:color w:val="000000" w:themeColor="text1"/>
          <w:sz w:val="32"/>
          <w:szCs w:val="32"/>
          <w:highlight w:val="none"/>
          <w14:textFill>
            <w14:solidFill>
              <w14:schemeClr w14:val="tx1"/>
            </w14:solidFill>
          </w14:textFill>
        </w:rPr>
        <w:t>202</w:t>
      </w:r>
      <w:r>
        <w:rPr>
          <w:rFonts w:hint="eastAsia" w:ascii="Times New Roman" w:hAnsi="Times New Roman" w:eastAsia="仿宋_GB2312"/>
          <w:color w:val="000000" w:themeColor="text1"/>
          <w:sz w:val="32"/>
          <w:szCs w:val="32"/>
          <w:highlight w:val="none"/>
          <w14:textFill>
            <w14:solidFill>
              <w14:schemeClr w14:val="tx1"/>
            </w14:solidFill>
          </w14:textFill>
        </w:rPr>
        <w:t>2年</w:t>
      </w:r>
      <w:r>
        <w:rPr>
          <w:rFonts w:ascii="Times New Roman" w:hAnsi="Times New Roman" w:eastAsia="仿宋_GB2312"/>
          <w:color w:val="000000" w:themeColor="text1"/>
          <w:sz w:val="32"/>
          <w:szCs w:val="32"/>
          <w:highlight w:val="none"/>
          <w14:textFill>
            <w14:solidFill>
              <w14:schemeClr w14:val="tx1"/>
            </w14:solidFill>
          </w14:textFill>
        </w:rPr>
        <w:t>6</w:t>
      </w:r>
      <w:r>
        <w:rPr>
          <w:rFonts w:hint="eastAsia" w:ascii="Times New Roman" w:hAnsi="Times New Roman" w:eastAsia="仿宋_GB2312"/>
          <w:color w:val="000000" w:themeColor="text1"/>
          <w:sz w:val="32"/>
          <w:szCs w:val="32"/>
          <w:highlight w:val="none"/>
          <w14:textFill>
            <w14:solidFill>
              <w14:schemeClr w14:val="tx1"/>
            </w14:solidFill>
          </w14:textFill>
        </w:rPr>
        <w:t>月底前完成支出进度的</w:t>
      </w:r>
      <w:r>
        <w:rPr>
          <w:rFonts w:ascii="Times New Roman" w:hAnsi="Times New Roman" w:eastAsia="仿宋_GB2312"/>
          <w:color w:val="000000" w:themeColor="text1"/>
          <w:sz w:val="32"/>
          <w:szCs w:val="32"/>
          <w:highlight w:val="none"/>
          <w14:textFill>
            <w14:solidFill>
              <w14:schemeClr w14:val="tx1"/>
            </w14:solidFill>
          </w14:textFill>
        </w:rPr>
        <w:t>60%,10</w:t>
      </w:r>
      <w:r>
        <w:rPr>
          <w:rFonts w:hint="eastAsia" w:ascii="Times New Roman" w:hAnsi="Times New Roman" w:eastAsia="仿宋_GB2312"/>
          <w:color w:val="000000" w:themeColor="text1"/>
          <w:sz w:val="32"/>
          <w:szCs w:val="32"/>
          <w:highlight w:val="none"/>
          <w14:textFill>
            <w14:solidFill>
              <w14:schemeClr w14:val="tx1"/>
            </w14:solidFill>
          </w14:textFill>
        </w:rPr>
        <w:t>月底前完成支出进度的</w:t>
      </w:r>
      <w:r>
        <w:rPr>
          <w:rFonts w:ascii="Times New Roman" w:hAnsi="Times New Roman" w:eastAsia="仿宋_GB2312"/>
          <w:color w:val="000000" w:themeColor="text1"/>
          <w:sz w:val="32"/>
          <w:szCs w:val="32"/>
          <w:highlight w:val="none"/>
          <w14:textFill>
            <w14:solidFill>
              <w14:schemeClr w14:val="tx1"/>
            </w14:solidFill>
          </w14:textFill>
        </w:rPr>
        <w:t>90%,</w:t>
      </w:r>
      <w:r>
        <w:rPr>
          <w:rFonts w:hint="eastAsia" w:ascii="Times New Roman" w:hAnsi="Times New Roman" w:eastAsia="仿宋_GB2312"/>
          <w:color w:val="000000" w:themeColor="text1"/>
          <w:sz w:val="32"/>
          <w:szCs w:val="32"/>
          <w:highlight w:val="none"/>
          <w14:textFill>
            <w14:solidFill>
              <w14:schemeClr w14:val="tx1"/>
            </w14:solidFill>
          </w14:textFill>
        </w:rPr>
        <w:t>年底前完成支出进度的</w:t>
      </w:r>
      <w:r>
        <w:rPr>
          <w:rFonts w:ascii="Times New Roman" w:hAnsi="Times New Roman" w:eastAsia="仿宋_GB2312"/>
          <w:color w:val="000000" w:themeColor="text1"/>
          <w:sz w:val="32"/>
          <w:szCs w:val="32"/>
          <w:highlight w:val="none"/>
          <w14:textFill>
            <w14:solidFill>
              <w14:schemeClr w14:val="tx1"/>
            </w14:solidFill>
          </w14:textFill>
        </w:rPr>
        <w:t>100%</w:t>
      </w:r>
      <w:r>
        <w:rPr>
          <w:rFonts w:hint="eastAsia" w:ascii="Times New Roman" w:hAnsi="Times New Roman" w:eastAsia="仿宋_GB2312"/>
          <w:color w:val="000000" w:themeColor="text1"/>
          <w:sz w:val="32"/>
          <w:szCs w:val="32"/>
          <w:highlight w:val="none"/>
          <w14:textFill>
            <w14:solidFill>
              <w14:schemeClr w14:val="tx1"/>
            </w14:solidFill>
          </w14:textFill>
        </w:rPr>
        <w:t>。</w:t>
      </w:r>
    </w:p>
    <w:p>
      <w:pPr>
        <w:spacing w:line="584" w:lineRule="exact"/>
        <w:ind w:firstLine="640" w:firstLineChars="200"/>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楷体_GB2312" w:eastAsia="楷体_GB2312" w:cs="Times New Roman"/>
          <w:b/>
          <w:color w:val="000000" w:themeColor="text1"/>
          <w:sz w:val="32"/>
          <w:szCs w:val="32"/>
          <w:highlight w:val="none"/>
          <w14:textFill>
            <w14:solidFill>
              <w14:schemeClr w14:val="tx1"/>
            </w14:solidFill>
          </w14:textFill>
        </w:rPr>
      </w:pPr>
      <w:r>
        <w:rPr>
          <w:rFonts w:hint="eastAsia" w:ascii="Times New Roman" w:hAnsi="Times New Roman" w:eastAsia="仿宋_GB2312"/>
          <w:color w:val="000000" w:themeColor="text1"/>
          <w:sz w:val="32"/>
          <w:szCs w:val="32"/>
          <w:highlight w:val="none"/>
          <w14:textFill>
            <w14:solidFill>
              <w14:schemeClr w14:val="tx1"/>
            </w14:solidFill>
          </w14:textFill>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3"/>
        </w:numPr>
        <w:overflowPunct w:val="0"/>
        <w:adjustRightInd w:val="0"/>
        <w:snapToGrid w:val="0"/>
        <w:spacing w:afterLines="50" w:line="580" w:lineRule="exact"/>
        <w:ind w:firstLine="630" w:firstLineChars="196"/>
        <w:jc w:val="left"/>
        <w:rPr>
          <w:rFonts w:ascii="楷体_GB2312" w:eastAsia="楷体_GB2312" w:cs="Times New Roman"/>
          <w:b/>
          <w:color w:val="000000" w:themeColor="text1"/>
          <w:sz w:val="32"/>
          <w:szCs w:val="32"/>
          <w:highlight w:val="none"/>
          <w14:textFill>
            <w14:solidFill>
              <w14:schemeClr w14:val="tx1"/>
            </w14:solidFill>
          </w14:textFill>
        </w:rPr>
      </w:pPr>
      <w:r>
        <w:rPr>
          <w:rFonts w:hint="eastAsia" w:ascii="楷体_GB2312" w:eastAsia="楷体_GB2312" w:cs="Times New Roman"/>
          <w:b/>
          <w:color w:val="000000" w:themeColor="text1"/>
          <w:sz w:val="32"/>
          <w:szCs w:val="32"/>
          <w:highlight w:val="none"/>
          <w14:textFill>
            <w14:solidFill>
              <w14:schemeClr w14:val="tx1"/>
            </w14:solidFill>
          </w14:textFill>
        </w:rPr>
        <w:t>部门整体支出绩效指标</w:t>
      </w:r>
    </w:p>
    <w:p>
      <w:pPr>
        <w:overflowPunct w:val="0"/>
        <w:adjustRightInd w:val="0"/>
        <w:snapToGrid w:val="0"/>
        <w:spacing w:afterLines="50" w:line="580" w:lineRule="exact"/>
        <w:jc w:val="left"/>
        <w:rPr>
          <w:rFonts w:ascii="楷体_GB2312" w:eastAsia="楷体_GB2312" w:cs="Times New Roman"/>
          <w:b/>
          <w:color w:val="000000" w:themeColor="text1"/>
          <w:sz w:val="32"/>
          <w:szCs w:val="32"/>
          <w:highlight w:val="none"/>
          <w14:textFill>
            <w14:solidFill>
              <w14:schemeClr w14:val="tx1"/>
            </w14:solidFill>
          </w14:textFill>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二级</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三级</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绩效指标</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指标值</w:t>
            </w:r>
          </w:p>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97"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2172"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1483"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543" w:type="dxa"/>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符号</w:t>
            </w:r>
          </w:p>
        </w:tc>
        <w:tc>
          <w:tcPr>
            <w:tcW w:w="488" w:type="dxa"/>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值</w:t>
            </w:r>
          </w:p>
        </w:tc>
        <w:tc>
          <w:tcPr>
            <w:tcW w:w="573" w:type="dxa"/>
            <w:tcBorders>
              <w:tl2br w:val="nil"/>
              <w:tr2bl w:val="nil"/>
            </w:tcBorders>
            <w:vAlign w:val="center"/>
          </w:tcPr>
          <w:p>
            <w:pPr>
              <w:widowControl/>
              <w:adjustRightInd w:val="0"/>
              <w:snapToGrid w:val="0"/>
              <w:jc w:val="center"/>
              <w:rPr>
                <w:rFonts w:ascii="方正书宋_GBK" w:eastAsia="方正书宋_GBK"/>
                <w:b/>
                <w:color w:val="000000" w:themeColor="text1"/>
                <w:highlight w:val="none"/>
                <w14:textFill>
                  <w14:solidFill>
                    <w14:schemeClr w14:val="tx1"/>
                  </w14:solidFill>
                </w14:textFill>
              </w:rPr>
            </w:pPr>
            <w:r>
              <w:rPr>
                <w:rFonts w:ascii="方正书宋_GBK" w:eastAsia="方正书宋_GBK"/>
                <w:b/>
                <w:color w:val="000000" w:themeColor="text1"/>
                <w:highlight w:val="none"/>
                <w14:textFill>
                  <w14:solidFill>
                    <w14:schemeClr w14:val="tx1"/>
                  </w14:solidFill>
                </w14:textFill>
              </w:rPr>
              <w:t>单位</w:t>
            </w:r>
          </w:p>
        </w:tc>
        <w:tc>
          <w:tcPr>
            <w:tcW w:w="1277" w:type="dxa"/>
            <w:vMerge w:val="continue"/>
            <w:tcBorders>
              <w:tl2br w:val="nil"/>
              <w:tr2bl w:val="nil"/>
            </w:tcBorders>
            <w:vAlign w:val="center"/>
          </w:tcPr>
          <w:p>
            <w:pP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数量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2172" w:type="dxa"/>
            <w:tcBorders>
              <w:tl2br w:val="nil"/>
              <w:tr2bl w:val="nil"/>
            </w:tcBorders>
            <w:vAlign w:val="center"/>
          </w:tcPr>
          <w:p>
            <w:pPr>
              <w:widowControl/>
              <w:adjustRightInd w:val="0"/>
              <w:snapToGrid w:val="0"/>
              <w:rPr>
                <w:rFonts w:hint="eastAsia" w:ascii="方正书宋_GBK" w:eastAsia="方正书宋_GBK"/>
                <w:color w:val="000000" w:themeColor="text1"/>
                <w:highlight w:val="none"/>
                <w:lang w:eastAsia="zh-CN"/>
                <w14:textFill>
                  <w14:solidFill>
                    <w14:schemeClr w14:val="tx1"/>
                  </w14:solidFill>
                </w14:textFill>
              </w:rPr>
            </w:pPr>
            <w:r>
              <w:rPr>
                <w:rFonts w:hint="eastAsia" w:ascii="方正书宋_GBK" w:eastAsia="方正书宋_GBK"/>
                <w:color w:val="000000" w:themeColor="text1"/>
                <w:highlight w:val="none"/>
                <w:lang w:eastAsia="zh-CN"/>
                <w14:textFill>
                  <w14:solidFill>
                    <w14:schemeClr w14:val="tx1"/>
                  </w14:solidFill>
                </w14:textFill>
              </w:rPr>
              <w:t>无</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54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 xml:space="preserve">41 </w:t>
            </w:r>
          </w:p>
        </w:tc>
        <w:tc>
          <w:tcPr>
            <w:tcW w:w="573" w:type="dxa"/>
            <w:tcBorders>
              <w:tl2br w:val="nil"/>
              <w:tr2bl w:val="nil"/>
            </w:tcBorders>
            <w:vAlign w:val="center"/>
          </w:tcPr>
          <w:p>
            <w:pPr>
              <w:widowControl/>
              <w:adjustRightInd w:val="0"/>
              <w:snapToGrid w:val="0"/>
              <w:jc w:val="center"/>
              <w:rPr>
                <w:rFonts w:hint="eastAsia" w:ascii="方正书宋_GBK" w:eastAsia="方正书宋_GBK"/>
                <w:color w:val="000000" w:themeColor="text1"/>
                <w:highlight w:val="none"/>
                <w:lang w:eastAsia="zh-CN"/>
                <w14:textFill>
                  <w14:solidFill>
                    <w14:schemeClr w14:val="tx1"/>
                  </w14:solidFill>
                </w14:textFill>
              </w:rPr>
            </w:pPr>
            <w:r>
              <w:rPr>
                <w:rFonts w:hint="eastAsia" w:ascii="方正书宋_GBK" w:eastAsia="方正书宋_GBK"/>
                <w:color w:val="000000" w:themeColor="text1"/>
                <w:highlight w:val="none"/>
                <w:lang w:eastAsia="zh-CN"/>
                <w14:textFill>
                  <w14:solidFill>
                    <w14:schemeClr w14:val="tx1"/>
                  </w14:solidFill>
                </w14:textFill>
              </w:rPr>
              <w:t>人</w:t>
            </w: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质量</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工资(福利)等发放精准性</w:t>
            </w:r>
          </w:p>
        </w:tc>
        <w:tc>
          <w:tcPr>
            <w:tcW w:w="2172" w:type="dxa"/>
            <w:tcBorders>
              <w:tl2br w:val="nil"/>
              <w:tr2bl w:val="nil"/>
            </w:tcBorders>
            <w:vAlign w:val="center"/>
          </w:tcPr>
          <w:p>
            <w:pPr>
              <w:widowControl/>
              <w:adjustRightInd w:val="0"/>
              <w:snapToGrid w:val="0"/>
              <w:rPr>
                <w:rFonts w:hint="eastAsia" w:ascii="方正书宋_GBK" w:eastAsia="方正书宋_GBK"/>
                <w:color w:val="000000" w:themeColor="text1"/>
                <w:highlight w:val="none"/>
                <w:lang w:eastAsia="zh-CN"/>
                <w14:textFill>
                  <w14:solidFill>
                    <w14:schemeClr w14:val="tx1"/>
                  </w14:solidFill>
                </w14:textFill>
              </w:rPr>
            </w:pPr>
            <w:r>
              <w:rPr>
                <w:rFonts w:hint="eastAsia" w:ascii="方正书宋_GBK" w:eastAsia="方正书宋_GBK"/>
                <w:color w:val="000000" w:themeColor="text1"/>
                <w:highlight w:val="none"/>
                <w:lang w:eastAsia="zh-CN"/>
                <w14:textFill>
                  <w14:solidFill>
                    <w14:schemeClr w14:val="tx1"/>
                  </w14:solidFill>
                </w14:textFill>
              </w:rPr>
              <w:t>无</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工资福利等发放人员范围的精准性和发放数据的准确性</w:t>
            </w:r>
          </w:p>
        </w:tc>
        <w:tc>
          <w:tcPr>
            <w:tcW w:w="543" w:type="dxa"/>
            <w:tcBorders>
              <w:tl2br w:val="nil"/>
              <w:tr2bl w:val="nil"/>
            </w:tcBorders>
            <w:vAlign w:val="center"/>
          </w:tcPr>
          <w:p>
            <w:pPr>
              <w:widowControl/>
              <w:adjustRightInd w:val="0"/>
              <w:snapToGrid w:val="0"/>
              <w:jc w:val="center"/>
              <w:rPr>
                <w:rFonts w:hint="eastAsia"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100%</w:t>
            </w: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时效</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工资(福利)发放及时性</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按规定时间发放</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工资福利等发放的时效情况</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成本</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按规定执行</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部门</w:t>
            </w:r>
            <w:r>
              <w:rPr>
                <w:rFonts w:hint="eastAsia" w:ascii="方正书宋_GBK" w:eastAsia="方正书宋_GBK"/>
                <w:color w:val="000000" w:themeColor="text1"/>
                <w:highlight w:val="none"/>
                <w14:textFill>
                  <w14:solidFill>
                    <w14:schemeClr w14:val="tx1"/>
                  </w14:solidFill>
                </w14:textFill>
              </w:rPr>
              <w:t>效果</w:t>
            </w: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社会</w:t>
            </w:r>
          </w:p>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ascii="方正书宋_GBK" w:eastAsia="方正书宋_GBK"/>
                <w:color w:val="000000" w:themeColor="text1"/>
                <w:highlight w:val="none"/>
                <w14:textFill>
                  <w14:solidFill>
                    <w14:schemeClr w14:val="tx1"/>
                  </w14:solidFill>
                </w14:textFill>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加强工作人员归属感，保持干部队伍稳定</w:t>
            </w:r>
          </w:p>
        </w:tc>
        <w:tc>
          <w:tcPr>
            <w:tcW w:w="217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保持干部队伍相对稳定</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通过按时按标准发放工资福利等，进一步增强干部职工得归属感，保持干部队伍相对稳定，保障办公正常运转</w:t>
            </w:r>
          </w:p>
        </w:tc>
        <w:tc>
          <w:tcPr>
            <w:tcW w:w="54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488"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573"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rPr>
                <w:color w:val="000000" w:themeColor="text1"/>
                <w:highlight w:val="none"/>
                <w14:textFill>
                  <w14:solidFill>
                    <w14:schemeClr w14:val="tx1"/>
                  </w14:solidFill>
                </w14:textFill>
              </w:rPr>
            </w:pPr>
          </w:p>
        </w:tc>
        <w:tc>
          <w:tcPr>
            <w:tcW w:w="825" w:type="dxa"/>
            <w:tcBorders>
              <w:tl2br w:val="nil"/>
              <w:tr2bl w:val="nil"/>
            </w:tcBorders>
            <w:vAlign w:val="center"/>
          </w:tcPr>
          <w:p>
            <w:pPr>
              <w:widowControl/>
              <w:adjustRightInd w:val="0"/>
              <w:snapToGrid w:val="0"/>
              <w:jc w:val="center"/>
              <w:rPr>
                <w:rFonts w:ascii="方正书宋_GBK" w:eastAsia="方正书宋_GBK"/>
                <w:color w:val="000000" w:themeColor="text1"/>
                <w:highlight w:val="none"/>
                <w14:textFill>
                  <w14:solidFill>
                    <w14:schemeClr w14:val="tx1"/>
                  </w14:solidFill>
                </w14:textFill>
              </w:rPr>
            </w:pPr>
            <w:r>
              <w:rPr>
                <w:rFonts w:hint="eastAsia" w:ascii="方正书宋_GBK" w:eastAsia="方正书宋_GBK"/>
                <w:color w:val="000000" w:themeColor="text1"/>
                <w:highlight w:val="none"/>
                <w14:textFill>
                  <w14:solidFill>
                    <w14:schemeClr w14:val="tx1"/>
                  </w14:solidFill>
                </w14:textFill>
              </w:rPr>
              <w:t>满意度</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单位人员满意度</w:t>
            </w:r>
          </w:p>
        </w:tc>
        <w:tc>
          <w:tcPr>
            <w:tcW w:w="2172"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单位人员对工资福利等发放工作的满意程度</w:t>
            </w:r>
          </w:p>
        </w:tc>
        <w:tc>
          <w:tcPr>
            <w:tcW w:w="543" w:type="dxa"/>
            <w:tcBorders>
              <w:tl2br w:val="nil"/>
              <w:tr2bl w:val="nil"/>
            </w:tcBorders>
            <w:vAlign w:val="center"/>
          </w:tcPr>
          <w:p>
            <w:pPr>
              <w:widowControl/>
              <w:adjustRightInd w:val="0"/>
              <w:snapToGrid w:val="0"/>
              <w:rPr>
                <w:rFonts w:hint="eastAsia"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w:t>
            </w:r>
          </w:p>
        </w:tc>
        <w:tc>
          <w:tcPr>
            <w:tcW w:w="488" w:type="dxa"/>
            <w:tcBorders>
              <w:tl2br w:val="nil"/>
              <w:tr2bl w:val="nil"/>
            </w:tcBorders>
            <w:vAlign w:val="center"/>
          </w:tcPr>
          <w:p>
            <w:pPr>
              <w:widowControl/>
              <w:adjustRightInd w:val="0"/>
              <w:snapToGrid w:val="0"/>
              <w:rPr>
                <w:rFonts w:hint="default" w:ascii="方正书宋_GBK" w:eastAsia="方正书宋_GBK"/>
                <w:color w:val="000000" w:themeColor="text1"/>
                <w:highlight w:val="none"/>
                <w:lang w:val="en-US" w:eastAsia="zh-CN"/>
                <w14:textFill>
                  <w14:solidFill>
                    <w14:schemeClr w14:val="tx1"/>
                  </w14:solidFill>
                </w14:textFill>
              </w:rPr>
            </w:pPr>
            <w:r>
              <w:rPr>
                <w:rFonts w:hint="eastAsia" w:ascii="方正书宋_GBK" w:eastAsia="方正书宋_GBK"/>
                <w:color w:val="000000" w:themeColor="text1"/>
                <w:highlight w:val="none"/>
                <w:lang w:val="en-US" w:eastAsia="zh-CN"/>
                <w14:textFill>
                  <w14:solidFill>
                    <w14:schemeClr w14:val="tx1"/>
                  </w14:solidFill>
                </w14:textFill>
              </w:rPr>
              <w:t>100%</w:t>
            </w:r>
          </w:p>
        </w:tc>
        <w:tc>
          <w:tcPr>
            <w:tcW w:w="573"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c>
          <w:tcPr>
            <w:tcW w:w="1277" w:type="dxa"/>
            <w:tcBorders>
              <w:tl2br w:val="nil"/>
              <w:tr2bl w:val="nil"/>
            </w:tcBorders>
            <w:vAlign w:val="center"/>
          </w:tcPr>
          <w:p>
            <w:pPr>
              <w:widowControl/>
              <w:adjustRightInd w:val="0"/>
              <w:snapToGrid w:val="0"/>
              <w:rPr>
                <w:rFonts w:ascii="方正书宋_GBK" w:eastAsia="方正书宋_GBK"/>
                <w:color w:val="000000" w:themeColor="text1"/>
                <w:highlight w:val="none"/>
                <w14:textFill>
                  <w14:solidFill>
                    <w14:schemeClr w14:val="tx1"/>
                  </w14:solidFill>
                </w14:textFill>
              </w:rPr>
            </w:pPr>
          </w:p>
        </w:tc>
      </w:tr>
    </w:tbl>
    <w:p>
      <w:pPr>
        <w:spacing w:line="584" w:lineRule="exact"/>
        <w:rPr>
          <w:rFonts w:ascii="仿宋_GB2312" w:eastAsia="仿宋_GB2312"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hint="eastAsia" w:ascii="Times New Roman" w:hAnsi="Times New Roman" w:eastAsia="黑体" w:cs="Times New Roman"/>
          <w:color w:val="000000" w:themeColor="text1"/>
          <w:sz w:val="32"/>
          <w:szCs w:val="32"/>
          <w:highlight w:val="none"/>
          <w14:textFill>
            <w14:solidFill>
              <w14:schemeClr w14:val="tx1"/>
            </w14:solidFill>
          </w14:textFill>
        </w:rPr>
      </w:pPr>
    </w:p>
    <w:p>
      <w:pPr>
        <w:spacing w:line="584" w:lineRule="exact"/>
        <w:ind w:firstLine="640" w:firstLineChars="200"/>
        <w:rPr>
          <w:rFonts w:ascii="Times New Roman" w:hAnsi="Times New Roman" w:eastAsia="仿宋_GB2312" w:cs="Times New Roman"/>
          <w:color w:val="000000" w:themeColor="text1"/>
          <w:sz w:val="28"/>
          <w:highlight w:val="none"/>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第二部分 资金绩效目标</w:t>
      </w:r>
    </w:p>
    <w:p>
      <w:p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color w:val="000000" w:themeColor="text1"/>
          <w:sz w:val="28"/>
          <w:highlight w:val="none"/>
          <w14:textFill>
            <w14:solidFill>
              <w14:schemeClr w14:val="tx1"/>
            </w14:solidFill>
          </w14:textFill>
        </w:rPr>
        <w:t>1.</w:t>
      </w:r>
      <w:r>
        <w:rPr>
          <w:rFonts w:hint="eastAsia" w:ascii="Times New Roman" w:hAnsi="Times New Roman" w:eastAsia="仿宋_GB2312" w:cs="Times New Roman"/>
          <w:color w:val="000000" w:themeColor="text1"/>
          <w:sz w:val="28"/>
          <w:highlight w:val="none"/>
          <w:lang w:eastAsia="zh-CN"/>
          <w14:textFill>
            <w14:solidFill>
              <w14:schemeClr w14:val="tx1"/>
            </w14:solidFill>
          </w14:textFill>
        </w:rPr>
        <w:t>人员经费</w:t>
      </w:r>
      <w:r>
        <w:rPr>
          <w:rFonts w:ascii="Times New Roman" w:hAnsi="Times New Roman" w:eastAsia="仿宋_GB2312" w:cs="Times New Roman"/>
          <w:color w:val="000000" w:themeColor="text1"/>
          <w:sz w:val="28"/>
          <w:highlight w:val="none"/>
          <w14:textFill>
            <w14:solidFill>
              <w14:schemeClr w14:val="tx1"/>
            </w14:solidFill>
          </w14:textFill>
        </w:rPr>
        <w:t>绩效目标表</w:t>
      </w:r>
      <w:bookmarkStart w:id="0" w:name="_Toc29799657"/>
      <w:bookmarkEnd w:id="0"/>
    </w:p>
    <w:tbl>
      <w:tblPr>
        <w:tblStyle w:val="8"/>
        <w:tblW w:w="15015" w:type="dxa"/>
        <w:tblInd w:w="0" w:type="dxa"/>
        <w:tblLayout w:type="fixed"/>
        <w:tblCellMar>
          <w:top w:w="0" w:type="dxa"/>
          <w:left w:w="108" w:type="dxa"/>
          <w:bottom w:w="0" w:type="dxa"/>
          <w:right w:w="108" w:type="dxa"/>
        </w:tblCellMar>
      </w:tblPr>
      <w:tblGrid>
        <w:gridCol w:w="991"/>
        <w:gridCol w:w="1324"/>
        <w:gridCol w:w="3280"/>
        <w:gridCol w:w="6099"/>
        <w:gridCol w:w="537"/>
        <w:gridCol w:w="461"/>
        <w:gridCol w:w="1442"/>
        <w:gridCol w:w="94"/>
        <w:gridCol w:w="787"/>
      </w:tblGrid>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项目编码及名称</w:t>
            </w:r>
          </w:p>
        </w:tc>
        <w:tc>
          <w:tcPr>
            <w:tcW w:w="10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[13102522D3B7F611C3200]2022人员类项目</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主管部门</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大城县教育和体育局</w:t>
            </w: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项目单位</w:t>
            </w:r>
          </w:p>
        </w:tc>
        <w:tc>
          <w:tcPr>
            <w:tcW w:w="107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color w:val="000000" w:themeColor="text1"/>
                <w:sz w:val="18"/>
                <w:szCs w:val="18"/>
                <w:highlight w:val="none"/>
                <w:lang w:val="en-US"/>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 xml:space="preserve">[360108] </w:t>
            </w:r>
            <w:r>
              <w:rPr>
                <w:rFonts w:hint="eastAsia" w:ascii="宋体" w:hAnsi="宋体" w:cs="宋体"/>
                <w:color w:val="000000" w:themeColor="text1"/>
                <w:sz w:val="15"/>
                <w:szCs w:val="15"/>
                <w:highlight w:val="none"/>
                <w:lang w:eastAsia="zh-CN"/>
                <w14:textFill>
                  <w14:solidFill>
                    <w14:schemeClr w14:val="tx1"/>
                  </w14:solidFill>
                </w14:textFill>
              </w:rPr>
              <w:t>大城县平舒镇油房中心小学</w:t>
            </w:r>
          </w:p>
        </w:tc>
        <w:tc>
          <w:tcPr>
            <w:tcW w:w="9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年度资金总额</w:t>
            </w:r>
          </w:p>
        </w:tc>
        <w:tc>
          <w:tcPr>
            <w:tcW w:w="23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315.889（万元）</w:t>
            </w:r>
          </w:p>
        </w:tc>
      </w:tr>
      <w:tr>
        <w:tblPrEx>
          <w:tblCellMar>
            <w:top w:w="0" w:type="dxa"/>
            <w:left w:w="108" w:type="dxa"/>
            <w:bottom w:w="0" w:type="dxa"/>
            <w:right w:w="108" w:type="dxa"/>
          </w:tblCellMar>
        </w:tblPrEx>
        <w:trPr>
          <w:trHeight w:val="6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资金用途</w:t>
            </w:r>
          </w:p>
        </w:tc>
        <w:tc>
          <w:tcPr>
            <w:tcW w:w="1402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用于保障我单位2022年财政供养人员工资待遇</w:t>
            </w:r>
            <w:r>
              <w:rPr>
                <w:rFonts w:hint="eastAsia" w:ascii="宋体" w:hAnsi="宋体" w:cs="宋体"/>
                <w:color w:val="000000" w:themeColor="text1"/>
                <w:sz w:val="18"/>
                <w:szCs w:val="18"/>
                <w:highlight w:val="none"/>
                <w14:textFill>
                  <w14:solidFill>
                    <w14:schemeClr w14:val="tx1"/>
                  </w14:solidFill>
                </w14:textFill>
              </w:rPr>
              <w:tab/>
            </w:r>
            <w:r>
              <w:rPr>
                <w:rFonts w:hint="eastAsia" w:ascii="宋体" w:hAnsi="宋体" w:cs="宋体"/>
                <w:color w:val="000000" w:themeColor="text1"/>
                <w:sz w:val="18"/>
                <w:szCs w:val="18"/>
                <w:highlight w:val="none"/>
                <w14:textFill>
                  <w14:solidFill>
                    <w14:schemeClr w14:val="tx1"/>
                  </w14:solidFill>
                </w14:textFill>
              </w:rPr>
              <w:tab/>
            </w:r>
            <w:r>
              <w:rPr>
                <w:rFonts w:hint="eastAsia" w:ascii="宋体" w:hAnsi="宋体" w:cs="宋体"/>
                <w:color w:val="000000" w:themeColor="text1"/>
                <w:sz w:val="18"/>
                <w:szCs w:val="18"/>
                <w:highlight w:val="none"/>
                <w14:textFill>
                  <w14:solidFill>
                    <w14:schemeClr w14:val="tx1"/>
                  </w14:solidFill>
                </w14:textFill>
              </w:rPr>
              <w:tab/>
            </w:r>
            <w:r>
              <w:rPr>
                <w:rFonts w:hint="eastAsia" w:ascii="宋体" w:hAnsi="宋体" w:cs="宋体"/>
                <w:color w:val="000000" w:themeColor="text1"/>
                <w:sz w:val="18"/>
                <w:szCs w:val="18"/>
                <w:highlight w:val="none"/>
                <w14:textFill>
                  <w14:solidFill>
                    <w14:schemeClr w14:val="tx1"/>
                  </w14:solidFill>
                </w14:textFill>
              </w:rPr>
              <w:tab/>
            </w:r>
          </w:p>
        </w:tc>
      </w:tr>
      <w:tr>
        <w:tblPrEx>
          <w:tblCellMar>
            <w:top w:w="0" w:type="dxa"/>
            <w:left w:w="108" w:type="dxa"/>
            <w:bottom w:w="0" w:type="dxa"/>
            <w:right w:w="108" w:type="dxa"/>
          </w:tblCellMar>
        </w:tblPrEx>
        <w:trPr>
          <w:trHeight w:val="405"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资金支出计划</w:t>
            </w:r>
            <w:r>
              <w:rPr>
                <w:rFonts w:hint="eastAsia" w:ascii="宋体" w:hAnsi="宋体" w:cs="宋体"/>
                <w:b/>
                <w:bCs/>
                <w:color w:val="000000" w:themeColor="text1"/>
                <w:kern w:val="0"/>
                <w:sz w:val="18"/>
                <w:szCs w:val="18"/>
                <w:highlight w:val="none"/>
                <w14:textFill>
                  <w14:solidFill>
                    <w14:schemeClr w14:val="tx1"/>
                  </w14:solidFill>
                </w14:textFill>
              </w:rPr>
              <w:br w:type="textWrapping"/>
            </w:r>
            <w:r>
              <w:rPr>
                <w:rFonts w:hint="eastAsia" w:ascii="宋体" w:hAnsi="宋体" w:cs="宋体"/>
                <w:b/>
                <w:bCs/>
                <w:color w:val="000000" w:themeColor="text1"/>
                <w:kern w:val="0"/>
                <w:sz w:val="18"/>
                <w:szCs w:val="18"/>
                <w:highlight w:val="none"/>
                <w14:textFill>
                  <w14:solidFill>
                    <w14:schemeClr w14:val="tx1"/>
                  </w14:solidFill>
                </w14:textFill>
              </w:rPr>
              <w:t>（累计支出比例）</w:t>
            </w:r>
          </w:p>
        </w:tc>
        <w:tc>
          <w:tcPr>
            <w:tcW w:w="4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3月底</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6月底</w:t>
            </w:r>
          </w:p>
        </w:tc>
        <w:tc>
          <w:tcPr>
            <w:tcW w:w="2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10月底</w:t>
            </w:r>
          </w:p>
        </w:tc>
        <w:tc>
          <w:tcPr>
            <w:tcW w:w="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12月底</w:t>
            </w:r>
          </w:p>
        </w:tc>
      </w:tr>
      <w:tr>
        <w:tblPrEx>
          <w:tblCellMar>
            <w:top w:w="0" w:type="dxa"/>
            <w:left w:w="108" w:type="dxa"/>
            <w:bottom w:w="0" w:type="dxa"/>
            <w:right w:w="108" w:type="dxa"/>
          </w:tblCellMar>
        </w:tblPrEx>
        <w:trPr>
          <w:trHeight w:val="538"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46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0.3</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0.5</w:t>
            </w:r>
          </w:p>
        </w:tc>
        <w:tc>
          <w:tcPr>
            <w:tcW w:w="2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0.8</w:t>
            </w:r>
          </w:p>
        </w:tc>
        <w:tc>
          <w:tcPr>
            <w:tcW w:w="8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w:t>
            </w: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年度绩效目标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目标1</w:t>
            </w:r>
          </w:p>
        </w:tc>
        <w:tc>
          <w:tcPr>
            <w:tcW w:w="127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1.主要用于人员工资福利等支出，保障办公正常运转。</w:t>
            </w:r>
          </w:p>
        </w:tc>
      </w:tr>
      <w:tr>
        <w:tblPrEx>
          <w:tblCellMar>
            <w:top w:w="0" w:type="dxa"/>
            <w:left w:w="108" w:type="dxa"/>
            <w:bottom w:w="0" w:type="dxa"/>
            <w:right w:w="108" w:type="dxa"/>
          </w:tblCellMar>
        </w:tblPrEx>
        <w:trPr>
          <w:trHeight w:val="300"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一级指标</w:t>
            </w:r>
          </w:p>
        </w:tc>
        <w:tc>
          <w:tcPr>
            <w:tcW w:w="1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二级指标</w:t>
            </w:r>
          </w:p>
        </w:tc>
        <w:tc>
          <w:tcPr>
            <w:tcW w:w="32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三级指标</w:t>
            </w:r>
          </w:p>
        </w:tc>
        <w:tc>
          <w:tcPr>
            <w:tcW w:w="6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绩效指标描述（指标内容）</w:t>
            </w:r>
          </w:p>
        </w:tc>
        <w:tc>
          <w:tcPr>
            <w:tcW w:w="25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指标值</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指标确定依据</w:t>
            </w:r>
          </w:p>
        </w:tc>
      </w:tr>
      <w:tr>
        <w:tblPrEx>
          <w:tblCellMar>
            <w:top w:w="0" w:type="dxa"/>
            <w:left w:w="108" w:type="dxa"/>
            <w:bottom w:w="0" w:type="dxa"/>
            <w:right w:w="108" w:type="dxa"/>
          </w:tblCellMar>
        </w:tblPrEx>
        <w:trPr>
          <w:trHeight w:val="30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32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6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符号</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值</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单位（文字描述）</w:t>
            </w: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产出指标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数量指标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保障人数</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人</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41</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34"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b/>
                <w:bCs/>
                <w:color w:val="000000" w:themeColor="text1"/>
                <w:sz w:val="18"/>
                <w:szCs w:val="18"/>
                <w:highlight w:val="none"/>
                <w14:textFill>
                  <w14:solidFill>
                    <w14:schemeClr w14:val="tx1"/>
                  </w14:solidFill>
                </w14:textFill>
              </w:rPr>
              <w:t>质量指标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工资(福利)等发放精准性</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工资福利等发放人员范围的精准性和发放数据的准确性</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cs="宋体"/>
                <w:i w:val="0"/>
                <w:iCs w:val="0"/>
                <w:color w:val="000000" w:themeColor="text1"/>
                <w:kern w:val="2"/>
                <w:sz w:val="20"/>
                <w:szCs w:val="20"/>
                <w:highlight w:val="none"/>
                <w:u w:val="none"/>
                <w:lang w:val="en-US" w:eastAsia="zh-CN" w:bidi="ar-SA"/>
                <w14:textFill>
                  <w14:solidFill>
                    <w14:schemeClr w14:val="tx1"/>
                  </w14:solidFill>
                </w14:textFill>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themeColor="text1"/>
                <w:sz w:val="18"/>
                <w:szCs w:val="18"/>
                <w:highlight w:val="none"/>
                <w14:textFill>
                  <w14:solidFill>
                    <w14:schemeClr w14:val="tx1"/>
                  </w14:solidFill>
                </w14:textFill>
              </w:rPr>
            </w:pPr>
            <w:r>
              <w:rPr>
                <w:rFonts w:hint="eastAsia"/>
                <w:b/>
                <w:bCs/>
                <w:color w:val="000000" w:themeColor="text1"/>
                <w:sz w:val="18"/>
                <w:szCs w:val="18"/>
                <w:highlight w:val="none"/>
                <w14:textFill>
                  <w14:solidFill>
                    <w14:schemeClr w14:val="tx1"/>
                  </w14:solidFill>
                </w14:textFill>
              </w:rPr>
              <w:t>时效指标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工资(福利)发放及时性</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工资福利等发放的时效情况</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highlight w:val="none"/>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按规定时间发放</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30" w:hRule="atLeast"/>
        </w:trPr>
        <w:tc>
          <w:tcPr>
            <w:tcW w:w="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8"/>
                <w:szCs w:val="18"/>
                <w:highlight w:val="none"/>
                <w14:textFill>
                  <w14:solidFill>
                    <w14:schemeClr w14:val="tx1"/>
                  </w14:solidFill>
                </w14:textFill>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成本指标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工资（福利）、社会保障（公积金）等发放（缴纳）标准</w:t>
            </w:r>
          </w:p>
        </w:tc>
        <w:tc>
          <w:tcPr>
            <w:tcW w:w="53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themeColor="text1"/>
                <w:sz w:val="18"/>
                <w:szCs w:val="18"/>
                <w:highlight w:val="none"/>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ascii="宋体" w:hAnsi="宋体" w:cs="宋体"/>
                <w:color w:val="000000" w:themeColor="text1"/>
                <w:sz w:val="18"/>
                <w:szCs w:val="18"/>
                <w:highlight w:val="none"/>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按规定执行</w:t>
            </w:r>
          </w:p>
        </w:tc>
        <w:tc>
          <w:tcPr>
            <w:tcW w:w="787" w:type="dxa"/>
            <w:tcBorders>
              <w:top w:val="single" w:color="000000" w:sz="4" w:space="0"/>
              <w:left w:val="single" w:color="000000" w:sz="4" w:space="0"/>
              <w:bottom w:val="single" w:color="000000" w:sz="4" w:space="0"/>
              <w:right w:val="single" w:color="000000" w:sz="4" w:space="0"/>
            </w:tcBorders>
            <w:shd w:val="clear" w:color="auto" w:fill="auto"/>
          </w:tcPr>
          <w:p>
            <w:pPr>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效益指标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社会效益指标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加强工作人员归属感，保持干部队伍稳定</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通过按时按标准发放工资福利等，进一步增强干部职工得归属感，保持干部队伍相对稳定，保障办公正常运转</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highlight w:val="none"/>
                <w14:textFill>
                  <w14:solidFill>
                    <w14:schemeClr w14:val="tx1"/>
                  </w14:solidFill>
                </w14:textFill>
              </w:rPr>
            </w:pP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16"/>
                <w:szCs w:val="16"/>
                <w:highlight w:val="none"/>
                <w:u w:val="none"/>
                <w:lang w:val="en-US" w:eastAsia="zh-CN" w:bidi="ar"/>
                <w14:textFill>
                  <w14:solidFill>
                    <w14:schemeClr w14:val="tx1"/>
                  </w14:solidFill>
                </w14:textFill>
              </w:rPr>
              <w:t>保持干部队伍相对稳定</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8"/>
                <w:szCs w:val="18"/>
                <w:highlight w:val="none"/>
                <w14:textFill>
                  <w14:solidFill>
                    <w14:schemeClr w14:val="tx1"/>
                  </w14:solidFill>
                </w14:textFill>
              </w:rPr>
            </w:pPr>
            <w:r>
              <w:rPr>
                <w:rFonts w:hint="eastAsia" w:ascii="宋体" w:hAnsi="宋体" w:cs="宋体"/>
                <w:b/>
                <w:bCs/>
                <w:color w:val="000000" w:themeColor="text1"/>
                <w:kern w:val="0"/>
                <w:sz w:val="18"/>
                <w:szCs w:val="18"/>
                <w:highlight w:val="none"/>
                <w14:textFill>
                  <w14:solidFill>
                    <w14:schemeClr w14:val="tx1"/>
                  </w14:solidFill>
                </w14:textFill>
              </w:rPr>
              <w:t>满意度指标</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t>服务对象满意度指标</w:t>
            </w:r>
          </w:p>
        </w:tc>
        <w:tc>
          <w:tcPr>
            <w:tcW w:w="3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单位人员满意度</w:t>
            </w:r>
          </w:p>
        </w:tc>
        <w:tc>
          <w:tcPr>
            <w:tcW w:w="6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单位人员对工资福利等发放工作的满意程度</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w:t>
            </w:r>
          </w:p>
        </w:tc>
        <w:tc>
          <w:tcPr>
            <w:tcW w:w="4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2"/>
                <w:sz w:val="20"/>
                <w:szCs w:val="20"/>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100%</w:t>
            </w:r>
          </w:p>
        </w:tc>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8"/>
                <w:szCs w:val="18"/>
                <w:highlight w:val="none"/>
                <w14:textFill>
                  <w14:solidFill>
                    <w14:schemeClr w14:val="tx1"/>
                  </w14:solidFill>
                </w14:textFill>
              </w:rPr>
            </w:pPr>
          </w:p>
        </w:tc>
      </w:tr>
    </w:tbl>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vanish/>
          <w:color w:val="000000" w:themeColor="text1"/>
          <w:sz w:val="28"/>
          <w:highlight w:val="none"/>
          <w14:textFill>
            <w14:solidFill>
              <w14:schemeClr w14:val="tx1"/>
            </w14:solidFill>
          </w14:textFill>
        </w:rPr>
      </w:pPr>
    </w:p>
    <w:p>
      <w:p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vanish/>
          <w:color w:val="000000" w:themeColor="text1"/>
          <w:sz w:val="28"/>
          <w:highlight w:val="none"/>
          <w14:textFill>
            <w14:solidFill>
              <w14:schemeClr w14:val="tx1"/>
            </w14:solidFill>
          </w14:textFill>
        </w:rPr>
        <w:t>{ TC 2、办公自动化（OA）和督查督办系统升级及推广费绩效目标表 \f C \l 1 }</w:t>
      </w:r>
    </w:p>
    <w:p>
      <w:pPr>
        <w:numPr>
          <w:ilvl w:val="0"/>
          <w:numId w:val="4"/>
        </w:numPr>
        <w:ind w:firstLine="560" w:firstLineChars="200"/>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hint="eastAsia" w:ascii="Times New Roman" w:hAnsi="Times New Roman" w:eastAsia="仿宋_GB2312" w:cs="Times New Roman"/>
          <w:color w:val="000000" w:themeColor="text1"/>
          <w:sz w:val="28"/>
          <w:highlight w:val="none"/>
          <w:lang w:eastAsia="zh-CN"/>
          <w14:textFill>
            <w14:solidFill>
              <w14:schemeClr w14:val="tx1"/>
            </w14:solidFill>
          </w14:textFill>
        </w:rPr>
        <w:t>日常公用经费</w:t>
      </w:r>
      <w:r>
        <w:rPr>
          <w:rFonts w:ascii="Times New Roman" w:hAnsi="Times New Roman" w:eastAsia="仿宋_GB2312" w:cs="Times New Roman"/>
          <w:color w:val="000000" w:themeColor="text1"/>
          <w:sz w:val="28"/>
          <w:highlight w:val="none"/>
          <w14:textFill>
            <w14:solidFill>
              <w14:schemeClr w14:val="tx1"/>
            </w14:solidFill>
          </w14:textFill>
        </w:rPr>
        <w:t>绩效目标表</w:t>
      </w:r>
    </w:p>
    <w:tbl>
      <w:tblPr>
        <w:tblStyle w:val="8"/>
        <w:tblW w:w="14649" w:type="dxa"/>
        <w:tblInd w:w="96" w:type="dxa"/>
        <w:tblLayout w:type="fixed"/>
        <w:tblCellMar>
          <w:top w:w="0" w:type="dxa"/>
          <w:left w:w="108" w:type="dxa"/>
          <w:bottom w:w="0" w:type="dxa"/>
          <w:right w:w="108" w:type="dxa"/>
        </w:tblCellMar>
      </w:tblPr>
      <w:tblGrid>
        <w:gridCol w:w="1656"/>
        <w:gridCol w:w="2051"/>
        <w:gridCol w:w="1095"/>
        <w:gridCol w:w="450"/>
        <w:gridCol w:w="2879"/>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[13102522D3B8424BF3480]2022年公用经费类项目  </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eastAsia="zh-CN"/>
                <w14:textFill>
                  <w14:solidFill>
                    <w14:schemeClr w14:val="tx1"/>
                  </w14:solidFill>
                </w14:textFill>
              </w:rPr>
              <w:t>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项目单位</w:t>
            </w:r>
          </w:p>
        </w:tc>
        <w:tc>
          <w:tcPr>
            <w:tcW w:w="64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[360108]</w:t>
            </w:r>
            <w:r>
              <w:rPr>
                <w:rFonts w:hint="eastAsia" w:ascii="宋体" w:hAnsi="宋体" w:cs="宋体"/>
                <w:color w:val="000000" w:themeColor="text1"/>
                <w:sz w:val="21"/>
                <w:szCs w:val="21"/>
                <w:highlight w:val="none"/>
                <w:lang w:eastAsia="zh-CN"/>
                <w14:textFill>
                  <w14:solidFill>
                    <w14:schemeClr w14:val="tx1"/>
                  </w14:solidFill>
                </w14:textFill>
              </w:rPr>
              <w:t>大城县平舒镇油房中心小学</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21"/>
                <w:szCs w:val="21"/>
                <w:highlight w:val="none"/>
                <w14:textFill>
                  <w14:solidFill>
                    <w14:schemeClr w14:val="tx1"/>
                  </w14:solidFill>
                </w14:textFill>
              </w:rPr>
            </w:pPr>
            <w:r>
              <w:rPr>
                <w:rFonts w:hint="eastAsia" w:ascii="宋体" w:hAnsi="宋体" w:cs="宋体"/>
                <w:b/>
                <w:bCs/>
                <w:color w:val="000000" w:themeColor="text1"/>
                <w:kern w:val="0"/>
                <w:sz w:val="21"/>
                <w:szCs w:val="21"/>
                <w:highlight w:val="none"/>
                <w14:textFill>
                  <w14:solidFill>
                    <w14:schemeClr w14:val="tx1"/>
                  </w14:solidFill>
                </w14:textFill>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315.88（万元）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资金用途</w:t>
            </w:r>
          </w:p>
        </w:tc>
        <w:tc>
          <w:tcPr>
            <w:tcW w:w="1299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保障我单位2022年日常运转支出</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资金支出计划</w:t>
            </w:r>
            <w:r>
              <w:rPr>
                <w:rFonts w:hint="eastAsia" w:ascii="宋体" w:hAnsi="宋体" w:cs="宋体"/>
                <w:b/>
                <w:bCs/>
                <w:color w:val="000000" w:themeColor="text1"/>
                <w:kern w:val="0"/>
                <w:sz w:val="15"/>
                <w:szCs w:val="15"/>
                <w:highlight w:val="none"/>
                <w14:textFill>
                  <w14:solidFill>
                    <w14:schemeClr w14:val="tx1"/>
                  </w14:solidFill>
                </w14:textFill>
              </w:rPr>
              <w:br w:type="textWrapping"/>
            </w:r>
            <w:r>
              <w:rPr>
                <w:rFonts w:hint="eastAsia" w:ascii="宋体" w:hAnsi="宋体" w:cs="宋体"/>
                <w:b/>
                <w:bCs/>
                <w:color w:val="000000" w:themeColor="text1"/>
                <w:kern w:val="0"/>
                <w:sz w:val="15"/>
                <w:szCs w:val="15"/>
                <w:highlight w:val="none"/>
                <w14:textFill>
                  <w14:solidFill>
                    <w14:schemeClr w14:val="tx1"/>
                  </w14:solidFill>
                </w14:textFill>
              </w:rPr>
              <w:t>（累计支出比例）</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3月底</w:t>
            </w:r>
          </w:p>
        </w:tc>
        <w:tc>
          <w:tcPr>
            <w:tcW w:w="3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0.3</w:t>
            </w:r>
          </w:p>
        </w:tc>
        <w:tc>
          <w:tcPr>
            <w:tcW w:w="33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0.5</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0.8</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cs="宋体"/>
                <w:color w:val="000000" w:themeColor="text1"/>
                <w:sz w:val="15"/>
                <w:szCs w:val="15"/>
                <w:highlight w:val="none"/>
                <w:lang w:val="en-US" w:eastAsia="zh-CN"/>
                <w14:textFill>
                  <w14:solidFill>
                    <w14:schemeClr w14:val="tx1"/>
                  </w14:solidFill>
                </w14:textFill>
              </w:rPr>
              <w:t>1</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年度绩效目标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目标1</w:t>
            </w:r>
          </w:p>
        </w:tc>
        <w:tc>
          <w:tcPr>
            <w:tcW w:w="1094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做好经费保障工作，保障办公正常运转</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一级指标</w:t>
            </w:r>
          </w:p>
        </w:tc>
        <w:tc>
          <w:tcPr>
            <w:tcW w:w="20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三级指标</w:t>
            </w:r>
          </w:p>
        </w:tc>
        <w:tc>
          <w:tcPr>
            <w:tcW w:w="2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产出指标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数量指标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保障办公人数</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保障办公人数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themeColor="text1"/>
                <w:sz w:val="18"/>
                <w:szCs w:val="18"/>
                <w:highlight w:val="none"/>
                <w14:textFill>
                  <w14:solidFill>
                    <w14:schemeClr w14:val="tx1"/>
                  </w14:solidFill>
                </w14:textFill>
              </w:rPr>
            </w:pPr>
            <w:r>
              <w:rPr>
                <w:rFonts w:hint="eastAsia" w:ascii="宋体" w:hAnsi="宋体" w:eastAsia="宋体" w:cs="宋体"/>
                <w:i w:val="0"/>
                <w:iCs w:val="0"/>
                <w:color w:val="000000" w:themeColor="text1"/>
                <w:kern w:val="0"/>
                <w:sz w:val="18"/>
                <w:szCs w:val="18"/>
                <w:highlight w:val="none"/>
                <w:u w:val="none"/>
                <w:lang w:val="en-US" w:eastAsia="zh-CN" w:bidi="ar"/>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41</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人</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是否保障办公人数</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质量指标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运转保障率</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各项日常工作保障率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是否保障各项日常工作</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时效指标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经费保障及时性</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及时保障各项日常办公需要</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themeColor="text1"/>
                <w:sz w:val="18"/>
                <w:szCs w:val="18"/>
                <w:highlight w:val="none"/>
                <w:lang w:val="en-US" w:eastAsia="zh-CN"/>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及时保障</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是否及时保障各项办公经费</w:t>
            </w: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themeColor="text1"/>
                <w:sz w:val="15"/>
                <w:szCs w:val="15"/>
                <w:highlight w:val="none"/>
                <w14:textFill>
                  <w14:solidFill>
                    <w14:schemeClr w14:val="tx1"/>
                  </w14:solidFill>
                </w14:textFill>
              </w:rPr>
            </w:pPr>
          </w:p>
        </w:tc>
        <w:tc>
          <w:tcPr>
            <w:tcW w:w="205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成本指标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日常公用经费公开标准</w:t>
            </w:r>
          </w:p>
        </w:tc>
        <w:tc>
          <w:tcPr>
            <w:tcW w:w="2879"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办公费、水电费、交通费、工会经费、会议费招待费及其他公用经费的开支标准</w:t>
            </w:r>
          </w:p>
        </w:tc>
        <w:tc>
          <w:tcPr>
            <w:tcW w:w="15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default" w:ascii="宋体" w:hAnsi="宋体" w:eastAsia="宋体" w:cs="宋体"/>
                <w:color w:val="000000" w:themeColor="text1"/>
                <w:sz w:val="18"/>
                <w:szCs w:val="18"/>
                <w:highlight w:val="none"/>
                <w:lang w:val="en-US" w:eastAsia="zh-CN"/>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按统一规定执行</w:t>
            </w:r>
          </w:p>
        </w:tc>
        <w:tc>
          <w:tcPr>
            <w:tcW w:w="1723"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是否保障日常公用经费开支</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themeColor="text1"/>
                <w:sz w:val="15"/>
                <w:szCs w:val="15"/>
                <w:highlight w:val="none"/>
                <w14:textFill>
                  <w14:solidFill>
                    <w14:schemeClr w14:val="tx1"/>
                  </w14:solidFill>
                </w14:textFill>
              </w:rPr>
            </w:pPr>
            <w:r>
              <w:rPr>
                <w:rFonts w:hint="eastAsia" w:ascii="宋体" w:hAnsi="宋体" w:cs="宋体"/>
                <w:b/>
                <w:bCs/>
                <w:color w:val="000000" w:themeColor="text1"/>
                <w:kern w:val="0"/>
                <w:sz w:val="15"/>
                <w:szCs w:val="15"/>
                <w:highlight w:val="none"/>
                <w14:textFill>
                  <w14:solidFill>
                    <w14:schemeClr w14:val="tx1"/>
                  </w14:solidFill>
                </w14:textFill>
              </w:rPr>
              <w:t>效益指标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保障日常办公需要、维持正常运转</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保障日常办公需要，维持单位正常运转</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themeColor="text1"/>
                <w:sz w:val="18"/>
                <w:szCs w:val="18"/>
                <w:highlight w:val="none"/>
                <w14:textFill>
                  <w14:solidFill>
                    <w14:schemeClr w14:val="tx1"/>
                  </w14:solidFill>
                </w14:textFill>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维持单位正常运转</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8"/>
                <w:szCs w:val="18"/>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是否维持正常运转</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val="0"/>
                <w:bCs w:val="0"/>
                <w:color w:val="000000" w:themeColor="text1"/>
                <w:sz w:val="15"/>
                <w:szCs w:val="15"/>
                <w:highlight w:val="none"/>
                <w14:textFill>
                  <w14:solidFill>
                    <w14:schemeClr w14:val="tx1"/>
                  </w14:solidFill>
                </w14:textFill>
              </w:rPr>
            </w:pPr>
            <w:r>
              <w:rPr>
                <w:rFonts w:hint="eastAsia" w:ascii="宋体" w:hAnsi="宋体" w:cs="宋体"/>
                <w:b w:val="0"/>
                <w:bCs w:val="0"/>
                <w:color w:val="000000" w:themeColor="text1"/>
                <w:kern w:val="0"/>
                <w:sz w:val="18"/>
                <w:szCs w:val="18"/>
                <w:highlight w:val="none"/>
                <w14:textFill>
                  <w14:solidFill>
                    <w14:schemeClr w14:val="tx1"/>
                  </w14:solidFill>
                </w14:textFill>
              </w:rPr>
              <w:t>满意度指标</w:t>
            </w:r>
          </w:p>
        </w:tc>
        <w:tc>
          <w:tcPr>
            <w:tcW w:w="20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i w:val="0"/>
                <w:iCs w:val="0"/>
                <w:color w:val="000000" w:themeColor="text1"/>
                <w:kern w:val="0"/>
                <w:sz w:val="20"/>
                <w:szCs w:val="20"/>
                <w:highlight w:val="none"/>
                <w:u w:val="none"/>
                <w:lang w:val="en-US" w:eastAsia="zh-CN" w:bidi="ar"/>
                <w14:textFill>
                  <w14:solidFill>
                    <w14:schemeClr w14:val="tx1"/>
                  </w14:solidFill>
                </w14:textFill>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单位人员满意度</w:t>
            </w:r>
          </w:p>
        </w:tc>
        <w:tc>
          <w:tcPr>
            <w:tcW w:w="2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themeColor="text1"/>
                <w:sz w:val="15"/>
                <w:szCs w:val="15"/>
                <w:highlight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单位人员对</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经费分配合理</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工作的满意程度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sz w:val="18"/>
                <w:szCs w:val="18"/>
                <w:highlight w:val="none"/>
                <w:lang w:eastAsia="zh-CN"/>
                <w14:textFill>
                  <w14:solidFill>
                    <w14:schemeClr w14:val="tx1"/>
                  </w14:solidFill>
                </w14:textFill>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themeColor="text1"/>
                <w:sz w:val="15"/>
                <w:szCs w:val="15"/>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是否对经费分配合理</w:t>
            </w:r>
          </w:p>
        </w:tc>
      </w:tr>
    </w:tbl>
    <w:p>
      <w:pPr>
        <w:jc w:val="left"/>
        <w:outlineLvl w:val="1"/>
        <w:rPr>
          <w:rFonts w:ascii="Times New Roman" w:hAnsi="Times New Roman" w:eastAsia="仿宋_GB2312" w:cs="Times New Roman"/>
          <w:color w:val="000000" w:themeColor="text1"/>
          <w:sz w:val="28"/>
          <w:highlight w:val="none"/>
          <w14:textFill>
            <w14:solidFill>
              <w14:schemeClr w14:val="tx1"/>
            </w14:solidFill>
          </w14:textFill>
        </w:rPr>
      </w:pPr>
      <w:r>
        <w:rPr>
          <w:rFonts w:ascii="Times New Roman" w:hAnsi="Times New Roman" w:eastAsia="仿宋_GB2312" w:cs="Times New Roman"/>
          <w:vanish/>
          <w:color w:val="000000" w:themeColor="text1"/>
          <w:sz w:val="28"/>
          <w:highlight w:val="none"/>
          <w14:textFill>
            <w14:solidFill>
              <w14:schemeClr w14:val="tx1"/>
            </w14:solidFill>
          </w14:textFill>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color w:val="000000" w:themeColor="text1"/>
          <w:highlight w:val="none"/>
          <w14:textFill>
            <w14:solidFill>
              <w14:schemeClr w14:val="tx1"/>
            </w14:solidFill>
          </w14:textFill>
        </w:r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六、政府采购预算情况</w:t>
      </w:r>
    </w:p>
    <w:p>
      <w:pPr>
        <w:spacing w:line="584" w:lineRule="exact"/>
        <w:ind w:firstLine="640" w:firstLineChars="200"/>
        <w:outlineLvl w:val="0"/>
        <w:rPr>
          <w:rFonts w:ascii="Times New Roman" w:hAnsi="Times New Roman" w:eastAsia="仿宋_GB2312" w:cs="Times New Roman"/>
          <w:color w:val="000000" w:themeColor="text1"/>
          <w:sz w:val="32"/>
          <w:szCs w:val="24"/>
          <w:highlight w:val="none"/>
          <w14:textFill>
            <w14:solidFill>
              <w14:schemeClr w14:val="tx1"/>
            </w14:solidFill>
          </w14:textFill>
        </w:rPr>
      </w:pPr>
      <w:bookmarkStart w:id="1" w:name="_Toc471398468"/>
      <w:r>
        <w:rPr>
          <w:rFonts w:ascii="Times New Roman" w:hAnsi="Times New Roman" w:eastAsia="仿宋_GB2312" w:cs="Times New Roman"/>
          <w:color w:val="000000" w:themeColor="text1"/>
          <w:sz w:val="32"/>
          <w:szCs w:val="24"/>
          <w:highlight w:val="none"/>
          <w14:textFill>
            <w14:solidFill>
              <w14:schemeClr w14:val="tx1"/>
            </w14:solidFill>
          </w14:textFill>
        </w:rPr>
        <w:t>20</w:t>
      </w:r>
      <w:r>
        <w:rPr>
          <w:rFonts w:hint="eastAsia" w:ascii="Times New Roman" w:hAnsi="Times New Roman" w:eastAsia="仿宋_GB2312" w:cs="Times New Roman"/>
          <w:color w:val="000000" w:themeColor="text1"/>
          <w:sz w:val="32"/>
          <w:szCs w:val="24"/>
          <w:highlight w:val="none"/>
          <w14:textFill>
            <w14:solidFill>
              <w14:schemeClr w14:val="tx1"/>
            </w14:solidFill>
          </w14:textFill>
        </w:rPr>
        <w:t>22</w:t>
      </w:r>
      <w:r>
        <w:rPr>
          <w:rFonts w:ascii="Times New Roman" w:hAnsi="Times New Roman" w:eastAsia="仿宋_GB2312" w:cs="Times New Roman"/>
          <w:color w:val="000000" w:themeColor="text1"/>
          <w:sz w:val="32"/>
          <w:szCs w:val="24"/>
          <w:highlight w:val="none"/>
          <w14:textFill>
            <w14:solidFill>
              <w14:schemeClr w14:val="tx1"/>
            </w14:solidFill>
          </w14:textFill>
        </w:rPr>
        <w:t>年，我部门安排政府采购预算</w:t>
      </w:r>
      <w:r>
        <w:rPr>
          <w:rFonts w:hint="eastAsia" w:ascii="Times New Roman" w:hAnsi="Times New Roman" w:eastAsia="仿宋_GB2312" w:cs="Times New Roman"/>
          <w:color w:val="000000" w:themeColor="text1"/>
          <w:sz w:val="32"/>
          <w:szCs w:val="24"/>
          <w:highlight w:val="none"/>
          <w14:textFill>
            <w14:solidFill>
              <w14:schemeClr w14:val="tx1"/>
            </w14:solidFill>
          </w14:textFill>
        </w:rPr>
        <w:t>0</w:t>
      </w:r>
      <w:r>
        <w:rPr>
          <w:rFonts w:ascii="Times New Roman" w:hAnsi="Times New Roman" w:eastAsia="仿宋_GB2312" w:cs="Times New Roman"/>
          <w:color w:val="000000" w:themeColor="text1"/>
          <w:sz w:val="32"/>
          <w:szCs w:val="24"/>
          <w:highlight w:val="none"/>
          <w14:textFill>
            <w14:solidFill>
              <w14:schemeClr w14:val="tx1"/>
            </w14:solidFill>
          </w14:textFill>
        </w:rPr>
        <w:t>万元。具体内容见下表。</w:t>
      </w:r>
    </w:p>
    <w:bookmarkEnd w:id="1"/>
    <w:p>
      <w:pPr>
        <w:spacing w:line="584" w:lineRule="exact"/>
        <w:jc w:val="left"/>
        <w:outlineLvl w:val="0"/>
        <w:rPr>
          <w:rFonts w:ascii="Times New Roman" w:hAnsi="Times New Roman" w:eastAsia="仿宋_GB2312" w:cs="Times New Roman"/>
          <w:color w:val="000000" w:themeColor="text1"/>
          <w:highlight w:val="none"/>
          <w14:textFill>
            <w14:solidFill>
              <w14:schemeClr w14:val="tx1"/>
            </w14:solidFill>
          </w14:textFill>
        </w:rPr>
      </w:pPr>
    </w:p>
    <w:p>
      <w:pPr>
        <w:jc w:val="center"/>
        <w:outlineLvl w:val="1"/>
        <w:rPr>
          <w:rFonts w:hint="eastAsia" w:ascii="新宋体" w:hAnsi="新宋体" w:eastAsia="新宋体" w:cs="新宋体"/>
          <w:color w:val="000000" w:themeColor="text1"/>
          <w:sz w:val="32"/>
          <w:highlight w:val="none"/>
          <w:lang w:eastAsia="zh-CN"/>
          <w14:textFill>
            <w14:solidFill>
              <w14:schemeClr w14:val="tx1"/>
            </w14:solidFill>
          </w14:textFill>
        </w:rPr>
      </w:pPr>
      <w:bookmarkStart w:id="2" w:name="_Toc64920910"/>
      <w:r>
        <w:rPr>
          <w:rFonts w:hint="eastAsia" w:ascii="新宋体" w:hAnsi="新宋体" w:eastAsia="新宋体" w:cs="新宋体"/>
          <w:color w:val="000000" w:themeColor="text1"/>
          <w:sz w:val="32"/>
          <w:highlight w:val="none"/>
          <w14:textFill>
            <w14:solidFill>
              <w14:schemeClr w14:val="tx1"/>
            </w14:solidFill>
          </w14:textFill>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color w:val="000000" w:themeColor="text1"/>
                <w:sz w:val="24"/>
                <w:highlight w:val="none"/>
                <w:lang w:eastAsia="zh-CN"/>
                <w14:textFill>
                  <w14:solidFill>
                    <w14:schemeClr w14:val="tx1"/>
                  </w14:solidFill>
                </w14:textFill>
              </w:rPr>
            </w:pPr>
            <w:r>
              <w:rPr>
                <w:rFonts w:hint="eastAsia" w:ascii="新宋体" w:hAnsi="新宋体" w:eastAsia="新宋体" w:cs="新宋体"/>
                <w:color w:val="000000" w:themeColor="text1"/>
                <w:sz w:val="24"/>
                <w:highlight w:val="none"/>
                <w:lang w:eastAsia="zh-CN"/>
                <w14:textFill>
                  <w14:solidFill>
                    <w14:schemeClr w14:val="tx1"/>
                  </w14:solidFill>
                </w14:textFill>
              </w:rPr>
              <w:t>大城县平舒镇油房中心小学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color w:val="000000" w:themeColor="text1"/>
                <w:sz w:val="24"/>
                <w:highlight w:val="none"/>
                <w14:textFill>
                  <w14:solidFill>
                    <w14:schemeClr w14:val="tx1"/>
                  </w14:solidFill>
                </w14:textFill>
              </w:rPr>
            </w:pPr>
            <w:r>
              <w:rPr>
                <w:rFonts w:ascii="方正书宋_GBK" w:eastAsia="方正书宋_GBK" w:cs="Times New Roman"/>
                <w:color w:val="000000" w:themeColor="text1"/>
                <w:sz w:val="24"/>
                <w:highlight w:val="none"/>
                <w14:textFill>
                  <w14:solidFill>
                    <w14:schemeClr w14:val="tx1"/>
                  </w14:solidFill>
                </w14:textFill>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数量</w:t>
            </w:r>
          </w:p>
        </w:tc>
        <w:tc>
          <w:tcPr>
            <w:tcW w:w="907" w:type="dxa"/>
            <w:vMerge w:val="restart"/>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单价</w:t>
            </w:r>
          </w:p>
        </w:tc>
        <w:tc>
          <w:tcPr>
            <w:tcW w:w="6804" w:type="dxa"/>
            <w:gridSpan w:val="6"/>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项目名称</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预算资金</w:t>
            </w:r>
          </w:p>
        </w:tc>
        <w:tc>
          <w:tcPr>
            <w:tcW w:w="1531" w:type="dxa"/>
            <w:vMerge w:val="continue"/>
            <w:shd w:val="clear" w:color="auto" w:fill="auto"/>
            <w:vAlign w:val="center"/>
          </w:tcPr>
          <w:p>
            <w:pPr>
              <w:rPr>
                <w:color w:val="000000" w:themeColor="text1"/>
                <w:highlight w:val="none"/>
                <w14:textFill>
                  <w14:solidFill>
                    <w14:schemeClr w14:val="tx1"/>
                  </w14:solidFill>
                </w14:textFill>
              </w:rPr>
            </w:pPr>
          </w:p>
        </w:tc>
        <w:tc>
          <w:tcPr>
            <w:tcW w:w="1531" w:type="dxa"/>
            <w:vMerge w:val="continue"/>
            <w:shd w:val="clear" w:color="auto" w:fill="auto"/>
            <w:vAlign w:val="center"/>
          </w:tcPr>
          <w:p>
            <w:pPr>
              <w:rPr>
                <w:color w:val="000000" w:themeColor="text1"/>
                <w:highlight w:val="none"/>
                <w14:textFill>
                  <w14:solidFill>
                    <w14:schemeClr w14:val="tx1"/>
                  </w14:solidFill>
                </w14:textFill>
              </w:rPr>
            </w:pPr>
          </w:p>
        </w:tc>
        <w:tc>
          <w:tcPr>
            <w:tcW w:w="709" w:type="dxa"/>
            <w:vMerge w:val="continue"/>
            <w:shd w:val="clear" w:color="auto" w:fill="auto"/>
            <w:vAlign w:val="center"/>
          </w:tcPr>
          <w:p>
            <w:pPr>
              <w:rPr>
                <w:color w:val="000000" w:themeColor="text1"/>
                <w:highlight w:val="none"/>
                <w14:textFill>
                  <w14:solidFill>
                    <w14:schemeClr w14:val="tx1"/>
                  </w14:solidFill>
                </w14:textFill>
              </w:rPr>
            </w:pPr>
          </w:p>
        </w:tc>
        <w:tc>
          <w:tcPr>
            <w:tcW w:w="907" w:type="dxa"/>
            <w:vMerge w:val="continue"/>
            <w:shd w:val="clear" w:color="auto" w:fill="auto"/>
            <w:vAlign w:val="center"/>
          </w:tcPr>
          <w:p>
            <w:pPr>
              <w:rPr>
                <w:color w:val="000000" w:themeColor="text1"/>
                <w:highlight w:val="none"/>
                <w14:textFill>
                  <w14:solidFill>
                    <w14:schemeClr w14:val="tx1"/>
                  </w14:solidFill>
                </w14:textFill>
              </w:rPr>
            </w:pPr>
          </w:p>
        </w:tc>
        <w:tc>
          <w:tcPr>
            <w:tcW w:w="907" w:type="dxa"/>
            <w:vMerge w:val="continue"/>
            <w:shd w:val="clear" w:color="auto" w:fill="auto"/>
            <w:vAlign w:val="center"/>
          </w:tcPr>
          <w:p>
            <w:pPr>
              <w:rPr>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合计</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一般公共预算拨款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基金预算拨款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财政专户核拨</w:t>
            </w:r>
          </w:p>
        </w:tc>
        <w:tc>
          <w:tcPr>
            <w:tcW w:w="113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r>
              <w:rPr>
                <w:rFonts w:ascii="方正书宋_GBK" w:eastAsia="方正书宋_GBK" w:cs="Times New Roman"/>
                <w:b/>
                <w:color w:val="000000" w:themeColor="text1"/>
                <w:highlight w:val="none"/>
                <w14:textFill>
                  <w14:solidFill>
                    <w14:schemeClr w14:val="tx1"/>
                  </w14:solidFill>
                </w14:textFill>
              </w:rPr>
              <w:t>合  计</w:t>
            </w: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b/>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b/>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1531" w:type="dxa"/>
            <w:shd w:val="clear" w:color="auto" w:fill="auto"/>
            <w:vAlign w:val="center"/>
          </w:tcPr>
          <w:p>
            <w:pPr>
              <w:spacing w:line="300" w:lineRule="exact"/>
              <w:jc w:val="left"/>
              <w:rPr>
                <w:rFonts w:ascii="方正书宋_GBK" w:eastAsia="方正书宋_GBK" w:cs="Times New Roman"/>
                <w:color w:val="000000" w:themeColor="text1"/>
                <w:highlight w:val="none"/>
                <w14:textFill>
                  <w14:solidFill>
                    <w14:schemeClr w14:val="tx1"/>
                  </w14:solidFill>
                </w14:textFill>
              </w:rPr>
            </w:pPr>
          </w:p>
        </w:tc>
        <w:tc>
          <w:tcPr>
            <w:tcW w:w="709" w:type="dxa"/>
            <w:shd w:val="clear" w:color="auto" w:fill="auto"/>
            <w:vAlign w:val="center"/>
          </w:tcPr>
          <w:p>
            <w:pPr>
              <w:spacing w:line="300" w:lineRule="exact"/>
              <w:jc w:val="center"/>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907"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c>
          <w:tcPr>
            <w:tcW w:w="1134" w:type="dxa"/>
            <w:shd w:val="clear" w:color="auto" w:fill="auto"/>
            <w:vAlign w:val="center"/>
          </w:tcPr>
          <w:p>
            <w:pPr>
              <w:spacing w:line="300" w:lineRule="exact"/>
              <w:jc w:val="right"/>
              <w:rPr>
                <w:rFonts w:ascii="方正书宋_GBK" w:eastAsia="方正书宋_GBK" w:cs="Times New Roman"/>
                <w:color w:val="000000" w:themeColor="text1"/>
                <w:highlight w:val="none"/>
                <w14:textFill>
                  <w14:solidFill>
                    <w14:schemeClr w14:val="tx1"/>
                  </w14:solidFill>
                </w14:textFill>
              </w:rPr>
            </w:pPr>
          </w:p>
        </w:tc>
      </w:tr>
    </w:tbl>
    <w:p>
      <w:pPr>
        <w:spacing w:line="584" w:lineRule="exact"/>
        <w:jc w:val="left"/>
        <w:outlineLvl w:val="0"/>
        <w:rPr>
          <w:rFonts w:ascii="Times New Roman" w:hAnsi="Times New Roman" w:eastAsia="仿宋_GB2312" w:cs="Times New Roman"/>
          <w:color w:val="000000" w:themeColor="text1"/>
          <w:highlight w:val="none"/>
          <w14:textFill>
            <w14:solidFill>
              <w14:schemeClr w14:val="tx1"/>
            </w14:solidFill>
          </w14:textFill>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七、国有资产信息</w:t>
      </w:r>
    </w:p>
    <w:p>
      <w:pPr>
        <w:spacing w:line="584" w:lineRule="exact"/>
        <w:ind w:firstLine="640"/>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我</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单位</w:t>
      </w:r>
      <w:r>
        <w:rPr>
          <w:rFonts w:ascii="Times New Roman" w:hAnsi="Times New Roman" w:eastAsia="仿宋_GB2312" w:cs="Times New Roman"/>
          <w:color w:val="000000" w:themeColor="text1"/>
          <w:sz w:val="32"/>
          <w:szCs w:val="32"/>
          <w:highlight w:val="none"/>
          <w14:textFill>
            <w14:solidFill>
              <w14:schemeClr w14:val="tx1"/>
            </w14:solidFill>
          </w14:textFill>
        </w:rPr>
        <w:t>上年末固定资产金额为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346.59</w:t>
      </w:r>
      <w:r>
        <w:rPr>
          <w:rFonts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（详见下表）</w:t>
      </w:r>
      <w:r>
        <w:rPr>
          <w:rFonts w:ascii="Times New Roman" w:hAnsi="Times New Roman" w:eastAsia="仿宋_GB2312" w:cs="Times New Roman"/>
          <w:color w:val="000000" w:themeColor="text1"/>
          <w:sz w:val="32"/>
          <w:szCs w:val="32"/>
          <w:highlight w:val="none"/>
          <w14:textFill>
            <w14:solidFill>
              <w14:schemeClr w14:val="tx1"/>
            </w14:solidFill>
          </w14:textFill>
        </w:rPr>
        <w:t>，本年度我部门拟购置固定资产</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总额为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2.5</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szCs w:val="32"/>
          <w:highlight w:val="none"/>
          <w14:textFill>
            <w14:solidFill>
              <w14:schemeClr w14:val="tx1"/>
            </w14:solidFill>
          </w14:textFill>
        </w:rPr>
        <w:t>主要为</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计算机设备、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办公</w:t>
      </w:r>
      <w:r>
        <w:rPr>
          <w:rFonts w:ascii="Times New Roman" w:hAnsi="Times New Roman" w:eastAsia="仿宋_GB2312" w:cs="Times New Roman"/>
          <w:color w:val="000000" w:themeColor="text1"/>
          <w:sz w:val="32"/>
          <w:szCs w:val="32"/>
          <w:highlight w:val="none"/>
          <w14:textFill>
            <w14:solidFill>
              <w14:schemeClr w14:val="tx1"/>
            </w14:solidFill>
          </w14:textFill>
        </w:rPr>
        <w:t>设备、</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办公家具</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w:t>
      </w:r>
      <w:r>
        <w:rPr>
          <w:rFonts w:ascii="Times New Roman" w:hAnsi="Times New Roman" w:eastAsia="仿宋_GB2312" w:cs="Times New Roman"/>
          <w:color w:val="000000" w:themeColor="text1"/>
          <w:sz w:val="32"/>
          <w:szCs w:val="32"/>
          <w:highlight w:val="none"/>
          <w14:textFill>
            <w14:solidFill>
              <w14:schemeClr w14:val="tx1"/>
            </w14:solidFill>
          </w14:textFill>
        </w:rPr>
        <w:t>等</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32"/>
                <w:szCs w:val="32"/>
                <w:highlight w:val="none"/>
                <w14:textFill>
                  <w14:solidFill>
                    <w14:schemeClr w14:val="tx1"/>
                  </w14:solidFill>
                </w14:textFill>
              </w:rPr>
            </w:pPr>
            <w:r>
              <w:rPr>
                <w:rFonts w:hint="eastAsia" w:ascii="Times New Roman" w:hAnsi="Times New Roman" w:eastAsia="仿宋_GB2312" w:cs="Times New Roman"/>
                <w:b/>
                <w:bCs/>
                <w:color w:val="000000" w:themeColor="text1"/>
                <w:kern w:val="0"/>
                <w:sz w:val="32"/>
                <w:szCs w:val="32"/>
                <w:highlight w:val="none"/>
                <w14:textFill>
                  <w14:solidFill>
                    <w14:schemeClr w14:val="tx1"/>
                  </w14:solidFill>
                </w14:textFill>
              </w:rPr>
              <w:t>大城县部</w:t>
            </w:r>
            <w:r>
              <w:rPr>
                <w:rFonts w:ascii="Times New Roman" w:hAnsi="Times New Roman" w:eastAsia="仿宋_GB2312" w:cs="Times New Roman"/>
                <w:b/>
                <w:bCs/>
                <w:color w:val="000000" w:themeColor="text1"/>
                <w:kern w:val="0"/>
                <w:sz w:val="32"/>
                <w:szCs w:val="32"/>
                <w:highlight w:val="none"/>
                <w14:textFill>
                  <w14:solidFill>
                    <w14:schemeClr w14:val="tx1"/>
                  </w14:solidFill>
                </w14:textFill>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编制部门：</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大城县</w:t>
            </w:r>
            <w:r>
              <w:rPr>
                <w:rFonts w:hint="eastAsia" w:ascii="Times New Roman" w:hAnsi="Times New Roman" w:eastAsia="仿宋_GB2312" w:cs="Times New Roman"/>
                <w:color w:val="000000" w:themeColor="text1"/>
                <w:kern w:val="0"/>
                <w:sz w:val="22"/>
                <w:highlight w:val="none"/>
                <w:lang w:eastAsia="zh-CN"/>
                <w14:textFill>
                  <w14:solidFill>
                    <w14:schemeClr w14:val="tx1"/>
                  </w14:solidFill>
                </w14:textFill>
              </w:rPr>
              <w:t>平舒</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镇</w:t>
            </w:r>
            <w:r>
              <w:rPr>
                <w:rFonts w:hint="eastAsia" w:ascii="Times New Roman" w:hAnsi="Times New Roman" w:eastAsia="仿宋_GB2312" w:cs="Times New Roman"/>
                <w:color w:val="000000" w:themeColor="text1"/>
                <w:kern w:val="0"/>
                <w:sz w:val="22"/>
                <w:highlight w:val="none"/>
                <w:lang w:eastAsia="zh-CN"/>
                <w14:textFill>
                  <w14:solidFill>
                    <w14:schemeClr w14:val="tx1"/>
                  </w14:solidFill>
                </w14:textFill>
              </w:rPr>
              <w:t>油房</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中心小学</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截止时间：20</w:t>
            </w:r>
            <w:r>
              <w:rPr>
                <w:rFonts w:hint="eastAsia" w:ascii="Times New Roman" w:hAnsi="Times New Roman" w:eastAsia="仿宋_GB2312" w:cs="Times New Roman"/>
                <w:color w:val="000000" w:themeColor="text1"/>
                <w:kern w:val="0"/>
                <w:sz w:val="22"/>
                <w:highlight w:val="none"/>
                <w14:textFill>
                  <w14:solidFill>
                    <w14:schemeClr w14:val="tx1"/>
                  </w14:solidFill>
                </w14:textFill>
              </w:rPr>
              <w:t>21</w:t>
            </w:r>
            <w:r>
              <w:rPr>
                <w:rFonts w:ascii="Times New Roman" w:hAnsi="Times New Roman" w:eastAsia="仿宋_GB2312" w:cs="Times New Roman"/>
                <w:color w:val="000000" w:themeColor="text1"/>
                <w:kern w:val="0"/>
                <w:sz w:val="22"/>
                <w:highlight w:val="none"/>
                <w14:textFill>
                  <w14:solidFill>
                    <w14:schemeClr w14:val="tx1"/>
                  </w14:solidFill>
                </w14:textFill>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highlight w:val="none"/>
                <w14:textFill>
                  <w14:solidFill>
                    <w14:schemeClr w14:val="tx1"/>
                  </w14:solidFill>
                </w14:textFill>
              </w:rPr>
            </w:pPr>
            <w:r>
              <w:rPr>
                <w:rFonts w:ascii="Times New Roman" w:hAnsi="Times New Roman" w:eastAsia="仿宋_GB2312" w:cs="Times New Roman"/>
                <w:b/>
                <w:bCs/>
                <w:color w:val="000000" w:themeColor="text1"/>
                <w:kern w:val="0"/>
                <w:sz w:val="22"/>
                <w:highlight w:val="none"/>
                <w14:textFill>
                  <w14:solidFill>
                    <w14:schemeClr w14:val="tx1"/>
                  </w14:solidFill>
                </w14:textFill>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highlight w:val="none"/>
                <w14:textFill>
                  <w14:solidFill>
                    <w14:schemeClr w14:val="tx1"/>
                  </w14:solidFill>
                </w14:textFill>
              </w:rPr>
            </w:pPr>
            <w:r>
              <w:rPr>
                <w:rFonts w:ascii="Times New Roman" w:hAnsi="Times New Roman" w:eastAsia="仿宋_GB2312" w:cs="Times New Roman"/>
                <w:b/>
                <w:bCs/>
                <w:color w:val="000000" w:themeColor="text1"/>
                <w:kern w:val="0"/>
                <w:sz w:val="22"/>
                <w:highlight w:val="none"/>
                <w14:textFill>
                  <w14:solidFill>
                    <w14:schemeClr w14:val="tx1"/>
                  </w14:solidFill>
                </w14:textFill>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color w:val="000000" w:themeColor="text1"/>
                <w:kern w:val="0"/>
                <w:sz w:val="22"/>
                <w:highlight w:val="none"/>
                <w14:textFill>
                  <w14:solidFill>
                    <w14:schemeClr w14:val="tx1"/>
                  </w14:solidFill>
                </w14:textFill>
              </w:rPr>
            </w:pPr>
            <w:r>
              <w:rPr>
                <w:rFonts w:ascii="Times New Roman" w:hAnsi="Times New Roman" w:eastAsia="仿宋_GB2312" w:cs="Times New Roman"/>
                <w:b/>
                <w:bCs/>
                <w:color w:val="000000" w:themeColor="text1"/>
                <w:kern w:val="0"/>
                <w:sz w:val="22"/>
                <w:highlight w:val="none"/>
                <w14:textFill>
                  <w14:solidFill>
                    <w14:schemeClr w14:val="tx1"/>
                  </w14:solidFill>
                </w14:textFill>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ascii="Times New Roman" w:hAnsi="Times New Roman" w:eastAsia="仿宋_GB2312" w:cs="Times New Roman"/>
                <w:color w:val="000000" w:themeColor="text1"/>
                <w:sz w:val="22"/>
                <w:highlight w:val="none"/>
                <w14:textFill>
                  <w14:solidFill>
                    <w14:schemeClr w14:val="tx1"/>
                  </w14:solidFill>
                </w14:textFill>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346.59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3027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229.33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3000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221.49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r>
              <w:rPr>
                <w:rFonts w:hint="eastAsia" w:ascii="Times New Roman" w:hAnsi="Times New Roman" w:eastAsia="仿宋_GB2312" w:cs="Times New Roman"/>
                <w:color w:val="000000" w:themeColor="text1"/>
                <w:sz w:val="22"/>
                <w:highlight w:val="none"/>
                <w14:textFill>
                  <w14:solidFill>
                    <w14:schemeClr w14:val="tx1"/>
                  </w14:solidFill>
                </w14:textFill>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000000" w:themeColor="text1"/>
                <w:kern w:val="0"/>
                <w:sz w:val="22"/>
                <w:highlight w:val="none"/>
                <w14:textFill>
                  <w14:solidFill>
                    <w14:schemeClr w14:val="tx1"/>
                  </w14:solidFill>
                </w14:textFill>
              </w:rPr>
            </w:pPr>
            <w:r>
              <w:rPr>
                <w:rFonts w:ascii="Times New Roman" w:hAnsi="Times New Roman" w:eastAsia="仿宋_GB2312" w:cs="Times New Roman"/>
                <w:color w:val="000000" w:themeColor="text1"/>
                <w:kern w:val="0"/>
                <w:sz w:val="22"/>
                <w:highlight w:val="none"/>
                <w14:textFill>
                  <w14:solidFill>
                    <w14:schemeClr w14:val="tx1"/>
                  </w14:solidFill>
                </w14:textFill>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color w:val="000000" w:themeColor="text1"/>
                <w:sz w:val="22"/>
                <w:highlight w:val="none"/>
                <w14:textFill>
                  <w14:solidFill>
                    <w14:schemeClr w14:val="tx1"/>
                  </w14:solidFill>
                </w14:textFill>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color w:val="000000" w:themeColor="text1"/>
                <w:sz w:val="2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22"/>
                <w:highlight w:val="none"/>
                <w:lang w:val="en-US" w:eastAsia="zh-CN"/>
                <w14:textFill>
                  <w14:solidFill>
                    <w14:schemeClr w14:val="tx1"/>
                  </w14:solidFill>
                </w14:textFill>
              </w:rPr>
              <w:t>125.1</w:t>
            </w:r>
          </w:p>
        </w:tc>
      </w:tr>
    </w:tbl>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八、名词解释</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1、一般公共预算拨款收入：</w:t>
      </w:r>
      <w:r>
        <w:rPr>
          <w:rFonts w:ascii="Times New Roman" w:hAnsi="Times New Roman" w:eastAsia="仿宋_GB2312" w:cs="Times New Roman"/>
          <w:color w:val="000000" w:themeColor="text1"/>
          <w:sz w:val="32"/>
          <w:szCs w:val="32"/>
          <w:highlight w:val="none"/>
          <w14:textFill>
            <w14:solidFill>
              <w14:schemeClr w14:val="tx1"/>
            </w14:solidFill>
          </w14:textFill>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color w:val="000000" w:themeColor="text1"/>
          <w:sz w:val="32"/>
          <w:szCs w:val="32"/>
          <w:highlight w:val="none"/>
          <w14:textFill>
            <w14:solidFill>
              <w14:schemeClr w14:val="tx1"/>
            </w14:solidFill>
          </w14:textFill>
        </w:rPr>
        <w:t>级财政当年拨付的资金。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2、事业收入：</w:t>
      </w:r>
      <w:r>
        <w:rPr>
          <w:rFonts w:ascii="Times New Roman" w:hAnsi="Times New Roman" w:eastAsia="仿宋_GB2312" w:cs="Times New Roman"/>
          <w:color w:val="000000" w:themeColor="text1"/>
          <w:sz w:val="32"/>
          <w:szCs w:val="32"/>
          <w:highlight w:val="none"/>
          <w14:textFill>
            <w14:solidFill>
              <w14:schemeClr w14:val="tx1"/>
            </w14:solidFill>
          </w14:textFill>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3、其他收入：</w:t>
      </w:r>
      <w:r>
        <w:rPr>
          <w:rFonts w:ascii="Times New Roman" w:hAnsi="Times New Roman" w:eastAsia="仿宋_GB2312" w:cs="Times New Roman"/>
          <w:color w:val="000000" w:themeColor="text1"/>
          <w:sz w:val="32"/>
          <w:szCs w:val="32"/>
          <w:highlight w:val="none"/>
          <w14:textFill>
            <w14:solidFill>
              <w14:schemeClr w14:val="tx1"/>
            </w14:solidFill>
          </w14:textFill>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4、基本支出：</w:t>
      </w:r>
      <w:r>
        <w:rPr>
          <w:rFonts w:ascii="Times New Roman" w:hAnsi="Times New Roman" w:eastAsia="仿宋_GB2312" w:cs="Times New Roman"/>
          <w:color w:val="000000" w:themeColor="text1"/>
          <w:sz w:val="32"/>
          <w:szCs w:val="32"/>
          <w:highlight w:val="none"/>
          <w14:textFill>
            <w14:solidFill>
              <w14:schemeClr w14:val="tx1"/>
            </w14:solidFill>
          </w14:textFill>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5、项目支出：</w:t>
      </w:r>
      <w:r>
        <w:rPr>
          <w:rFonts w:ascii="Times New Roman" w:hAnsi="Times New Roman" w:eastAsia="仿宋_GB2312" w:cs="Times New Roman"/>
          <w:color w:val="000000" w:themeColor="text1"/>
          <w:sz w:val="32"/>
          <w:szCs w:val="32"/>
          <w:highlight w:val="none"/>
          <w14:textFill>
            <w14:solidFill>
              <w14:schemeClr w14:val="tx1"/>
            </w14:solidFill>
          </w14:textFill>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6、上缴上级支出：</w:t>
      </w:r>
      <w:r>
        <w:rPr>
          <w:rFonts w:ascii="Times New Roman" w:hAnsi="Times New Roman" w:eastAsia="仿宋_GB2312" w:cs="Times New Roman"/>
          <w:color w:val="000000" w:themeColor="text1"/>
          <w:sz w:val="32"/>
          <w:szCs w:val="32"/>
          <w:highlight w:val="none"/>
          <w14:textFill>
            <w14:solidFill>
              <w14:schemeClr w14:val="tx1"/>
            </w14:solidFill>
          </w14:textFill>
        </w:rPr>
        <w:t>指下级单位上缴上级的支出。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7、“三公”经费：</w:t>
      </w:r>
      <w:r>
        <w:rPr>
          <w:rFonts w:ascii="Times New Roman" w:hAnsi="Times New Roman" w:eastAsia="仿宋_GB2312" w:cs="Times New Roman"/>
          <w:color w:val="000000" w:themeColor="text1"/>
          <w:sz w:val="32"/>
          <w:szCs w:val="32"/>
          <w:highlight w:val="none"/>
          <w14:textFill>
            <w14:solidFill>
              <w14:schemeClr w14:val="tx1"/>
            </w14:solidFill>
          </w14:textFill>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color w:val="000000" w:themeColor="text1"/>
          <w:sz w:val="32"/>
          <w:szCs w:val="32"/>
          <w:highlight w:val="none"/>
          <w14:textFill>
            <w14:solidFill>
              <w14:schemeClr w14:val="tx1"/>
            </w14:solidFill>
          </w14:textFill>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color w:val="000000" w:themeColor="text1"/>
          <w:sz w:val="32"/>
          <w:szCs w:val="32"/>
          <w:highlight w:val="none"/>
          <w14:textFill>
            <w14:solidFill>
              <w14:schemeClr w14:val="tx1"/>
            </w14:solidFill>
          </w14:textFill>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8、机关运行费：</w:t>
      </w:r>
      <w:r>
        <w:rPr>
          <w:rFonts w:ascii="Times New Roman" w:hAnsi="Times New Roman" w:eastAsia="仿宋_GB2312" w:cs="Times New Roman"/>
          <w:color w:val="000000" w:themeColor="text1"/>
          <w:sz w:val="32"/>
          <w:szCs w:val="32"/>
          <w:highlight w:val="none"/>
          <w14:textFill>
            <w14:solidFill>
              <w14:schemeClr w14:val="tx1"/>
            </w14:solidFill>
          </w14:textFill>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9、上年结转：</w:t>
      </w:r>
      <w:r>
        <w:rPr>
          <w:rFonts w:ascii="Times New Roman" w:hAnsi="Times New Roman" w:eastAsia="仿宋_GB2312" w:cs="Times New Roman"/>
          <w:color w:val="000000" w:themeColor="text1"/>
          <w:sz w:val="32"/>
          <w:szCs w:val="32"/>
          <w:highlight w:val="none"/>
          <w14:textFill>
            <w14:solidFill>
              <w14:schemeClr w14:val="tx1"/>
            </w14:solidFill>
          </w14:textFill>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b/>
          <w:color w:val="000000" w:themeColor="text1"/>
          <w:sz w:val="32"/>
          <w:szCs w:val="32"/>
          <w:highlight w:val="none"/>
          <w14:textFill>
            <w14:solidFill>
              <w14:schemeClr w14:val="tx1"/>
            </w14:solidFill>
          </w14:textFill>
        </w:rPr>
        <w:t>10、事业单位经营支出：</w:t>
      </w:r>
      <w:r>
        <w:rPr>
          <w:rFonts w:ascii="Times New Roman" w:hAnsi="Times New Roman" w:eastAsia="仿宋_GB2312" w:cs="Times New Roman"/>
          <w:color w:val="000000" w:themeColor="text1"/>
          <w:sz w:val="32"/>
          <w:szCs w:val="32"/>
          <w:highlight w:val="none"/>
          <w14:textFill>
            <w14:solidFill>
              <w14:schemeClr w14:val="tx1"/>
            </w14:solidFill>
          </w14:textFill>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color w:val="000000" w:themeColor="text1"/>
          <w:sz w:val="32"/>
          <w:szCs w:val="32"/>
          <w:highlight w:val="none"/>
          <w14:textFill>
            <w14:solidFill>
              <w14:schemeClr w14:val="tx1"/>
            </w14:solidFill>
          </w14:textFill>
        </w:rPr>
      </w:pPr>
      <w:r>
        <w:rPr>
          <w:rFonts w:ascii="Times New Roman" w:hAnsi="Times New Roman" w:eastAsia="黑体" w:cs="Times New Roman"/>
          <w:color w:val="000000" w:themeColor="text1"/>
          <w:sz w:val="32"/>
          <w:szCs w:val="32"/>
          <w:highlight w:val="none"/>
          <w14:textFill>
            <w14:solidFill>
              <w14:schemeClr w14:val="tx1"/>
            </w14:solidFill>
          </w14:textFill>
        </w:rPr>
        <w:t>九、其他需要说明的事项</w:t>
      </w:r>
    </w:p>
    <w:p>
      <w:pPr>
        <w:spacing w:line="584" w:lineRule="exact"/>
        <w:ind w:firstLine="640" w:firstLineChars="20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ascii="Times New Roman" w:hAnsi="Times New Roman" w:eastAsia="仿宋_GB2312" w:cs="Times New Roman"/>
          <w:color w:val="000000" w:themeColor="text1"/>
          <w:sz w:val="32"/>
          <w:szCs w:val="32"/>
          <w:highlight w:val="none"/>
          <w14:textFill>
            <w14:solidFill>
              <w14:schemeClr w14:val="tx1"/>
            </w14:solidFill>
          </w14:textFill>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3367F"/>
    <w:multiLevelType w:val="singleLevel"/>
    <w:tmpl w:val="97D3367F"/>
    <w:lvl w:ilvl="0" w:tentative="0">
      <w:start w:val="1"/>
      <w:numFmt w:val="chineseCounting"/>
      <w:suff w:val="nothing"/>
      <w:lvlText w:val="%1、"/>
      <w:lvlJc w:val="left"/>
      <w:rPr>
        <w:rFonts w:hint="eastAsia"/>
      </w:rPr>
    </w:lvl>
  </w:abstractNum>
  <w:abstractNum w:abstractNumId="1">
    <w:nsid w:val="ED7631FF"/>
    <w:multiLevelType w:val="singleLevel"/>
    <w:tmpl w:val="ED7631FF"/>
    <w:lvl w:ilvl="0" w:tentative="0">
      <w:start w:val="2"/>
      <w:numFmt w:val="decimal"/>
      <w:lvlText w:val="%1."/>
      <w:lvlJc w:val="left"/>
      <w:pPr>
        <w:tabs>
          <w:tab w:val="left" w:pos="312"/>
        </w:tabs>
      </w:pPr>
    </w:lvl>
  </w:abstractNum>
  <w:abstractNum w:abstractNumId="2">
    <w:nsid w:val="3EA97FD6"/>
    <w:multiLevelType w:val="singleLevel"/>
    <w:tmpl w:val="3EA97FD6"/>
    <w:lvl w:ilvl="0" w:tentative="0">
      <w:start w:val="4"/>
      <w:numFmt w:val="chineseCounting"/>
      <w:suff w:val="nothing"/>
      <w:lvlText w:val="（%1）"/>
      <w:lvlJc w:val="left"/>
      <w:rPr>
        <w:rFonts w:hint="eastAsia"/>
      </w:rPr>
    </w:lvl>
  </w:abstractNum>
  <w:abstractNum w:abstractNumId="3">
    <w:nsid w:val="70C7AED6"/>
    <w:multiLevelType w:val="singleLevel"/>
    <w:tmpl w:val="70C7AED6"/>
    <w:lvl w:ilvl="0" w:tentative="0">
      <w:start w:val="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07499"/>
    <w:rsid w:val="00141560"/>
    <w:rsid w:val="001C4B88"/>
    <w:rsid w:val="001F049D"/>
    <w:rsid w:val="003265EB"/>
    <w:rsid w:val="00420837"/>
    <w:rsid w:val="004A54AA"/>
    <w:rsid w:val="00AC2A9B"/>
    <w:rsid w:val="00B80935"/>
    <w:rsid w:val="00D34189"/>
    <w:rsid w:val="00D347CC"/>
    <w:rsid w:val="00F54C1F"/>
    <w:rsid w:val="018067FB"/>
    <w:rsid w:val="018E53BB"/>
    <w:rsid w:val="01936DAC"/>
    <w:rsid w:val="01FB4336"/>
    <w:rsid w:val="02732F88"/>
    <w:rsid w:val="02C1356F"/>
    <w:rsid w:val="03E45DC1"/>
    <w:rsid w:val="03FA37B6"/>
    <w:rsid w:val="05FE4192"/>
    <w:rsid w:val="08964B56"/>
    <w:rsid w:val="09A137B2"/>
    <w:rsid w:val="0ACC0D02"/>
    <w:rsid w:val="0CB61B4C"/>
    <w:rsid w:val="0D161CDD"/>
    <w:rsid w:val="0E0013EF"/>
    <w:rsid w:val="0E7476E7"/>
    <w:rsid w:val="106F0166"/>
    <w:rsid w:val="11301FEB"/>
    <w:rsid w:val="130E0B08"/>
    <w:rsid w:val="13D34EB0"/>
    <w:rsid w:val="16216A5D"/>
    <w:rsid w:val="16881F81"/>
    <w:rsid w:val="17CD53DC"/>
    <w:rsid w:val="197A1574"/>
    <w:rsid w:val="1BE539D2"/>
    <w:rsid w:val="1C226721"/>
    <w:rsid w:val="1F15637C"/>
    <w:rsid w:val="1F9279CD"/>
    <w:rsid w:val="20F45A5C"/>
    <w:rsid w:val="22B61C24"/>
    <w:rsid w:val="24456A4C"/>
    <w:rsid w:val="27B51ADA"/>
    <w:rsid w:val="27E965F8"/>
    <w:rsid w:val="28D9184B"/>
    <w:rsid w:val="295245B5"/>
    <w:rsid w:val="29FB2613"/>
    <w:rsid w:val="2A8E3487"/>
    <w:rsid w:val="2AD03A9F"/>
    <w:rsid w:val="2F33648E"/>
    <w:rsid w:val="31600EFE"/>
    <w:rsid w:val="32E53E60"/>
    <w:rsid w:val="337858BF"/>
    <w:rsid w:val="33A87367"/>
    <w:rsid w:val="34B025C1"/>
    <w:rsid w:val="35A53666"/>
    <w:rsid w:val="37F708BD"/>
    <w:rsid w:val="38A13804"/>
    <w:rsid w:val="3CA870CA"/>
    <w:rsid w:val="3CC94394"/>
    <w:rsid w:val="3D0005E3"/>
    <w:rsid w:val="3D115F7D"/>
    <w:rsid w:val="3DC2371B"/>
    <w:rsid w:val="3F8A033F"/>
    <w:rsid w:val="404C3770"/>
    <w:rsid w:val="40905D53"/>
    <w:rsid w:val="430D5439"/>
    <w:rsid w:val="43606B3A"/>
    <w:rsid w:val="43754D8C"/>
    <w:rsid w:val="43882D11"/>
    <w:rsid w:val="43CC43F3"/>
    <w:rsid w:val="46E71798"/>
    <w:rsid w:val="47D84EDC"/>
    <w:rsid w:val="47F21EED"/>
    <w:rsid w:val="49AE49C2"/>
    <w:rsid w:val="49FD169A"/>
    <w:rsid w:val="4B3C2D5F"/>
    <w:rsid w:val="4C3A6B73"/>
    <w:rsid w:val="4C800A2A"/>
    <w:rsid w:val="4C80138C"/>
    <w:rsid w:val="4DEE38E9"/>
    <w:rsid w:val="4E8C3121"/>
    <w:rsid w:val="4EC32A03"/>
    <w:rsid w:val="4F74239C"/>
    <w:rsid w:val="4F750978"/>
    <w:rsid w:val="4FA26F09"/>
    <w:rsid w:val="4FE15C83"/>
    <w:rsid w:val="55E73D2F"/>
    <w:rsid w:val="573D3C76"/>
    <w:rsid w:val="577F62C2"/>
    <w:rsid w:val="57B27F05"/>
    <w:rsid w:val="582A5235"/>
    <w:rsid w:val="58B55EFF"/>
    <w:rsid w:val="58D2085F"/>
    <w:rsid w:val="59126EAD"/>
    <w:rsid w:val="5C061F7B"/>
    <w:rsid w:val="5C600685"/>
    <w:rsid w:val="5FAE5456"/>
    <w:rsid w:val="60600615"/>
    <w:rsid w:val="63587A01"/>
    <w:rsid w:val="63DE579C"/>
    <w:rsid w:val="64682077"/>
    <w:rsid w:val="66B16D09"/>
    <w:rsid w:val="66BB0B84"/>
    <w:rsid w:val="687C0C91"/>
    <w:rsid w:val="68F16ADF"/>
    <w:rsid w:val="693370F8"/>
    <w:rsid w:val="697C6324"/>
    <w:rsid w:val="6A721F5F"/>
    <w:rsid w:val="6C4909E0"/>
    <w:rsid w:val="6D0D4676"/>
    <w:rsid w:val="6D417CF4"/>
    <w:rsid w:val="6D686D7A"/>
    <w:rsid w:val="6E113780"/>
    <w:rsid w:val="6E322CF5"/>
    <w:rsid w:val="6F936D70"/>
    <w:rsid w:val="6FA4272F"/>
    <w:rsid w:val="7010111A"/>
    <w:rsid w:val="713F23B2"/>
    <w:rsid w:val="72AC26A0"/>
    <w:rsid w:val="72E327C3"/>
    <w:rsid w:val="75363605"/>
    <w:rsid w:val="77A77481"/>
    <w:rsid w:val="787212BF"/>
    <w:rsid w:val="79687490"/>
    <w:rsid w:val="7A3A3474"/>
    <w:rsid w:val="7A411B9B"/>
    <w:rsid w:val="7CFD384D"/>
    <w:rsid w:val="7D3B4375"/>
    <w:rsid w:val="7D771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4781</Words>
  <Characters>4984</Characters>
  <Lines>25</Lines>
  <Paragraphs>7</Paragraphs>
  <TotalTime>0</TotalTime>
  <ScaleCrop>false</ScaleCrop>
  <LinksUpToDate>false</LinksUpToDate>
  <CharactersWithSpaces>5032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2022-07-28T09:14:21Z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