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大城县平舒魏里北中心小学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000000" w:themeColor="text1"/>
          <w:sz w:val="32"/>
          <w:szCs w:val="32"/>
        </w:rPr>
        <w:t>大城县平舒镇镇魏里北中心小学</w:t>
      </w:r>
      <w:r>
        <w:rPr>
          <w:rFonts w:ascii="Times New Roman" w:hAnsi="Times New Roman" w:eastAsia="仿宋_GB2312" w:cs="Times New Roman"/>
          <w:color w:val="000000" w:themeColor="text1"/>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部门职责及机构设置情况</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研究拟定学校中长期发展规划和年度计划，组织实施小学教育教学工作，确保高质量的义务教育工作成果。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spacing w:line="584" w:lineRule="exact"/>
        <w:rPr>
          <w:rFonts w:ascii="Times New Roman" w:hAnsi="Times New Roman" w:eastAsia="黑体"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大城县平舒镇魏里北中心小学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color w:val="000000" w:themeColor="text1"/>
                <w:sz w:val="18"/>
                <w:szCs w:val="18"/>
              </w:rPr>
            </w:pPr>
            <w:r>
              <w:rPr>
                <w:rFonts w:ascii="Times New Roman" w:hAnsi="Times New Roman" w:eastAsia="仿宋" w:cs="Times New Roman"/>
                <w:b/>
                <w:color w:val="000000" w:themeColor="text1"/>
                <w:sz w:val="24"/>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color w:val="000000" w:themeColor="text1"/>
          <w:sz w:val="32"/>
          <w:szCs w:val="32"/>
        </w:rPr>
        <w:t>大城县平舒镇镇魏里北中心小学</w:t>
      </w:r>
      <w:r>
        <w:rPr>
          <w:rFonts w:ascii="Times New Roman" w:hAnsi="Times New Roman" w:eastAsia="仿宋_GB2312" w:cs="Times New Roman"/>
          <w:color w:val="000000" w:themeColor="text1"/>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339.84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339.84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0.07万元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我校2022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339.84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339.84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295.28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27.41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非</w:t>
      </w:r>
      <w:r>
        <w:rPr>
          <w:rFonts w:ascii="Times New Roman" w:hAnsi="Times New Roman" w:eastAsia="仿宋_GB2312" w:cs="Times New Roman"/>
          <w:sz w:val="32"/>
          <w:szCs w:val="32"/>
        </w:rPr>
        <w:t>运转类</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17.15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人事代理教师工资保险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管理费。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339.84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减少13.28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减少13.28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基本工资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非运转类</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17.15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人事代理教师工资保险等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中心校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27.41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魏里北中心小学</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中心小学</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ascii="Times New Roman" w:hAnsi="Times New Roman" w:eastAsia="仿宋_GB2312" w:cs="Times New Roman"/>
          <w:color w:val="000000" w:themeColor="text1"/>
          <w:sz w:val="32"/>
          <w:szCs w:val="32"/>
        </w:rPr>
        <w:t>与20</w:t>
      </w:r>
      <w:r>
        <w:rPr>
          <w:rFonts w:hint="eastAsia" w:ascii="Times New Roman" w:hAnsi="Times New Roman" w:eastAsia="仿宋_GB2312" w:cs="Times New Roman"/>
          <w:color w:val="000000" w:themeColor="text1"/>
          <w:sz w:val="32"/>
          <w:szCs w:val="32"/>
        </w:rPr>
        <w:t>21</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仿宋_GB2312" w:eastAsia="仿宋_GB2312" w:cs="Times New Roman"/>
          <w:sz w:val="32"/>
          <w:szCs w:val="32"/>
        </w:rPr>
      </w:pPr>
      <w:r>
        <w:rPr>
          <w:rFonts w:hint="eastAsia" w:ascii="Times New Roman" w:hAnsi="Times New Roman" w:eastAsia="仿宋_GB2312"/>
          <w:sz w:val="32"/>
          <w:szCs w:val="32"/>
        </w:rPr>
        <w:t>通过推进教育教学管理，扶持教学业务活动、教师队伍建设、提高教师队伍素质和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楷体_GB2312" w:eastAsia="楷体_GB2312" w:cs="Times New Roman"/>
          <w:b/>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numPr>
          <w:ilvl w:val="0"/>
          <w:numId w:val="2"/>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楷体_GB2312" w:eastAsia="楷体_GB2312" w:cs="Times New Roman"/>
          <w:b/>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3"/>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保障人数</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483"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保障人数</w:t>
            </w:r>
          </w:p>
        </w:tc>
        <w:tc>
          <w:tcPr>
            <w:tcW w:w="54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45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人</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工资(福利)等发放精准性</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1483"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工资福利等发放人员范围的精准性和发放数据的准确性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工资(福利)发放及时性</w:t>
            </w:r>
          </w:p>
        </w:tc>
        <w:tc>
          <w:tcPr>
            <w:tcW w:w="2172"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按规定时间发放</w:t>
            </w:r>
          </w:p>
        </w:tc>
        <w:tc>
          <w:tcPr>
            <w:tcW w:w="1483"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工资福利等发放的时效情况</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工资（福利）、社会保障（公积金）等发放（缴纳）标准</w:t>
            </w:r>
          </w:p>
        </w:tc>
        <w:tc>
          <w:tcPr>
            <w:tcW w:w="2172"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按规定执行</w:t>
            </w:r>
          </w:p>
        </w:tc>
        <w:tc>
          <w:tcPr>
            <w:tcW w:w="1483"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工资（福利）、社会保障（公积金）等发放（缴纳）标准</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加强工作人员归属感，保持干部队伍稳定</w:t>
            </w:r>
          </w:p>
        </w:tc>
        <w:tc>
          <w:tcPr>
            <w:tcW w:w="2172"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保持干部队伍相对稳定</w:t>
            </w:r>
          </w:p>
        </w:tc>
        <w:tc>
          <w:tcPr>
            <w:tcW w:w="1483"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通过按时按标准发放工资福利等，进一步增强干部职工得归属感，保持干部队伍相对稳定，保障办公正常运转</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单位人员满意度</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单位人员对工资福利等发放工作的满意程度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p>
        </w:tc>
        <w:tc>
          <w:tcPr>
            <w:tcW w:w="897" w:type="dxa"/>
            <w:tcBorders>
              <w:tl2br w:val="nil"/>
              <w:tr2bl w:val="nil"/>
            </w:tcBorders>
            <w:vAlign w:val="center"/>
          </w:tcPr>
          <w:p>
            <w:pPr>
              <w:widowControl/>
              <w:jc w:val="left"/>
              <w:textAlignment w:val="center"/>
              <w:rPr>
                <w:rFonts w:hint="eastAsia" w:ascii="宋体" w:hAnsi="宋体" w:cs="宋体"/>
                <w:color w:val="000000"/>
                <w:kern w:val="0"/>
                <w:sz w:val="20"/>
                <w:szCs w:val="20"/>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jc w:val="left"/>
              <w:textAlignment w:val="center"/>
              <w:rPr>
                <w:rFonts w:hint="eastAsia" w:ascii="宋体" w:hAnsi="宋体" w:cs="宋体"/>
                <w:color w:val="000000"/>
                <w:kern w:val="0"/>
                <w:sz w:val="20"/>
                <w:szCs w:val="20"/>
              </w:rPr>
            </w:pPr>
          </w:p>
        </w:tc>
        <w:tc>
          <w:tcPr>
            <w:tcW w:w="543" w:type="dxa"/>
            <w:tcBorders>
              <w:tl2br w:val="nil"/>
              <w:tr2bl w:val="nil"/>
            </w:tcBorders>
            <w:vAlign w:val="center"/>
          </w:tcPr>
          <w:p>
            <w:pPr>
              <w:widowControl/>
              <w:adjustRightInd w:val="0"/>
              <w:snapToGrid w:val="0"/>
              <w:rPr>
                <w:rFonts w:hint="eastAsia" w:ascii="方正书宋_GBK" w:eastAsia="方正书宋_GBK"/>
              </w:rPr>
            </w:pPr>
          </w:p>
        </w:tc>
        <w:tc>
          <w:tcPr>
            <w:tcW w:w="488" w:type="dxa"/>
            <w:tcBorders>
              <w:tl2br w:val="nil"/>
              <w:tr2bl w:val="nil"/>
            </w:tcBorders>
            <w:vAlign w:val="center"/>
          </w:tcPr>
          <w:p>
            <w:pPr>
              <w:widowControl/>
              <w:adjustRightInd w:val="0"/>
              <w:snapToGrid w:val="0"/>
              <w:rPr>
                <w:rFonts w:hint="eastAsia"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numPr>
          <w:ilvl w:val="0"/>
          <w:numId w:val="0"/>
        </w:numPr>
        <w:jc w:val="left"/>
        <w:outlineLvl w:val="1"/>
        <w:rPr>
          <w:rFonts w:ascii="Times New Roman" w:hAnsi="Times New Roman" w:eastAsia="仿宋_GB2312" w:cs="Times New Roman"/>
          <w:vanish/>
          <w:sz w:val="28"/>
        </w:rPr>
      </w:pPr>
      <w:r>
        <w:rPr>
          <w:rFonts w:hint="eastAsia" w:ascii="Times New Roman" w:hAnsi="Times New Roman" w:eastAsia="仿宋_GB2312" w:cs="Times New Roman"/>
          <w:sz w:val="28"/>
          <w:lang w:val="en-US" w:eastAsia="zh-CN"/>
        </w:rPr>
        <w:t>1、</w:t>
      </w:r>
      <w:r>
        <w:rPr>
          <w:rFonts w:hint="eastAsia" w:ascii="Times New Roman" w:hAnsi="Times New Roman" w:eastAsia="仿宋_GB2312" w:cs="Times New Roman"/>
          <w:sz w:val="28"/>
        </w:rPr>
        <w:t xml:space="preserve">人事代理教师绩效目标表  </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tbl>
      <w:tblPr>
        <w:tblStyle w:val="8"/>
        <w:tblW w:w="13786" w:type="dxa"/>
        <w:tblInd w:w="0" w:type="dxa"/>
        <w:tblLayout w:type="fixed"/>
        <w:tblCellMar>
          <w:top w:w="0" w:type="dxa"/>
          <w:left w:w="108" w:type="dxa"/>
          <w:bottom w:w="0" w:type="dxa"/>
          <w:right w:w="108" w:type="dxa"/>
        </w:tblCellMar>
      </w:tblPr>
      <w:tblGrid>
        <w:gridCol w:w="1517"/>
        <w:gridCol w:w="1066"/>
        <w:gridCol w:w="1591"/>
        <w:gridCol w:w="3636"/>
        <w:gridCol w:w="1388"/>
        <w:gridCol w:w="1005"/>
        <w:gridCol w:w="2136"/>
        <w:gridCol w:w="1447"/>
      </w:tblGrid>
      <w:tr>
        <w:tblPrEx>
          <w:tblCellMar>
            <w:top w:w="0" w:type="dxa"/>
            <w:left w:w="108" w:type="dxa"/>
            <w:bottom w:w="0" w:type="dxa"/>
            <w:right w:w="108" w:type="dxa"/>
          </w:tblCellMar>
        </w:tblPrEx>
        <w:trPr>
          <w:trHeight w:val="4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2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[13102522P00984310002A]</w:t>
            </w:r>
            <w:r>
              <w:rPr>
                <w:rFonts w:hint="eastAsia" w:cs="Times New Roman" w:asciiTheme="majorEastAsia" w:hAnsiTheme="majorEastAsia" w:eastAsiaTheme="majorEastAsia"/>
                <w:sz w:val="18"/>
                <w:szCs w:val="18"/>
              </w:rPr>
              <w:t>人事代理教师工资</w:t>
            </w:r>
            <w:r>
              <w:rPr>
                <w:rFonts w:hint="eastAsia" w:cs="Times New Roman" w:asciiTheme="majorEastAsia" w:hAnsiTheme="majorEastAsia" w:eastAsiaTheme="majorEastAsia"/>
                <w:sz w:val="18"/>
                <w:szCs w:val="18"/>
                <w:lang w:eastAsia="zh-CN"/>
              </w:rPr>
              <w:t>、</w:t>
            </w:r>
            <w:r>
              <w:rPr>
                <w:rFonts w:hint="eastAsia" w:cs="Times New Roman" w:asciiTheme="majorEastAsia" w:hAnsiTheme="majorEastAsia" w:eastAsiaTheme="majorEastAsia"/>
                <w:sz w:val="18"/>
                <w:szCs w:val="18"/>
              </w:rPr>
              <w:t>保险</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[360]大城县教育和体育局</w:t>
            </w:r>
          </w:p>
        </w:tc>
      </w:tr>
      <w:tr>
        <w:tblPrEx>
          <w:tblCellMar>
            <w:top w:w="0" w:type="dxa"/>
            <w:left w:w="108" w:type="dxa"/>
            <w:bottom w:w="0" w:type="dxa"/>
            <w:right w:w="108" w:type="dxa"/>
          </w:tblCellMar>
        </w:tblPrEx>
        <w:trPr>
          <w:trHeight w:val="4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2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[36010</w:t>
            </w:r>
            <w:r>
              <w:rPr>
                <w:rFonts w:hint="eastAsia" w:cs="Calibri"/>
                <w:color w:val="000000"/>
                <w:kern w:val="0"/>
                <w:sz w:val="18"/>
                <w:szCs w:val="18"/>
              </w:rPr>
              <w:t>6</w:t>
            </w:r>
            <w:r>
              <w:rPr>
                <w:rFonts w:cs="Calibri"/>
                <w:color w:val="000000"/>
                <w:kern w:val="0"/>
                <w:sz w:val="18"/>
                <w:szCs w:val="18"/>
              </w:rPr>
              <w:t>]大城县平舒镇魏里北中心小学</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17.000000</w:t>
            </w:r>
            <w:r>
              <w:rPr>
                <w:rFonts w:hint="eastAsia" w:cs="Calibri"/>
                <w:color w:val="000000"/>
                <w:kern w:val="0"/>
                <w:sz w:val="18"/>
                <w:szCs w:val="18"/>
              </w:rPr>
              <w:t>万元</w:t>
            </w:r>
          </w:p>
        </w:tc>
      </w:tr>
      <w:tr>
        <w:tblPrEx>
          <w:tblCellMar>
            <w:top w:w="0" w:type="dxa"/>
            <w:left w:w="108" w:type="dxa"/>
            <w:bottom w:w="0" w:type="dxa"/>
            <w:right w:w="108" w:type="dxa"/>
          </w:tblCellMar>
        </w:tblPrEx>
        <w:trPr>
          <w:trHeight w:val="40"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2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用于保障我单位2022年财政供养人员工资待遇</w:t>
            </w:r>
          </w:p>
        </w:tc>
      </w:tr>
      <w:tr>
        <w:tblPrEx>
          <w:tblCellMar>
            <w:top w:w="0" w:type="dxa"/>
            <w:left w:w="108" w:type="dxa"/>
            <w:bottom w:w="0" w:type="dxa"/>
            <w:right w:w="108" w:type="dxa"/>
          </w:tblCellMar>
        </w:tblPrEx>
        <w:trPr>
          <w:trHeight w:val="40" w:hRule="atLeast"/>
        </w:trPr>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40" w:hRule="atLeast"/>
        </w:trPr>
        <w:tc>
          <w:tcPr>
            <w:tcW w:w="15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2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主要用于人员工资福利等支出，保障办公正常运转。      </w:t>
            </w:r>
          </w:p>
        </w:tc>
      </w:tr>
      <w:tr>
        <w:tblPrEx>
          <w:tblCellMar>
            <w:top w:w="0" w:type="dxa"/>
            <w:left w:w="108" w:type="dxa"/>
            <w:bottom w:w="0" w:type="dxa"/>
            <w:right w:w="108" w:type="dxa"/>
          </w:tblCellMar>
        </w:tblPrEx>
        <w:trPr>
          <w:trHeight w:val="40" w:hRule="atLeast"/>
        </w:trPr>
        <w:tc>
          <w:tcPr>
            <w:tcW w:w="151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2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40" w:hRule="atLeast"/>
        </w:trPr>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0"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8"/>
                <w:szCs w:val="18"/>
              </w:rPr>
            </w:pPr>
          </w:p>
        </w:tc>
      </w:tr>
      <w:tr>
        <w:tblPrEx>
          <w:tblCellMar>
            <w:top w:w="0" w:type="dxa"/>
            <w:left w:w="108" w:type="dxa"/>
            <w:bottom w:w="0" w:type="dxa"/>
            <w:right w:w="108" w:type="dxa"/>
          </w:tblCellMar>
        </w:tblPrEx>
        <w:trPr>
          <w:trHeight w:val="40" w:hRule="atLeast"/>
        </w:trPr>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数量指标</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工资(福利)等发放精准性</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工资福利等发放人员范围的精准性和发放数据的准确性</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rPr>
              <w:t>2</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人</w:t>
            </w: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按分配方案</w:t>
            </w:r>
          </w:p>
        </w:tc>
      </w:tr>
      <w:tr>
        <w:tblPrEx>
          <w:tblCellMar>
            <w:top w:w="0" w:type="dxa"/>
            <w:left w:w="108" w:type="dxa"/>
            <w:bottom w:w="0" w:type="dxa"/>
            <w:right w:w="108" w:type="dxa"/>
          </w:tblCellMar>
        </w:tblPrEx>
        <w:trPr>
          <w:trHeight w:val="40"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rPr>
              <w:t>质量指标</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社会保障（公积金）缴纳的准确性</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社会保障（公积金）缴纳数据的准确性</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rPr>
              <w:t>100</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验收合格率</w:t>
            </w:r>
          </w:p>
        </w:tc>
      </w:tr>
      <w:tr>
        <w:tblPrEx>
          <w:tblCellMar>
            <w:top w:w="0" w:type="dxa"/>
            <w:left w:w="108" w:type="dxa"/>
            <w:bottom w:w="0" w:type="dxa"/>
            <w:right w:w="108" w:type="dxa"/>
          </w:tblCellMar>
        </w:tblPrEx>
        <w:trPr>
          <w:trHeight w:val="40"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rPr>
              <w:t>时效指标</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社会保障（公积金）缴纳的及时性</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社会保障（公积金）等发放的时效情况</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按规定时间缴纳</w:t>
            </w: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任务完成率</w:t>
            </w:r>
          </w:p>
        </w:tc>
      </w:tr>
      <w:tr>
        <w:tblPrEx>
          <w:tblCellMar>
            <w:top w:w="0" w:type="dxa"/>
            <w:left w:w="108" w:type="dxa"/>
            <w:bottom w:w="0" w:type="dxa"/>
            <w:right w:w="108" w:type="dxa"/>
          </w:tblCellMar>
        </w:tblPrEx>
        <w:trPr>
          <w:trHeight w:val="40"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成本指标</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工资（福利）、社会保障（公积金）等发放（缴纳）标准</w:t>
            </w:r>
          </w:p>
        </w:tc>
        <w:tc>
          <w:tcPr>
            <w:tcW w:w="36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工资（福利）、社会保障（公积金）等发放（缴纳）标准</w:t>
            </w:r>
          </w:p>
        </w:tc>
        <w:tc>
          <w:tcPr>
            <w:tcW w:w="13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文字描述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按规定执行</w:t>
            </w: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预算执行</w:t>
            </w:r>
          </w:p>
        </w:tc>
      </w:tr>
      <w:tr>
        <w:tblPrEx>
          <w:tblCellMar>
            <w:top w:w="0" w:type="dxa"/>
            <w:left w:w="108" w:type="dxa"/>
            <w:bottom w:w="0" w:type="dxa"/>
            <w:right w:w="108" w:type="dxa"/>
          </w:tblCellMar>
        </w:tblPrEx>
        <w:trPr>
          <w:trHeight w:val="40" w:hRule="atLeast"/>
        </w:trPr>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社会效益指标</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加强工作人员归属感，保持干部队伍稳定</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通过按时按标准发放工资福利等，进一步增强干部职工得归属感，保持干部队伍相对稳定，保障办公正常运转</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保持干部队伍相对稳定</w:t>
            </w: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全体学生</w:t>
            </w:r>
          </w:p>
        </w:tc>
      </w:tr>
      <w:tr>
        <w:tblPrEx>
          <w:tblCellMar>
            <w:top w:w="0" w:type="dxa"/>
            <w:left w:w="108" w:type="dxa"/>
            <w:bottom w:w="0" w:type="dxa"/>
            <w:right w:w="108" w:type="dxa"/>
          </w:tblCellMar>
        </w:tblPrEx>
        <w:trPr>
          <w:trHeight w:val="40"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5"/>
                <w:szCs w:val="15"/>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5"/>
                <w:szCs w:val="15"/>
              </w:rPr>
            </w:pPr>
            <w:r>
              <w:rPr>
                <w:rFonts w:cs="Calibri"/>
                <w:color w:val="000000"/>
                <w:kern w:val="0"/>
                <w:sz w:val="22"/>
              </w:rPr>
              <w:t>使用年限</w:t>
            </w:r>
          </w:p>
        </w:tc>
      </w:tr>
      <w:tr>
        <w:tblPrEx>
          <w:tblCellMar>
            <w:top w:w="0" w:type="dxa"/>
            <w:left w:w="108" w:type="dxa"/>
            <w:bottom w:w="0" w:type="dxa"/>
            <w:right w:w="108" w:type="dxa"/>
          </w:tblCellMar>
        </w:tblPrEx>
        <w:trPr>
          <w:trHeight w:val="56" w:hRule="atLeast"/>
        </w:trPr>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服务对象满意度指标</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单位人员对工资福利等发放工作的满意程度</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单位人员对工资福利等发放工作的满意程度</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rPr>
              <w:t>100</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调查问卷</w:t>
            </w:r>
          </w:p>
        </w:tc>
      </w:tr>
    </w:tbl>
    <w:p>
      <w:pPr>
        <w:widowControl/>
        <w:jc w:val="left"/>
        <w:rPr>
          <w:rFonts w:ascii="Times New Roman" w:hAnsi="Times New Roman" w:eastAsia="仿宋_GB2312" w:cs="Times New Roman"/>
          <w:sz w:val="28"/>
        </w:rPr>
      </w:pPr>
      <w:bookmarkStart w:id="0" w:name="_Toc471398468"/>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、人事代理管理</w:t>
      </w:r>
      <w:r>
        <w:rPr>
          <w:rFonts w:hint="eastAsia" w:ascii="Times New Roman" w:hAnsi="Times New Roman" w:eastAsia="仿宋_GB2312" w:cs="Times New Roman"/>
          <w:sz w:val="28"/>
          <w:lang w:eastAsia="zh-CN"/>
        </w:rPr>
        <w:t>费</w:t>
      </w:r>
      <w:r>
        <w:rPr>
          <w:rFonts w:hint="eastAsia" w:ascii="Times New Roman" w:hAnsi="Times New Roman" w:eastAsia="仿宋_GB2312" w:cs="Times New Roman"/>
          <w:sz w:val="28"/>
        </w:rPr>
        <w:t>绩效目标表</w:t>
      </w:r>
    </w:p>
    <w:tbl>
      <w:tblPr>
        <w:tblStyle w:val="8"/>
        <w:tblpPr w:leftFromText="180" w:rightFromText="180" w:vertAnchor="text" w:horzAnchor="page" w:tblpX="1147" w:tblpY="660"/>
        <w:tblOverlap w:val="never"/>
        <w:tblW w:w="13457" w:type="dxa"/>
        <w:tblInd w:w="0" w:type="dxa"/>
        <w:tblLayout w:type="fixed"/>
        <w:tblCellMar>
          <w:top w:w="0" w:type="dxa"/>
          <w:left w:w="108" w:type="dxa"/>
          <w:bottom w:w="0" w:type="dxa"/>
          <w:right w:w="108" w:type="dxa"/>
        </w:tblCellMar>
      </w:tblPr>
      <w:tblGrid>
        <w:gridCol w:w="1386"/>
        <w:gridCol w:w="1032"/>
        <w:gridCol w:w="1656"/>
        <w:gridCol w:w="3548"/>
        <w:gridCol w:w="1356"/>
        <w:gridCol w:w="979"/>
        <w:gridCol w:w="2088"/>
        <w:gridCol w:w="1412"/>
      </w:tblGrid>
      <w:tr>
        <w:tblPrEx>
          <w:tblCellMar>
            <w:top w:w="0" w:type="dxa"/>
            <w:left w:w="108" w:type="dxa"/>
            <w:bottom w:w="0" w:type="dxa"/>
            <w:right w:w="108" w:type="dxa"/>
          </w:tblCellMar>
        </w:tblPrEx>
        <w:trPr>
          <w:trHeight w:val="9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[13102522P00984310002A]人事代理教师管理费</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cs="Calibri"/>
                <w:b/>
                <w:color w:val="000000"/>
                <w:kern w:val="0"/>
                <w:sz w:val="18"/>
                <w:szCs w:val="18"/>
              </w:rPr>
              <w:t>主管部门</w:t>
            </w:r>
          </w:p>
        </w:tc>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[360]大城县教育和体育局</w:t>
            </w:r>
          </w:p>
        </w:tc>
      </w:tr>
      <w:tr>
        <w:tblPrEx>
          <w:tblCellMar>
            <w:top w:w="0" w:type="dxa"/>
            <w:left w:w="108" w:type="dxa"/>
            <w:bottom w:w="0" w:type="dxa"/>
            <w:right w:w="108" w:type="dxa"/>
          </w:tblCellMar>
        </w:tblPrEx>
        <w:trPr>
          <w:trHeight w:val="9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[36010</w:t>
            </w:r>
            <w:r>
              <w:rPr>
                <w:rFonts w:hint="eastAsia" w:cs="Calibri"/>
                <w:color w:val="000000"/>
                <w:kern w:val="0"/>
                <w:sz w:val="18"/>
                <w:szCs w:val="18"/>
              </w:rPr>
              <w:t>6</w:t>
            </w:r>
            <w:r>
              <w:rPr>
                <w:rFonts w:cs="Calibri"/>
                <w:color w:val="000000"/>
                <w:kern w:val="0"/>
                <w:sz w:val="18"/>
                <w:szCs w:val="18"/>
              </w:rPr>
              <w:t>]大城县平舒镇魏里北中心小学</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cs="Calibri"/>
                <w:b/>
                <w:color w:val="000000"/>
                <w:kern w:val="0"/>
                <w:sz w:val="18"/>
                <w:szCs w:val="18"/>
              </w:rPr>
              <w:t>年度资金总额</w:t>
            </w:r>
          </w:p>
        </w:tc>
        <w:tc>
          <w:tcPr>
            <w:tcW w:w="3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0.150000</w:t>
            </w:r>
            <w:r>
              <w:rPr>
                <w:rFonts w:hint="eastAsia" w:cs="Calibri"/>
                <w:color w:val="000000"/>
                <w:kern w:val="0"/>
                <w:sz w:val="18"/>
                <w:szCs w:val="18"/>
              </w:rPr>
              <w:t>万元</w:t>
            </w:r>
          </w:p>
        </w:tc>
      </w:tr>
      <w:tr>
        <w:tblPrEx>
          <w:tblCellMar>
            <w:top w:w="0" w:type="dxa"/>
            <w:left w:w="108" w:type="dxa"/>
            <w:bottom w:w="0" w:type="dxa"/>
            <w:right w:w="108" w:type="dxa"/>
          </w:tblCellMar>
        </w:tblPrEx>
        <w:trPr>
          <w:trHeight w:val="9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0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人事代理教师管理费</w:t>
            </w:r>
          </w:p>
        </w:tc>
      </w:tr>
      <w:tr>
        <w:tblPrEx>
          <w:tblCellMar>
            <w:top w:w="0" w:type="dxa"/>
            <w:left w:w="108" w:type="dxa"/>
            <w:bottom w:w="0" w:type="dxa"/>
            <w:right w:w="108" w:type="dxa"/>
          </w:tblCellMar>
        </w:tblPrEx>
        <w:trPr>
          <w:trHeight w:val="90"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2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2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90" w:hRule="atLeast"/>
        </w:trPr>
        <w:tc>
          <w:tcPr>
            <w:tcW w:w="138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0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人事代理教师管理费</w:t>
            </w:r>
          </w:p>
        </w:tc>
      </w:tr>
      <w:tr>
        <w:tblPrEx>
          <w:tblCellMar>
            <w:top w:w="0" w:type="dxa"/>
            <w:left w:w="108" w:type="dxa"/>
            <w:bottom w:w="0" w:type="dxa"/>
            <w:right w:w="108" w:type="dxa"/>
          </w:tblCellMar>
        </w:tblPrEx>
        <w:trPr>
          <w:trHeight w:val="90" w:hRule="atLeast"/>
        </w:trPr>
        <w:tc>
          <w:tcPr>
            <w:tcW w:w="138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110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90"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4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3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r>
      <w:tr>
        <w:tblPrEx>
          <w:tblCellMar>
            <w:top w:w="0" w:type="dxa"/>
            <w:left w:w="108" w:type="dxa"/>
            <w:bottom w:w="0" w:type="dxa"/>
            <w:right w:w="108" w:type="dxa"/>
          </w:tblCellMar>
        </w:tblPrEx>
        <w:trPr>
          <w:trHeight w:val="90"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数量指标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保障办公人数</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保障办公人数，即在岗人数</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人</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rPr>
              <w:t>质量指标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运转保障率</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各项日常工作保障率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eastAsia="方正书宋_GBK"/>
                <w:sz w:val="18"/>
                <w:szCs w:val="18"/>
              </w:rPr>
            </w:pPr>
            <w:r>
              <w:rPr>
                <w:rFonts w:cs="Calibri"/>
                <w:color w:val="000000"/>
                <w:kern w:val="0"/>
                <w:sz w:val="18"/>
                <w:szCs w:val="18"/>
              </w:rPr>
              <w:t>时效指标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经费保障及时性</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及时保障各项日常办公需要</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及时保障</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成本指标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日常公用经费开支标准</w:t>
            </w:r>
          </w:p>
        </w:tc>
        <w:tc>
          <w:tcPr>
            <w:tcW w:w="354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办公费、水电费、交通费、会议费、工会经费、招待费及其他公用经费的开支标准</w:t>
            </w:r>
          </w:p>
        </w:tc>
        <w:tc>
          <w:tcPr>
            <w:tcW w:w="135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文字描述</w:t>
            </w:r>
          </w:p>
        </w:tc>
        <w:tc>
          <w:tcPr>
            <w:tcW w:w="979"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cs="Calibri"/>
                <w:color w:val="000000"/>
                <w:kern w:val="0"/>
                <w:sz w:val="18"/>
                <w:szCs w:val="18"/>
              </w:rPr>
              <w:t>按统一标准执行</w:t>
            </w:r>
          </w:p>
        </w:tc>
        <w:tc>
          <w:tcPr>
            <w:tcW w:w="1412"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社会效益指标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保障日常办公需要，维持单位正常运转</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保障日常办公需要，维持单位正常运转</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文字描述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cs="宋体"/>
                <w:b/>
                <w:bCs/>
                <w:color w:val="000000"/>
                <w:sz w:val="15"/>
                <w:szCs w:val="15"/>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服务对象满意度指标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教师满意度</w:t>
            </w:r>
          </w:p>
        </w:tc>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教师满意度</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cs="Calibri"/>
                <w:color w:val="000000"/>
                <w:kern w:val="0"/>
                <w:sz w:val="18"/>
                <w:szCs w:val="18"/>
              </w:rPr>
              <w:t>95</w:t>
            </w:r>
          </w:p>
        </w:tc>
        <w:tc>
          <w:tcPr>
            <w:tcW w:w="2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cs="Calibri"/>
                <w:color w:val="000000"/>
                <w:kern w:val="0"/>
                <w:sz w:val="18"/>
                <w:szCs w:val="18"/>
              </w:rPr>
              <w:t>教师满意度</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大城县平舒镇魏里北中心小学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613.53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（详见下表），本年度我部门拟购置固定资产总额为4万元（宣传栏、门窗、个人云端存储、笔记本电脑）。</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大城县平舒镇镇魏里北中心小学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613.53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326</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98.05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515.48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2" w:name="_GoBack"/>
      <w:bookmarkEnd w:id="2"/>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3367F"/>
    <w:multiLevelType w:val="singleLevel"/>
    <w:tmpl w:val="97D3367F"/>
    <w:lvl w:ilvl="0" w:tentative="0">
      <w:start w:val="1"/>
      <w:numFmt w:val="chineseCounting"/>
      <w:suff w:val="nothing"/>
      <w:lvlText w:val="%1、"/>
      <w:lvlJc w:val="left"/>
      <w:rPr>
        <w:rFonts w:hint="eastAsia"/>
      </w:r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abstractNum w:abstractNumId="2">
    <w:nsid w:val="70C7AED6"/>
    <w:multiLevelType w:val="singleLevel"/>
    <w:tmpl w:val="70C7AED6"/>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107499"/>
    <w:rsid w:val="00122BED"/>
    <w:rsid w:val="00141560"/>
    <w:rsid w:val="001935B0"/>
    <w:rsid w:val="001C4B88"/>
    <w:rsid w:val="001E3A45"/>
    <w:rsid w:val="001F049D"/>
    <w:rsid w:val="003265EB"/>
    <w:rsid w:val="00420837"/>
    <w:rsid w:val="004A54AA"/>
    <w:rsid w:val="0051719D"/>
    <w:rsid w:val="00545090"/>
    <w:rsid w:val="005963CB"/>
    <w:rsid w:val="005C7B19"/>
    <w:rsid w:val="007430B3"/>
    <w:rsid w:val="007D0918"/>
    <w:rsid w:val="008525A6"/>
    <w:rsid w:val="009C53D1"/>
    <w:rsid w:val="00AC2A9B"/>
    <w:rsid w:val="00AE09C8"/>
    <w:rsid w:val="00B80935"/>
    <w:rsid w:val="00BB4E6E"/>
    <w:rsid w:val="00C5299A"/>
    <w:rsid w:val="00D34189"/>
    <w:rsid w:val="00D347CC"/>
    <w:rsid w:val="00E45B12"/>
    <w:rsid w:val="00F54C1F"/>
    <w:rsid w:val="00F92A06"/>
    <w:rsid w:val="018067FB"/>
    <w:rsid w:val="018E53BB"/>
    <w:rsid w:val="01FB4336"/>
    <w:rsid w:val="02732F88"/>
    <w:rsid w:val="02C1356F"/>
    <w:rsid w:val="03E45DC1"/>
    <w:rsid w:val="03FA37B6"/>
    <w:rsid w:val="05FE4192"/>
    <w:rsid w:val="08964B56"/>
    <w:rsid w:val="09A137B2"/>
    <w:rsid w:val="0ACC0D02"/>
    <w:rsid w:val="0CB61B4C"/>
    <w:rsid w:val="0D161CDD"/>
    <w:rsid w:val="0E0013EF"/>
    <w:rsid w:val="0E7476E7"/>
    <w:rsid w:val="106F0166"/>
    <w:rsid w:val="11301FEB"/>
    <w:rsid w:val="13D34EB0"/>
    <w:rsid w:val="16216A5D"/>
    <w:rsid w:val="16881F81"/>
    <w:rsid w:val="17CD53DC"/>
    <w:rsid w:val="1BE539D2"/>
    <w:rsid w:val="1C226721"/>
    <w:rsid w:val="1F15637C"/>
    <w:rsid w:val="1F9279CD"/>
    <w:rsid w:val="20F45A5C"/>
    <w:rsid w:val="21257316"/>
    <w:rsid w:val="22B61C24"/>
    <w:rsid w:val="247B6A14"/>
    <w:rsid w:val="24EC26C4"/>
    <w:rsid w:val="27E965F8"/>
    <w:rsid w:val="28D9184B"/>
    <w:rsid w:val="295245B5"/>
    <w:rsid w:val="29FB2613"/>
    <w:rsid w:val="2A8E3487"/>
    <w:rsid w:val="2AD03A9F"/>
    <w:rsid w:val="2F33648E"/>
    <w:rsid w:val="31600EFE"/>
    <w:rsid w:val="32E53E60"/>
    <w:rsid w:val="337858BF"/>
    <w:rsid w:val="33A87367"/>
    <w:rsid w:val="340469F7"/>
    <w:rsid w:val="34B025C1"/>
    <w:rsid w:val="374E02BB"/>
    <w:rsid w:val="37F708BD"/>
    <w:rsid w:val="38A13804"/>
    <w:rsid w:val="39DA7C78"/>
    <w:rsid w:val="3ACB729D"/>
    <w:rsid w:val="3CA870CA"/>
    <w:rsid w:val="3CC94394"/>
    <w:rsid w:val="3D0005E3"/>
    <w:rsid w:val="3D115F7D"/>
    <w:rsid w:val="3DC2371B"/>
    <w:rsid w:val="3F8A033F"/>
    <w:rsid w:val="404C3770"/>
    <w:rsid w:val="40905D53"/>
    <w:rsid w:val="430D5439"/>
    <w:rsid w:val="43754D8C"/>
    <w:rsid w:val="43882D11"/>
    <w:rsid w:val="46E71798"/>
    <w:rsid w:val="47D84EDC"/>
    <w:rsid w:val="4B3C2D5F"/>
    <w:rsid w:val="4C3A6B73"/>
    <w:rsid w:val="4C800A2A"/>
    <w:rsid w:val="4C80138C"/>
    <w:rsid w:val="4DEE38E9"/>
    <w:rsid w:val="4EC32A03"/>
    <w:rsid w:val="4F74239C"/>
    <w:rsid w:val="4F750978"/>
    <w:rsid w:val="4FA26F09"/>
    <w:rsid w:val="4FE15C83"/>
    <w:rsid w:val="55E73D2F"/>
    <w:rsid w:val="573D3C76"/>
    <w:rsid w:val="57B27F05"/>
    <w:rsid w:val="582A5235"/>
    <w:rsid w:val="58B55EFF"/>
    <w:rsid w:val="58D2085F"/>
    <w:rsid w:val="59126EAD"/>
    <w:rsid w:val="5FAE5456"/>
    <w:rsid w:val="60600615"/>
    <w:rsid w:val="63587A01"/>
    <w:rsid w:val="63DE579C"/>
    <w:rsid w:val="64682077"/>
    <w:rsid w:val="658E568F"/>
    <w:rsid w:val="66B16D09"/>
    <w:rsid w:val="66BB0B84"/>
    <w:rsid w:val="67757984"/>
    <w:rsid w:val="687C0C91"/>
    <w:rsid w:val="68F16ADF"/>
    <w:rsid w:val="693370F8"/>
    <w:rsid w:val="697C6324"/>
    <w:rsid w:val="6A721F5F"/>
    <w:rsid w:val="6C4909E0"/>
    <w:rsid w:val="6D0D4676"/>
    <w:rsid w:val="6D417CF4"/>
    <w:rsid w:val="6D686D7A"/>
    <w:rsid w:val="6E113780"/>
    <w:rsid w:val="6E322CF5"/>
    <w:rsid w:val="6F936D70"/>
    <w:rsid w:val="6FA4272F"/>
    <w:rsid w:val="713F23B2"/>
    <w:rsid w:val="72E327C3"/>
    <w:rsid w:val="75363605"/>
    <w:rsid w:val="77A77481"/>
    <w:rsid w:val="787212BF"/>
    <w:rsid w:val="78BC3E63"/>
    <w:rsid w:val="79687490"/>
    <w:rsid w:val="7A3A3474"/>
    <w:rsid w:val="7A411B9B"/>
    <w:rsid w:val="7CFD384D"/>
    <w:rsid w:val="7D3B43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1076</Words>
  <Characters>6135</Characters>
  <Lines>51</Lines>
  <Paragraphs>14</Paragraphs>
  <TotalTime>0</TotalTime>
  <ScaleCrop>false</ScaleCrop>
  <LinksUpToDate>false</LinksUpToDate>
  <CharactersWithSpaces>7197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2022-07-28T09:13:57Z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