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宋体" w:hAnsi="宋体" w:eastAsia="宋体" w:cs="宋体"/>
          <w:sz w:val="44"/>
          <w:szCs w:val="44"/>
        </w:rPr>
      </w:pPr>
      <w:r>
        <w:rPr>
          <w:rFonts w:hint="eastAsia" w:ascii="宋体" w:hAnsi="宋体" w:eastAsia="宋体" w:cs="宋体"/>
          <w:sz w:val="44"/>
          <w:szCs w:val="44"/>
          <w:lang w:eastAsia="zh-CN"/>
        </w:rPr>
        <w:t>大城县</w:t>
      </w:r>
      <w:r>
        <w:rPr>
          <w:rFonts w:hint="eastAsia" w:ascii="宋体" w:hAnsi="宋体" w:cs="宋体"/>
          <w:sz w:val="44"/>
          <w:szCs w:val="44"/>
          <w:lang w:val="en-US" w:eastAsia="zh-CN"/>
        </w:rPr>
        <w:t>平舒镇田庄中心小学</w:t>
      </w:r>
      <w:r>
        <w:rPr>
          <w:rFonts w:hint="eastAsia" w:ascii="宋体" w:hAnsi="宋体" w:eastAsia="宋体" w:cs="宋体"/>
          <w:sz w:val="44"/>
          <w:szCs w:val="44"/>
        </w:rPr>
        <w:t>202</w:t>
      </w:r>
      <w:r>
        <w:rPr>
          <w:rFonts w:hint="eastAsia" w:ascii="宋体" w:hAnsi="宋体" w:eastAsia="宋体" w:cs="宋体"/>
          <w:sz w:val="44"/>
          <w:szCs w:val="44"/>
          <w:lang w:val="en-US" w:eastAsia="zh-CN"/>
        </w:rPr>
        <w:t>2</w:t>
      </w:r>
      <w:r>
        <w:rPr>
          <w:rFonts w:hint="eastAsia" w:ascii="宋体" w:hAnsi="宋体" w:eastAsia="宋体" w:cs="宋体"/>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平舒镇田庄中心小学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研究拟定学校中长期发展规划和年度计划，确保高质量的九年义务教育。</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val="en-US" w:eastAsia="zh-CN"/>
        </w:rPr>
        <w:t xml:space="preserve"> </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四</w:t>
      </w:r>
      <w:r>
        <w:rPr>
          <w:rFonts w:hint="eastAsia" w:ascii="仿宋_GB2312" w:hAnsi="Times New Roman" w:eastAsia="仿宋_GB2312" w:cs="Times New Roman"/>
          <w:kern w:val="2"/>
          <w:sz w:val="32"/>
          <w:szCs w:val="32"/>
          <w:lang w:val="en-US" w:eastAsia="zh-CN"/>
        </w:rPr>
        <w:t>）</w:t>
      </w:r>
      <w:r>
        <w:rPr>
          <w:rFonts w:hint="eastAsia" w:ascii="仿宋_GB2312" w:hAnsi="Times New Roman" w:eastAsia="仿宋_GB2312" w:cs="Times New Roman"/>
          <w:kern w:val="2"/>
          <w:sz w:val="32"/>
          <w:szCs w:val="32"/>
          <w:lang w:eastAsia="zh-CN"/>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val="en-US" w:eastAsia="zh-CN"/>
        </w:rPr>
        <w:t xml:space="preserve"> </w:t>
      </w:r>
      <w:r>
        <w:rPr>
          <w:rFonts w:hint="eastAsia" w:ascii="仿宋_GB2312" w:hAnsi="Times New Roman" w:eastAsia="仿宋_GB2312" w:cs="Times New Roman"/>
          <w:kern w:val="2"/>
          <w:sz w:val="32"/>
          <w:szCs w:val="32"/>
          <w:lang w:eastAsia="zh-CN"/>
        </w:rPr>
        <w:t>加强校园法制安全管理，避免各类安全事故的发生。</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hint="eastAsia" w:ascii="仿宋_GB2312" w:hAnsi="Times New Roman" w:eastAsia="仿宋_GB2312" w:cs="Times New Roman"/>
          <w:kern w:val="2"/>
          <w:sz w:val="32"/>
          <w:szCs w:val="32"/>
          <w:lang w:val="en-US" w:eastAsia="zh-CN"/>
        </w:rPr>
        <w:t xml:space="preserve"> </w:t>
      </w:r>
      <w:r>
        <w:rPr>
          <w:rFonts w:hint="eastAsia" w:ascii="仿宋_GB2312" w:hAnsi="Times New Roman" w:eastAsia="仿宋_GB2312" w:cs="Times New Roman"/>
          <w:kern w:val="2"/>
          <w:sz w:val="32"/>
          <w:szCs w:val="32"/>
          <w:lang w:eastAsia="zh-CN"/>
        </w:rPr>
        <w:t>严格管理学校教育经费，规范执行财务管理制度，做好各项财务报表和预决算方案编报工作。</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(八)</w:t>
      </w:r>
      <w:r>
        <w:rPr>
          <w:rFonts w:hint="eastAsia" w:ascii="仿宋_GB2312" w:hAnsi="Times New Roman" w:eastAsia="仿宋_GB2312" w:cs="Times New Roman"/>
          <w:kern w:val="2"/>
          <w:sz w:val="32"/>
          <w:szCs w:val="32"/>
          <w:lang w:val="en-US" w:eastAsia="zh-CN"/>
        </w:rPr>
        <w:t xml:space="preserve"> </w:t>
      </w:r>
      <w:r>
        <w:rPr>
          <w:rFonts w:hint="eastAsia" w:ascii="仿宋_GB2312" w:hAnsi="Times New Roman" w:eastAsia="仿宋_GB2312" w:cs="Times New Roman"/>
          <w:kern w:val="2"/>
          <w:sz w:val="32"/>
          <w:szCs w:val="32"/>
          <w:lang w:eastAsia="zh-CN"/>
        </w:rPr>
        <w:t>规范学校办学行为、教师从教行为，杜绝违规办学、违规收费、有违师德师风等行为。</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(九)</w:t>
      </w:r>
      <w:r>
        <w:rPr>
          <w:rFonts w:hint="eastAsia" w:ascii="仿宋_GB2312" w:hAnsi="Times New Roman" w:eastAsia="仿宋_GB2312" w:cs="Times New Roman"/>
          <w:kern w:val="2"/>
          <w:sz w:val="32"/>
          <w:szCs w:val="32"/>
          <w:lang w:val="en-US" w:eastAsia="zh-CN"/>
        </w:rPr>
        <w:t xml:space="preserve"> </w:t>
      </w:r>
      <w:r>
        <w:rPr>
          <w:rFonts w:hint="eastAsia" w:ascii="仿宋_GB2312" w:hAnsi="Times New Roman" w:eastAsia="仿宋_GB2312" w:cs="Times New Roman"/>
          <w:kern w:val="2"/>
          <w:sz w:val="32"/>
          <w:szCs w:val="32"/>
          <w:lang w:eastAsia="zh-CN"/>
        </w:rPr>
        <w:t>严格按照上级部门要求，组织招生、入学和毕业鉴定工作。</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(十)</w:t>
      </w:r>
      <w:r>
        <w:rPr>
          <w:rFonts w:hint="eastAsia" w:ascii="仿宋_GB2312" w:hAnsi="Times New Roman" w:eastAsia="仿宋_GB2312" w:cs="Times New Roman"/>
          <w:kern w:val="2"/>
          <w:sz w:val="32"/>
          <w:szCs w:val="32"/>
          <w:lang w:val="en-US" w:eastAsia="zh-CN"/>
        </w:rPr>
        <w:t xml:space="preserve"> </w:t>
      </w:r>
      <w:r>
        <w:rPr>
          <w:rFonts w:hint="eastAsia" w:ascii="仿宋_GB2312" w:hAnsi="Times New Roman" w:eastAsia="仿宋_GB2312" w:cs="Times New Roman"/>
          <w:kern w:val="2"/>
          <w:sz w:val="32"/>
          <w:szCs w:val="32"/>
          <w:lang w:eastAsia="zh-CN"/>
        </w:rPr>
        <w:t>组织做好教职工的考核、奖惩、工资、职称评定、退休审批等工作。</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(十一)加强党的建设，充分调动党员干部的积极性，在教育教学和其他各项工作中发挥党员先锋模范作用。</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(十二)做好资产的安全管理、维修与购置，做到账实相符，手续齐全，结算及时。</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(十三)完成县委和县政府以及上级主管部门交办的其他任务。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4443" w:type="dxa"/>
            <w:noWrap w:val="0"/>
            <w:vAlign w:val="center"/>
          </w:tcPr>
          <w:p>
            <w:pPr>
              <w:spacing w:line="300" w:lineRule="exact"/>
              <w:jc w:val="center"/>
              <w:rPr>
                <w:rFonts w:hint="default" w:ascii="仿宋" w:hAnsi="仿宋" w:eastAsia="仿宋"/>
                <w:szCs w:val="24"/>
                <w:lang w:val="en-US"/>
              </w:rPr>
            </w:pPr>
            <w:r>
              <w:rPr>
                <w:rFonts w:hint="eastAsia" w:ascii="仿宋" w:hAnsi="仿宋" w:eastAsia="仿宋"/>
                <w:szCs w:val="24"/>
                <w:lang w:val="en-US" w:eastAsia="zh-CN"/>
              </w:rPr>
              <w:t>大城县平舒镇田庄中心小学</w:t>
            </w:r>
          </w:p>
        </w:tc>
        <w:tc>
          <w:tcPr>
            <w:tcW w:w="1134" w:type="dxa"/>
            <w:noWrap w:val="0"/>
            <w:vAlign w:val="center"/>
          </w:tcPr>
          <w:p>
            <w:pPr>
              <w:spacing w:line="300" w:lineRule="exact"/>
              <w:jc w:val="center"/>
              <w:rPr>
                <w:rFonts w:ascii="仿宋" w:hAnsi="仿宋" w:eastAsia="仿宋"/>
                <w:szCs w:val="24"/>
              </w:rPr>
            </w:pPr>
            <w:r>
              <w:rPr>
                <w:rFonts w:hint="eastAsia" w:ascii="仿宋" w:hAnsi="仿宋" w:eastAsia="仿宋"/>
                <w:szCs w:val="24"/>
              </w:rPr>
              <w:t>全额事业</w:t>
            </w:r>
          </w:p>
        </w:tc>
        <w:tc>
          <w:tcPr>
            <w:tcW w:w="1276" w:type="dxa"/>
            <w:noWrap w:val="0"/>
            <w:vAlign w:val="center"/>
          </w:tcPr>
          <w:p>
            <w:pPr>
              <w:spacing w:line="300" w:lineRule="exact"/>
              <w:jc w:val="center"/>
              <w:rPr>
                <w:rFonts w:hint="default" w:ascii="仿宋" w:hAnsi="仿宋" w:eastAsia="仿宋"/>
                <w:szCs w:val="24"/>
                <w:lang w:val="en-US" w:eastAsia="zh-CN"/>
              </w:rPr>
            </w:pPr>
          </w:p>
        </w:tc>
        <w:tc>
          <w:tcPr>
            <w:tcW w:w="2902" w:type="dxa"/>
            <w:noWrap w:val="0"/>
            <w:vAlign w:val="center"/>
          </w:tcPr>
          <w:p>
            <w:pPr>
              <w:spacing w:line="300" w:lineRule="exact"/>
              <w:jc w:val="center"/>
              <w:rPr>
                <w:rFonts w:ascii="仿宋" w:hAnsi="仿宋" w:eastAsia="仿宋"/>
                <w:szCs w:val="24"/>
              </w:rPr>
            </w:pPr>
            <w:r>
              <w:rPr>
                <w:rFonts w:hint="eastAsia" w:ascii="仿宋" w:hAnsi="仿宋" w:eastAsia="仿宋"/>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平舒镇裴庄中心小学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499.01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499.01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default"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单位2022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499.01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499.01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480.11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18.90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lang w:eastAsia="zh-CN"/>
        </w:rPr>
        <w:t>、</w:t>
      </w:r>
      <w:r>
        <w:rPr>
          <w:rFonts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499.01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9.2</w:t>
      </w:r>
      <w:r>
        <w:rPr>
          <w:rFonts w:hint="default"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减少9.2</w:t>
      </w:r>
      <w:r>
        <w:rPr>
          <w:rFonts w:hint="default"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人员类经费</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18.90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学校</w:t>
      </w:r>
      <w:r>
        <w:rPr>
          <w:rFonts w:ascii="Times New Roman" w:hAnsi="Times New Roman" w:eastAsia="仿宋_GB2312" w:cs="Times New Roman"/>
          <w:sz w:val="32"/>
          <w:szCs w:val="32"/>
        </w:rPr>
        <w:t>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w:t>
      </w:r>
      <w:r>
        <w:rPr>
          <w:rFonts w:hint="eastAsia" w:ascii="Times New Roman" w:hAnsi="Times New Roman" w:eastAsia="仿宋_GB2312"/>
          <w:sz w:val="32"/>
          <w:szCs w:val="32"/>
          <w:lang w:eastAsia="zh-CN"/>
        </w:rPr>
        <w:t>学校</w:t>
      </w:r>
      <w:r>
        <w:rPr>
          <w:rFonts w:hint="eastAsia" w:ascii="Times New Roman" w:hAnsi="Times New Roman" w:eastAsia="仿宋_GB2312"/>
          <w:sz w:val="32"/>
          <w:szCs w:val="32"/>
        </w:rPr>
        <w:t>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绩效目标：深化教育教学改革创新，推行</w:t>
      </w:r>
      <w:r>
        <w:rPr>
          <w:rFonts w:hint="eastAsia" w:ascii="Times New Roman" w:hAnsi="Times New Roman" w:eastAsia="仿宋_GB2312" w:cs="Times New Roman"/>
          <w:sz w:val="32"/>
          <w:szCs w:val="32"/>
          <w:lang w:val="en-US" w:eastAsia="zh-CN"/>
        </w:rPr>
        <w:t>义务</w:t>
      </w:r>
      <w:r>
        <w:rPr>
          <w:rFonts w:hint="eastAsia" w:ascii="Times New Roman" w:hAnsi="Times New Roman" w:eastAsia="仿宋_GB2312" w:cs="Times New Roman"/>
          <w:sz w:val="32"/>
          <w:szCs w:val="32"/>
        </w:rPr>
        <w:t>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w:t>
      </w:r>
    </w:p>
    <w:p>
      <w:pPr>
        <w:spacing w:line="584" w:lineRule="exact"/>
        <w:ind w:firstLine="960" w:firstLineChars="3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提高学生综合素质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绩效目标：通过开展活动，提高学生综合素质，促进学生全面、健康成长。</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spacing w:line="584" w:lineRule="exact"/>
        <w:ind w:firstLine="640" w:firstLineChars="200"/>
        <w:rPr>
          <w:rFonts w:hint="eastAsia" w:ascii="Times New Roman" w:hAnsi="Times New Roman" w:eastAsia="仿宋_GB2312"/>
          <w:sz w:val="32"/>
          <w:szCs w:val="32"/>
        </w:rPr>
      </w:pPr>
    </w:p>
    <w:p>
      <w:pPr>
        <w:spacing w:line="584" w:lineRule="exact"/>
        <w:ind w:firstLine="640" w:firstLineChars="200"/>
        <w:rPr>
          <w:rFonts w:hint="eastAsia" w:ascii="Times New Roman" w:hAnsi="Times New Roman" w:eastAsia="仿宋_GB2312"/>
          <w:sz w:val="32"/>
          <w:szCs w:val="32"/>
        </w:rPr>
      </w:pPr>
    </w:p>
    <w:p>
      <w:pPr>
        <w:spacing w:line="584" w:lineRule="exact"/>
        <w:ind w:firstLine="640" w:firstLineChars="200"/>
        <w:rPr>
          <w:rFonts w:hint="eastAsia" w:ascii="Times New Roman" w:hAnsi="Times New Roman" w:eastAsia="仿宋_GB2312"/>
          <w:sz w:val="32"/>
          <w:szCs w:val="32"/>
        </w:rPr>
      </w:pPr>
    </w:p>
    <w:p>
      <w:pPr>
        <w:spacing w:line="584" w:lineRule="exact"/>
        <w:ind w:firstLine="640" w:firstLineChars="200"/>
        <w:rPr>
          <w:rFonts w:hint="eastAsia" w:ascii="Times New Roman" w:hAnsi="Times New Roman" w:eastAsia="仿宋_GB2312"/>
          <w:sz w:val="32"/>
          <w:szCs w:val="32"/>
        </w:rPr>
      </w:pPr>
    </w:p>
    <w:p>
      <w:pPr>
        <w:spacing w:line="584" w:lineRule="exact"/>
        <w:ind w:firstLine="640" w:firstLineChars="200"/>
        <w:rPr>
          <w:rFonts w:hint="eastAsia" w:ascii="Times New Roman" w:hAnsi="Times New Roman" w:eastAsia="仿宋_GB2312"/>
          <w:sz w:val="32"/>
          <w:szCs w:val="32"/>
        </w:rPr>
      </w:pPr>
    </w:p>
    <w:p>
      <w:pPr>
        <w:spacing w:line="584" w:lineRule="exact"/>
        <w:ind w:firstLine="640" w:firstLineChars="200"/>
        <w:rPr>
          <w:rFonts w:hint="eastAsia" w:ascii="Times New Roman" w:hAnsi="Times New Roman" w:eastAsia="仿宋_GB2312"/>
          <w:sz w:val="32"/>
          <w:szCs w:val="32"/>
        </w:rPr>
      </w:pPr>
    </w:p>
    <w:p>
      <w:pPr>
        <w:spacing w:line="584" w:lineRule="exact"/>
        <w:ind w:firstLine="640" w:firstLineChars="200"/>
        <w:rPr>
          <w:rFonts w:hint="eastAsia" w:ascii="Times New Roman" w:hAnsi="Times New Roman" w:eastAsia="仿宋_GB2312"/>
          <w:sz w:val="32"/>
          <w:szCs w:val="32"/>
        </w:rPr>
      </w:pPr>
    </w:p>
    <w:p>
      <w:pPr>
        <w:numPr>
          <w:ilvl w:val="0"/>
          <w:numId w:val="2"/>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8"/>
        <w:tblW w:w="10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27"/>
        <w:gridCol w:w="1081"/>
        <w:gridCol w:w="1367"/>
        <w:gridCol w:w="1093"/>
        <w:gridCol w:w="2865"/>
        <w:gridCol w:w="488"/>
        <w:gridCol w:w="895"/>
        <w:gridCol w:w="625"/>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27" w:type="dxa"/>
            <w:vMerge w:val="restart"/>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一级指标</w:t>
            </w:r>
          </w:p>
        </w:tc>
        <w:tc>
          <w:tcPr>
            <w:tcW w:w="1081" w:type="dxa"/>
            <w:vMerge w:val="restart"/>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二级</w:t>
            </w:r>
          </w:p>
          <w:p>
            <w:pPr>
              <w:widowControl/>
              <w:adjustRightInd w:val="0"/>
              <w:snapToGrid w:val="0"/>
              <w:jc w:val="center"/>
              <w:rPr>
                <w:rFonts w:ascii="方正书宋_GBK" w:eastAsia="方正书宋_GBK"/>
                <w:b/>
                <w:highlight w:val="none"/>
              </w:rPr>
            </w:pPr>
            <w:r>
              <w:rPr>
                <w:rFonts w:ascii="方正书宋_GBK" w:eastAsia="方正书宋_GBK"/>
                <w:b/>
                <w:highlight w:val="none"/>
              </w:rPr>
              <w:t>指标</w:t>
            </w:r>
          </w:p>
        </w:tc>
        <w:tc>
          <w:tcPr>
            <w:tcW w:w="1367" w:type="dxa"/>
            <w:vMerge w:val="restart"/>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三级</w:t>
            </w:r>
          </w:p>
          <w:p>
            <w:pPr>
              <w:widowControl/>
              <w:adjustRightInd w:val="0"/>
              <w:snapToGrid w:val="0"/>
              <w:jc w:val="center"/>
              <w:rPr>
                <w:rFonts w:ascii="方正书宋_GBK" w:eastAsia="方正书宋_GBK"/>
                <w:b/>
                <w:highlight w:val="none"/>
              </w:rPr>
            </w:pPr>
            <w:r>
              <w:rPr>
                <w:rFonts w:ascii="方正书宋_GBK" w:eastAsia="方正书宋_GBK"/>
                <w:b/>
                <w:highlight w:val="none"/>
              </w:rPr>
              <w:t>指标</w:t>
            </w:r>
          </w:p>
        </w:tc>
        <w:tc>
          <w:tcPr>
            <w:tcW w:w="1093" w:type="dxa"/>
            <w:vMerge w:val="restart"/>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评（扣）分标准</w:t>
            </w:r>
          </w:p>
        </w:tc>
        <w:tc>
          <w:tcPr>
            <w:tcW w:w="2865" w:type="dxa"/>
            <w:vMerge w:val="restart"/>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绩效指标</w:t>
            </w:r>
          </w:p>
          <w:p>
            <w:pPr>
              <w:widowControl/>
              <w:adjustRightInd w:val="0"/>
              <w:snapToGrid w:val="0"/>
              <w:jc w:val="center"/>
              <w:rPr>
                <w:rFonts w:ascii="方正书宋_GBK" w:eastAsia="方正书宋_GBK"/>
                <w:b/>
                <w:highlight w:val="none"/>
              </w:rPr>
            </w:pPr>
            <w:r>
              <w:rPr>
                <w:rFonts w:ascii="方正书宋_GBK" w:eastAsia="方正书宋_GBK"/>
                <w:b/>
                <w:highlight w:val="none"/>
              </w:rPr>
              <w:t>描述</w:t>
            </w:r>
          </w:p>
        </w:tc>
        <w:tc>
          <w:tcPr>
            <w:tcW w:w="2008" w:type="dxa"/>
            <w:gridSpan w:val="3"/>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指标值</w:t>
            </w:r>
          </w:p>
        </w:tc>
        <w:tc>
          <w:tcPr>
            <w:tcW w:w="1190" w:type="dxa"/>
            <w:vMerge w:val="restart"/>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指标值</w:t>
            </w:r>
          </w:p>
          <w:p>
            <w:pPr>
              <w:widowControl/>
              <w:adjustRightInd w:val="0"/>
              <w:snapToGrid w:val="0"/>
              <w:jc w:val="center"/>
              <w:rPr>
                <w:rFonts w:ascii="方正书宋_GBK" w:eastAsia="方正书宋_GBK"/>
                <w:b/>
                <w:highlight w:val="none"/>
              </w:rPr>
            </w:pPr>
            <w:r>
              <w:rPr>
                <w:rFonts w:ascii="方正书宋_GBK" w:eastAsia="方正书宋_GBK"/>
                <w:b/>
                <w:highlight w:val="none"/>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27" w:type="dxa"/>
            <w:vMerge w:val="continue"/>
            <w:tcBorders>
              <w:tl2br w:val="nil"/>
              <w:tr2bl w:val="nil"/>
            </w:tcBorders>
            <w:vAlign w:val="center"/>
          </w:tcPr>
          <w:p>
            <w:pPr>
              <w:rPr>
                <w:highlight w:val="none"/>
              </w:rPr>
            </w:pPr>
          </w:p>
        </w:tc>
        <w:tc>
          <w:tcPr>
            <w:tcW w:w="1081" w:type="dxa"/>
            <w:vMerge w:val="continue"/>
            <w:tcBorders>
              <w:tl2br w:val="nil"/>
              <w:tr2bl w:val="nil"/>
            </w:tcBorders>
            <w:vAlign w:val="center"/>
          </w:tcPr>
          <w:p>
            <w:pPr>
              <w:rPr>
                <w:highlight w:val="none"/>
              </w:rPr>
            </w:pPr>
          </w:p>
        </w:tc>
        <w:tc>
          <w:tcPr>
            <w:tcW w:w="1367" w:type="dxa"/>
            <w:vMerge w:val="continue"/>
            <w:tcBorders>
              <w:tl2br w:val="nil"/>
              <w:tr2bl w:val="nil"/>
            </w:tcBorders>
            <w:vAlign w:val="center"/>
          </w:tcPr>
          <w:p>
            <w:pPr>
              <w:rPr>
                <w:highlight w:val="none"/>
              </w:rPr>
            </w:pPr>
          </w:p>
        </w:tc>
        <w:tc>
          <w:tcPr>
            <w:tcW w:w="1093" w:type="dxa"/>
            <w:vMerge w:val="continue"/>
            <w:tcBorders>
              <w:tl2br w:val="nil"/>
              <w:tr2bl w:val="nil"/>
            </w:tcBorders>
            <w:vAlign w:val="center"/>
          </w:tcPr>
          <w:p>
            <w:pPr>
              <w:rPr>
                <w:highlight w:val="none"/>
              </w:rPr>
            </w:pPr>
          </w:p>
        </w:tc>
        <w:tc>
          <w:tcPr>
            <w:tcW w:w="2865" w:type="dxa"/>
            <w:vMerge w:val="continue"/>
            <w:tcBorders>
              <w:tl2br w:val="nil"/>
              <w:tr2bl w:val="nil"/>
            </w:tcBorders>
            <w:vAlign w:val="center"/>
          </w:tcPr>
          <w:p>
            <w:pPr>
              <w:rPr>
                <w:highlight w:val="none"/>
              </w:rPr>
            </w:pPr>
          </w:p>
        </w:tc>
        <w:tc>
          <w:tcPr>
            <w:tcW w:w="488" w:type="dxa"/>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符号</w:t>
            </w:r>
          </w:p>
        </w:tc>
        <w:tc>
          <w:tcPr>
            <w:tcW w:w="895" w:type="dxa"/>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值</w:t>
            </w:r>
          </w:p>
        </w:tc>
        <w:tc>
          <w:tcPr>
            <w:tcW w:w="625" w:type="dxa"/>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单位</w:t>
            </w:r>
          </w:p>
        </w:tc>
        <w:tc>
          <w:tcPr>
            <w:tcW w:w="1190" w:type="dxa"/>
            <w:vMerge w:val="continue"/>
            <w:tcBorders>
              <w:tl2br w:val="nil"/>
              <w:tr2bl w:val="nil"/>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27" w:type="dxa"/>
            <w:vMerge w:val="restart"/>
            <w:tcBorders>
              <w:tl2br w:val="nil"/>
              <w:tr2bl w:val="nil"/>
            </w:tcBorders>
            <w:vAlign w:val="center"/>
          </w:tcPr>
          <w:p>
            <w:pPr>
              <w:widowControl/>
              <w:adjustRightInd w:val="0"/>
              <w:snapToGrid w:val="0"/>
              <w:jc w:val="center"/>
              <w:rPr>
                <w:rFonts w:ascii="方正书宋_GBK" w:eastAsia="方正书宋_GBK"/>
                <w:highlight w:val="none"/>
              </w:rPr>
            </w:pPr>
            <w:r>
              <w:rPr>
                <w:rFonts w:ascii="方正书宋_GBK" w:eastAsia="方正书宋_GBK"/>
                <w:highlight w:val="none"/>
              </w:rPr>
              <w:t>部门产出</w:t>
            </w:r>
          </w:p>
        </w:tc>
        <w:tc>
          <w:tcPr>
            <w:tcW w:w="1081" w:type="dxa"/>
            <w:tcBorders>
              <w:tl2br w:val="nil"/>
              <w:tr2bl w:val="nil"/>
            </w:tcBorders>
            <w:vAlign w:val="center"/>
          </w:tcPr>
          <w:p>
            <w:pPr>
              <w:widowControl/>
              <w:adjustRightInd w:val="0"/>
              <w:snapToGrid w:val="0"/>
              <w:jc w:val="center"/>
              <w:rPr>
                <w:rFonts w:ascii="方正书宋_GBK" w:eastAsia="方正书宋_GBK"/>
                <w:highlight w:val="none"/>
              </w:rPr>
            </w:pPr>
            <w:r>
              <w:rPr>
                <w:rFonts w:ascii="方正书宋_GBK" w:eastAsia="方正书宋_GBK"/>
                <w:highlight w:val="none"/>
              </w:rPr>
              <w:t>数量</w:t>
            </w:r>
          </w:p>
        </w:tc>
        <w:tc>
          <w:tcPr>
            <w:tcW w:w="136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保障人数</w:t>
            </w:r>
          </w:p>
        </w:tc>
        <w:tc>
          <w:tcPr>
            <w:tcW w:w="1093" w:type="dxa"/>
            <w:tcBorders>
              <w:tl2br w:val="nil"/>
              <w:tr2bl w:val="nil"/>
            </w:tcBorders>
            <w:vAlign w:val="center"/>
          </w:tcPr>
          <w:p>
            <w:pPr>
              <w:widowControl/>
              <w:adjustRightInd w:val="0"/>
              <w:snapToGrid w:val="0"/>
              <w:rPr>
                <w:rFonts w:hint="eastAsia" w:ascii="方正书宋_GBK" w:eastAsia="方正书宋_GBK"/>
                <w:highlight w:val="none"/>
                <w:lang w:eastAsia="zh-CN"/>
              </w:rPr>
            </w:pPr>
            <w:r>
              <w:rPr>
                <w:rFonts w:hint="eastAsia" w:ascii="方正书宋_GBK" w:eastAsia="方正书宋_GBK"/>
                <w:highlight w:val="none"/>
                <w:lang w:eastAsia="zh-CN"/>
              </w:rPr>
              <w:t>无</w:t>
            </w:r>
          </w:p>
        </w:tc>
        <w:tc>
          <w:tcPr>
            <w:tcW w:w="286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保障人数</w:t>
            </w:r>
          </w:p>
        </w:tc>
        <w:tc>
          <w:tcPr>
            <w:tcW w:w="48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w:t>
            </w:r>
          </w:p>
        </w:tc>
        <w:tc>
          <w:tcPr>
            <w:tcW w:w="895" w:type="dxa"/>
            <w:tcBorders>
              <w:tl2br w:val="nil"/>
              <w:tr2bl w:val="nil"/>
            </w:tcBorders>
            <w:vAlign w:val="center"/>
          </w:tcPr>
          <w:p>
            <w:pPr>
              <w:widowControl/>
              <w:adjustRightInd w:val="0"/>
              <w:snapToGrid w:val="0"/>
              <w:jc w:val="center"/>
              <w:rPr>
                <w:rFonts w:hint="default" w:ascii="方正书宋_GBK" w:eastAsia="方正书宋_GBK"/>
                <w:highlight w:val="none"/>
                <w:lang w:val="en-US" w:eastAsia="zh-CN"/>
              </w:rPr>
            </w:pPr>
            <w:r>
              <w:rPr>
                <w:rFonts w:hint="eastAsia" w:ascii="方正书宋_GBK" w:eastAsia="方正书宋_GBK"/>
                <w:highlight w:val="none"/>
                <w:lang w:val="en-US" w:eastAsia="zh-CN"/>
              </w:rPr>
              <w:t>58</w:t>
            </w:r>
          </w:p>
        </w:tc>
        <w:tc>
          <w:tcPr>
            <w:tcW w:w="625" w:type="dxa"/>
            <w:tcBorders>
              <w:tl2br w:val="nil"/>
              <w:tr2bl w:val="nil"/>
            </w:tcBorders>
            <w:vAlign w:val="center"/>
          </w:tcPr>
          <w:p>
            <w:pPr>
              <w:widowControl/>
              <w:adjustRightInd w:val="0"/>
              <w:snapToGrid w:val="0"/>
              <w:jc w:val="center"/>
              <w:rPr>
                <w:rFonts w:hint="eastAsia" w:ascii="方正书宋_GBK" w:eastAsia="方正书宋_GBK"/>
                <w:highlight w:val="none"/>
                <w:lang w:eastAsia="zh-CN"/>
              </w:rPr>
            </w:pPr>
            <w:r>
              <w:rPr>
                <w:rFonts w:hint="eastAsia" w:ascii="方正书宋_GBK" w:eastAsia="方正书宋_GBK"/>
                <w:highlight w:val="none"/>
                <w:lang w:eastAsia="zh-CN"/>
              </w:rPr>
              <w:t>人</w:t>
            </w:r>
          </w:p>
        </w:tc>
        <w:tc>
          <w:tcPr>
            <w:tcW w:w="1190" w:type="dxa"/>
            <w:tcBorders>
              <w:tl2br w:val="nil"/>
              <w:tr2bl w:val="nil"/>
            </w:tcBorders>
            <w:vAlign w:val="center"/>
          </w:tcPr>
          <w:p>
            <w:pPr>
              <w:widowControl/>
              <w:adjustRightInd w:val="0"/>
              <w:snapToGrid w:val="0"/>
              <w:rPr>
                <w:rFonts w:ascii="方正书宋_GBK" w:eastAsia="方正书宋_GBK"/>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27" w:type="dxa"/>
            <w:vMerge w:val="continue"/>
            <w:tcBorders>
              <w:tl2br w:val="nil"/>
              <w:tr2bl w:val="nil"/>
            </w:tcBorders>
            <w:vAlign w:val="center"/>
          </w:tcPr>
          <w:p>
            <w:pPr>
              <w:rPr>
                <w:highlight w:val="none"/>
              </w:rPr>
            </w:pPr>
          </w:p>
        </w:tc>
        <w:tc>
          <w:tcPr>
            <w:tcW w:w="1081" w:type="dxa"/>
            <w:tcBorders>
              <w:tl2br w:val="nil"/>
              <w:tr2bl w:val="nil"/>
            </w:tcBorders>
            <w:vAlign w:val="center"/>
          </w:tcPr>
          <w:p>
            <w:pPr>
              <w:widowControl/>
              <w:adjustRightInd w:val="0"/>
              <w:snapToGrid w:val="0"/>
              <w:jc w:val="center"/>
              <w:rPr>
                <w:rFonts w:ascii="方正书宋_GBK" w:eastAsia="方正书宋_GBK"/>
                <w:highlight w:val="none"/>
              </w:rPr>
            </w:pPr>
            <w:r>
              <w:rPr>
                <w:rFonts w:ascii="方正书宋_GBK" w:eastAsia="方正书宋_GBK"/>
                <w:highlight w:val="none"/>
              </w:rPr>
              <w:t>质量</w:t>
            </w:r>
          </w:p>
        </w:tc>
        <w:tc>
          <w:tcPr>
            <w:tcW w:w="136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工资(福利)等发放精准性</w:t>
            </w:r>
          </w:p>
        </w:tc>
        <w:tc>
          <w:tcPr>
            <w:tcW w:w="1093" w:type="dxa"/>
            <w:tcBorders>
              <w:tl2br w:val="nil"/>
              <w:tr2bl w:val="nil"/>
            </w:tcBorders>
            <w:vAlign w:val="center"/>
          </w:tcPr>
          <w:p>
            <w:pPr>
              <w:widowControl/>
              <w:adjustRightInd w:val="0"/>
              <w:snapToGrid w:val="0"/>
              <w:rPr>
                <w:rFonts w:hint="eastAsia" w:ascii="方正书宋_GBK" w:eastAsia="方正书宋_GBK"/>
                <w:highlight w:val="none"/>
                <w:lang w:eastAsia="zh-CN"/>
              </w:rPr>
            </w:pPr>
            <w:r>
              <w:rPr>
                <w:rFonts w:hint="eastAsia" w:ascii="方正书宋_GBK" w:eastAsia="方正书宋_GBK"/>
                <w:highlight w:val="none"/>
                <w:lang w:eastAsia="zh-CN"/>
              </w:rPr>
              <w:t>无</w:t>
            </w:r>
          </w:p>
        </w:tc>
        <w:tc>
          <w:tcPr>
            <w:tcW w:w="286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工资福利等发放人员范围的精准性和发放数据的准确性</w:t>
            </w:r>
          </w:p>
        </w:tc>
        <w:tc>
          <w:tcPr>
            <w:tcW w:w="488" w:type="dxa"/>
            <w:tcBorders>
              <w:tl2br w:val="nil"/>
              <w:tr2bl w:val="nil"/>
            </w:tcBorders>
            <w:vAlign w:val="center"/>
          </w:tcPr>
          <w:p>
            <w:pPr>
              <w:widowControl/>
              <w:adjustRightInd w:val="0"/>
              <w:snapToGrid w:val="0"/>
              <w:jc w:val="center"/>
              <w:rPr>
                <w:rFonts w:hint="eastAsia" w:ascii="方正书宋_GBK" w:eastAsia="方正书宋_GBK"/>
                <w:highlight w:val="none"/>
                <w:lang w:val="en-US" w:eastAsia="zh-CN"/>
              </w:rPr>
            </w:pPr>
            <w:r>
              <w:rPr>
                <w:rFonts w:hint="eastAsia" w:ascii="方正书宋_GBK" w:eastAsia="方正书宋_GBK"/>
                <w:highlight w:val="none"/>
                <w:lang w:val="en-US" w:eastAsia="zh-CN"/>
              </w:rPr>
              <w:t>=</w:t>
            </w:r>
          </w:p>
        </w:tc>
        <w:tc>
          <w:tcPr>
            <w:tcW w:w="895" w:type="dxa"/>
            <w:tcBorders>
              <w:tl2br w:val="nil"/>
              <w:tr2bl w:val="nil"/>
            </w:tcBorders>
            <w:vAlign w:val="center"/>
          </w:tcPr>
          <w:p>
            <w:pPr>
              <w:widowControl/>
              <w:adjustRightInd w:val="0"/>
              <w:snapToGrid w:val="0"/>
              <w:jc w:val="center"/>
              <w:rPr>
                <w:rFonts w:hint="default" w:ascii="方正书宋_GBK" w:eastAsia="方正书宋_GBK"/>
                <w:highlight w:val="none"/>
                <w:lang w:val="en-US" w:eastAsia="zh-CN"/>
              </w:rPr>
            </w:pPr>
            <w:r>
              <w:rPr>
                <w:rFonts w:hint="eastAsia" w:ascii="方正书宋_GBK" w:eastAsia="方正书宋_GBK"/>
                <w:highlight w:val="none"/>
                <w:lang w:val="en-US" w:eastAsia="zh-CN"/>
              </w:rPr>
              <w:t>100%</w:t>
            </w:r>
          </w:p>
        </w:tc>
        <w:tc>
          <w:tcPr>
            <w:tcW w:w="625" w:type="dxa"/>
            <w:tcBorders>
              <w:tl2br w:val="nil"/>
              <w:tr2bl w:val="nil"/>
            </w:tcBorders>
            <w:vAlign w:val="center"/>
          </w:tcPr>
          <w:p>
            <w:pPr>
              <w:widowControl/>
              <w:adjustRightInd w:val="0"/>
              <w:snapToGrid w:val="0"/>
              <w:jc w:val="center"/>
              <w:rPr>
                <w:rFonts w:ascii="方正书宋_GBK" w:eastAsia="方正书宋_GBK"/>
                <w:highlight w:val="none"/>
              </w:rPr>
            </w:pPr>
          </w:p>
        </w:tc>
        <w:tc>
          <w:tcPr>
            <w:tcW w:w="1190" w:type="dxa"/>
            <w:tcBorders>
              <w:tl2br w:val="nil"/>
              <w:tr2bl w:val="nil"/>
            </w:tcBorders>
            <w:vAlign w:val="center"/>
          </w:tcPr>
          <w:p>
            <w:pPr>
              <w:widowControl/>
              <w:adjustRightInd w:val="0"/>
              <w:snapToGrid w:val="0"/>
              <w:rPr>
                <w:rFonts w:ascii="方正书宋_GBK" w:eastAsia="方正书宋_GBK"/>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36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工资(福利)发放及时性</w:t>
            </w:r>
          </w:p>
        </w:tc>
        <w:tc>
          <w:tcPr>
            <w:tcW w:w="109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按规定时间发放</w:t>
            </w:r>
          </w:p>
        </w:tc>
        <w:tc>
          <w:tcPr>
            <w:tcW w:w="286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工资福利等发放的时效情况</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895" w:type="dxa"/>
            <w:tcBorders>
              <w:tl2br w:val="nil"/>
              <w:tr2bl w:val="nil"/>
            </w:tcBorders>
            <w:vAlign w:val="center"/>
          </w:tcPr>
          <w:p>
            <w:pPr>
              <w:widowControl/>
              <w:adjustRightInd w:val="0"/>
              <w:snapToGrid w:val="0"/>
              <w:jc w:val="center"/>
              <w:rPr>
                <w:rFonts w:ascii="方正书宋_GBK" w:eastAsia="方正书宋_GBK"/>
              </w:rPr>
            </w:pPr>
          </w:p>
        </w:tc>
        <w:tc>
          <w:tcPr>
            <w:tcW w:w="625" w:type="dxa"/>
            <w:tcBorders>
              <w:tl2br w:val="nil"/>
              <w:tr2bl w:val="nil"/>
            </w:tcBorders>
            <w:vAlign w:val="center"/>
          </w:tcPr>
          <w:p>
            <w:pPr>
              <w:widowControl/>
              <w:adjustRightInd w:val="0"/>
              <w:snapToGrid w:val="0"/>
              <w:jc w:val="center"/>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36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工资（福利）、社会保障（公积金）等发放（缴纳）标准</w:t>
            </w:r>
          </w:p>
        </w:tc>
        <w:tc>
          <w:tcPr>
            <w:tcW w:w="109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按规定执行</w:t>
            </w:r>
          </w:p>
        </w:tc>
        <w:tc>
          <w:tcPr>
            <w:tcW w:w="286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工资（福利）、社会保障（公积金）等发放（缴纳）标准</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895" w:type="dxa"/>
            <w:tcBorders>
              <w:tl2br w:val="nil"/>
              <w:tr2bl w:val="nil"/>
            </w:tcBorders>
            <w:vAlign w:val="center"/>
          </w:tcPr>
          <w:p>
            <w:pPr>
              <w:widowControl/>
              <w:adjustRightInd w:val="0"/>
              <w:snapToGrid w:val="0"/>
              <w:jc w:val="center"/>
              <w:rPr>
                <w:rFonts w:ascii="方正书宋_GBK" w:eastAsia="方正书宋_GBK"/>
              </w:rPr>
            </w:pPr>
          </w:p>
        </w:tc>
        <w:tc>
          <w:tcPr>
            <w:tcW w:w="625" w:type="dxa"/>
            <w:tcBorders>
              <w:tl2br w:val="nil"/>
              <w:tr2bl w:val="nil"/>
            </w:tcBorders>
            <w:vAlign w:val="center"/>
          </w:tcPr>
          <w:p>
            <w:pPr>
              <w:widowControl/>
              <w:adjustRightInd w:val="0"/>
              <w:snapToGrid w:val="0"/>
              <w:jc w:val="center"/>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27"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36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加强工作人员归属感，保持干部队伍稳定</w:t>
            </w:r>
          </w:p>
        </w:tc>
        <w:tc>
          <w:tcPr>
            <w:tcW w:w="109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保持干部队伍相对稳定</w:t>
            </w:r>
          </w:p>
        </w:tc>
        <w:tc>
          <w:tcPr>
            <w:tcW w:w="286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通过按时按标准发放工资福利等，进一步增强干部职工得归属感，保持干部队伍相对稳定，保障办公正常运转</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895" w:type="dxa"/>
            <w:tcBorders>
              <w:tl2br w:val="nil"/>
              <w:tr2bl w:val="nil"/>
            </w:tcBorders>
            <w:vAlign w:val="center"/>
          </w:tcPr>
          <w:p>
            <w:pPr>
              <w:widowControl/>
              <w:adjustRightInd w:val="0"/>
              <w:snapToGrid w:val="0"/>
              <w:jc w:val="center"/>
              <w:rPr>
                <w:rFonts w:ascii="方正书宋_GBK" w:eastAsia="方正书宋_GBK"/>
              </w:rPr>
            </w:pPr>
          </w:p>
        </w:tc>
        <w:tc>
          <w:tcPr>
            <w:tcW w:w="625" w:type="dxa"/>
            <w:tcBorders>
              <w:tl2br w:val="nil"/>
              <w:tr2bl w:val="nil"/>
            </w:tcBorders>
            <w:vAlign w:val="center"/>
          </w:tcPr>
          <w:p>
            <w:pPr>
              <w:widowControl/>
              <w:adjustRightInd w:val="0"/>
              <w:snapToGrid w:val="0"/>
              <w:jc w:val="center"/>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67" w:type="dxa"/>
            <w:tcBorders>
              <w:tl2br w:val="nil"/>
              <w:tr2bl w:val="nil"/>
            </w:tcBorders>
            <w:vAlign w:val="center"/>
          </w:tcPr>
          <w:p>
            <w:pPr>
              <w:widowControl/>
              <w:adjustRightInd w:val="0"/>
              <w:snapToGrid w:val="0"/>
              <w:rPr>
                <w:rFonts w:ascii="方正书宋_GBK" w:eastAsia="方正书宋_GBK"/>
              </w:rPr>
            </w:pPr>
          </w:p>
        </w:tc>
        <w:tc>
          <w:tcPr>
            <w:tcW w:w="1093" w:type="dxa"/>
            <w:tcBorders>
              <w:tl2br w:val="nil"/>
              <w:tr2bl w:val="nil"/>
            </w:tcBorders>
            <w:vAlign w:val="center"/>
          </w:tcPr>
          <w:p>
            <w:pPr>
              <w:widowControl/>
              <w:adjustRightInd w:val="0"/>
              <w:snapToGrid w:val="0"/>
              <w:rPr>
                <w:rFonts w:ascii="方正书宋_GBK" w:eastAsia="方正书宋_GBK"/>
              </w:rPr>
            </w:pPr>
          </w:p>
        </w:tc>
        <w:tc>
          <w:tcPr>
            <w:tcW w:w="2865"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895" w:type="dxa"/>
            <w:tcBorders>
              <w:tl2br w:val="nil"/>
              <w:tr2bl w:val="nil"/>
            </w:tcBorders>
            <w:vAlign w:val="center"/>
          </w:tcPr>
          <w:p>
            <w:pPr>
              <w:widowControl/>
              <w:adjustRightInd w:val="0"/>
              <w:snapToGrid w:val="0"/>
              <w:rPr>
                <w:rFonts w:ascii="方正书宋_GBK" w:eastAsia="方正书宋_GBK"/>
              </w:rPr>
            </w:pPr>
          </w:p>
        </w:tc>
        <w:tc>
          <w:tcPr>
            <w:tcW w:w="625" w:type="dxa"/>
            <w:tcBorders>
              <w:tl2br w:val="nil"/>
              <w:tr2bl w:val="nil"/>
            </w:tcBorders>
            <w:vAlign w:val="center"/>
          </w:tcPr>
          <w:p>
            <w:pPr>
              <w:widowControl/>
              <w:adjustRightInd w:val="0"/>
              <w:snapToGrid w:val="0"/>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67" w:type="dxa"/>
            <w:tcBorders>
              <w:tl2br w:val="nil"/>
              <w:tr2bl w:val="nil"/>
            </w:tcBorders>
            <w:vAlign w:val="center"/>
          </w:tcPr>
          <w:p>
            <w:pPr>
              <w:widowControl/>
              <w:adjustRightInd w:val="0"/>
              <w:snapToGrid w:val="0"/>
              <w:rPr>
                <w:rFonts w:ascii="方正书宋_GBK" w:eastAsia="方正书宋_GBK"/>
              </w:rPr>
            </w:pPr>
          </w:p>
        </w:tc>
        <w:tc>
          <w:tcPr>
            <w:tcW w:w="1093" w:type="dxa"/>
            <w:tcBorders>
              <w:tl2br w:val="nil"/>
              <w:tr2bl w:val="nil"/>
            </w:tcBorders>
            <w:vAlign w:val="center"/>
          </w:tcPr>
          <w:p>
            <w:pPr>
              <w:widowControl/>
              <w:adjustRightInd w:val="0"/>
              <w:snapToGrid w:val="0"/>
              <w:rPr>
                <w:rFonts w:ascii="方正书宋_GBK" w:eastAsia="方正书宋_GBK"/>
              </w:rPr>
            </w:pPr>
          </w:p>
        </w:tc>
        <w:tc>
          <w:tcPr>
            <w:tcW w:w="2865"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895" w:type="dxa"/>
            <w:tcBorders>
              <w:tl2br w:val="nil"/>
              <w:tr2bl w:val="nil"/>
            </w:tcBorders>
            <w:vAlign w:val="center"/>
          </w:tcPr>
          <w:p>
            <w:pPr>
              <w:widowControl/>
              <w:adjustRightInd w:val="0"/>
              <w:snapToGrid w:val="0"/>
              <w:rPr>
                <w:rFonts w:ascii="方正书宋_GBK" w:eastAsia="方正书宋_GBK"/>
              </w:rPr>
            </w:pPr>
          </w:p>
        </w:tc>
        <w:tc>
          <w:tcPr>
            <w:tcW w:w="625" w:type="dxa"/>
            <w:tcBorders>
              <w:tl2br w:val="nil"/>
              <w:tr2bl w:val="nil"/>
            </w:tcBorders>
            <w:vAlign w:val="center"/>
          </w:tcPr>
          <w:p>
            <w:pPr>
              <w:widowControl/>
              <w:adjustRightInd w:val="0"/>
              <w:snapToGrid w:val="0"/>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367" w:type="dxa"/>
            <w:tcBorders>
              <w:tl2br w:val="nil"/>
              <w:tr2bl w:val="nil"/>
            </w:tcBorders>
            <w:noWrap/>
            <w:vAlign w:val="center"/>
          </w:tcPr>
          <w:p>
            <w:pPr>
              <w:widowControl/>
              <w:adjustRightInd w:val="0"/>
              <w:snapToGrid w:val="0"/>
              <w:rPr>
                <w:rFonts w:ascii="方正书宋_GBK" w:eastAsia="方正书宋_GBK"/>
              </w:rPr>
            </w:pPr>
          </w:p>
        </w:tc>
        <w:tc>
          <w:tcPr>
            <w:tcW w:w="1093" w:type="dxa"/>
            <w:tcBorders>
              <w:tl2br w:val="nil"/>
              <w:tr2bl w:val="nil"/>
            </w:tcBorders>
            <w:noWrap/>
            <w:vAlign w:val="center"/>
          </w:tcPr>
          <w:p>
            <w:pPr>
              <w:widowControl/>
              <w:adjustRightInd w:val="0"/>
              <w:snapToGrid w:val="0"/>
              <w:rPr>
                <w:rFonts w:ascii="方正书宋_GBK" w:eastAsia="方正书宋_GBK"/>
              </w:rPr>
            </w:pPr>
          </w:p>
        </w:tc>
        <w:tc>
          <w:tcPr>
            <w:tcW w:w="2865" w:type="dxa"/>
            <w:tcBorders>
              <w:tl2br w:val="nil"/>
              <w:tr2bl w:val="nil"/>
            </w:tcBorders>
            <w:noWrap/>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895" w:type="dxa"/>
            <w:tcBorders>
              <w:tl2br w:val="nil"/>
              <w:tr2bl w:val="nil"/>
            </w:tcBorders>
            <w:vAlign w:val="center"/>
          </w:tcPr>
          <w:p>
            <w:pPr>
              <w:widowControl/>
              <w:adjustRightInd w:val="0"/>
              <w:snapToGrid w:val="0"/>
              <w:jc w:val="center"/>
              <w:rPr>
                <w:rFonts w:ascii="方正书宋_GBK" w:eastAsia="方正书宋_GBK"/>
              </w:rPr>
            </w:pPr>
          </w:p>
        </w:tc>
        <w:tc>
          <w:tcPr>
            <w:tcW w:w="625" w:type="dxa"/>
            <w:tcBorders>
              <w:tl2br w:val="nil"/>
              <w:tr2bl w:val="nil"/>
            </w:tcBorders>
            <w:vAlign w:val="center"/>
          </w:tcPr>
          <w:p>
            <w:pPr>
              <w:widowControl/>
              <w:adjustRightInd w:val="0"/>
              <w:snapToGrid w:val="0"/>
              <w:jc w:val="center"/>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367"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单位人员满意度</w:t>
            </w:r>
          </w:p>
        </w:tc>
        <w:tc>
          <w:tcPr>
            <w:tcW w:w="1093" w:type="dxa"/>
            <w:tcBorders>
              <w:tl2br w:val="nil"/>
              <w:tr2bl w:val="nil"/>
            </w:tcBorders>
            <w:noWrap/>
            <w:vAlign w:val="center"/>
          </w:tcPr>
          <w:p>
            <w:pPr>
              <w:widowControl/>
              <w:adjustRightInd w:val="0"/>
              <w:snapToGrid w:val="0"/>
              <w:rPr>
                <w:rFonts w:ascii="方正书宋_GBK" w:eastAsia="方正书宋_GBK"/>
              </w:rPr>
            </w:pPr>
          </w:p>
        </w:tc>
        <w:tc>
          <w:tcPr>
            <w:tcW w:w="2865"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单位人员对工资福利等发放工作的满意程度</w:t>
            </w:r>
          </w:p>
        </w:tc>
        <w:tc>
          <w:tcPr>
            <w:tcW w:w="488"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89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100%</w:t>
            </w:r>
          </w:p>
        </w:tc>
        <w:tc>
          <w:tcPr>
            <w:tcW w:w="625" w:type="dxa"/>
            <w:tcBorders>
              <w:tl2br w:val="nil"/>
              <w:tr2bl w:val="nil"/>
            </w:tcBorders>
            <w:vAlign w:val="center"/>
          </w:tcPr>
          <w:p>
            <w:pPr>
              <w:widowControl/>
              <w:adjustRightInd w:val="0"/>
              <w:snapToGrid w:val="0"/>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highlight w:val="none"/>
        </w:rPr>
      </w:pPr>
      <w:r>
        <w:rPr>
          <w:rFonts w:ascii="Times New Roman" w:hAnsi="Times New Roman" w:eastAsia="仿宋_GB2312" w:cs="Times New Roman"/>
          <w:sz w:val="28"/>
          <w:highlight w:val="none"/>
        </w:rPr>
        <w:t>1.</w:t>
      </w:r>
      <w:r>
        <w:rPr>
          <w:rFonts w:hint="eastAsia" w:ascii="Times New Roman" w:hAnsi="Times New Roman" w:eastAsia="仿宋_GB2312" w:cs="Times New Roman"/>
          <w:sz w:val="28"/>
          <w:highlight w:val="none"/>
          <w:lang w:eastAsia="zh-CN"/>
        </w:rPr>
        <w:t>人员经费</w:t>
      </w:r>
      <w:r>
        <w:rPr>
          <w:rFonts w:ascii="Times New Roman" w:hAnsi="Times New Roman" w:eastAsia="仿宋_GB2312" w:cs="Times New Roman"/>
          <w:sz w:val="28"/>
          <w:highlight w:val="none"/>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4"/>
        <w:gridCol w:w="1163"/>
        <w:gridCol w:w="2421"/>
        <w:gridCol w:w="3216"/>
        <w:gridCol w:w="1706"/>
        <w:gridCol w:w="885"/>
        <w:gridCol w:w="2447"/>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8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[13102522D3B7F611C2630]2022年人员类项目</w:t>
            </w:r>
          </w:p>
        </w:tc>
        <w:tc>
          <w:tcPr>
            <w:tcW w:w="25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8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[360105]大城县平舒镇田庄中心小学</w:t>
            </w:r>
          </w:p>
        </w:tc>
        <w:tc>
          <w:tcPr>
            <w:tcW w:w="25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480.11（万元）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7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用于保障我单位2022年财政供养人员工资待遇</w:t>
            </w:r>
            <w:r>
              <w:rPr>
                <w:rFonts w:hint="eastAsia" w:ascii="宋体" w:hAnsi="宋体" w:cs="宋体"/>
                <w:i w:val="0"/>
                <w:iCs w:val="0"/>
                <w:color w:val="000000"/>
                <w:sz w:val="18"/>
                <w:szCs w:val="18"/>
                <w:u w:val="none"/>
                <w:lang w:val="en-US"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50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50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80%</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11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color w:val="000000"/>
                <w:sz w:val="18"/>
                <w:szCs w:val="18"/>
              </w:rPr>
              <w:t>1.主要用于人员工资福利等支出，保障办公正常运转。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4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50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4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4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4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数量指标</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保障人数</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保障人数</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58</w:t>
            </w: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人</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时效指标</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工资(福利)发放及时性</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工资福利等发放的时效情况</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按规定时间发放</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时效指标</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社会保障（公积金）缴纳的及时性</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社会保障（公积金）等发放的时效情况</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按规定时间缴纳</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质量指标</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工资(福利)等发放精准性</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工资福利等发放人员范围的精准性和发放数据的准确性</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质量指标</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社会保障（公积金）缴纳的准确性</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社会保障（公积金）缴纳数据的准确性</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8" w:hRule="atLeast"/>
        </w:trPr>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工资（福利）、社会保障（公积金）等发放（缴纳）标准</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工资（福利）、社会保障（公积金）等发放（缴纳）标准</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按规定执行</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加强工作人员归属感，保持干部队伍稳定</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通过按时按标准发放工资福利等，进一步增强干部职工得归属感，保持干部队伍相对稳定，保障办公正常运转</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保持干部队伍相对稳定</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服务对象满意度指标</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单位人员满意度</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单位人员对工资福利等发放工作的满意程度</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000000"/>
                <w:sz w:val="18"/>
                <w:szCs w:val="18"/>
                <w:u w:val="none"/>
                <w:lang w:val="en-US" w:eastAsia="zh-CN"/>
              </w:rPr>
            </w:pPr>
          </w:p>
        </w:tc>
      </w:tr>
    </w:tbl>
    <w:p>
      <w:pPr>
        <w:ind w:firstLine="560" w:firstLineChars="200"/>
        <w:jc w:val="left"/>
        <w:outlineLvl w:val="1"/>
        <w:rPr>
          <w:rFonts w:ascii="Times New Roman" w:hAnsi="Times New Roman" w:eastAsia="仿宋_GB2312" w:cs="Times New Roman"/>
          <w:sz w:val="28"/>
          <w:highlight w:val="none"/>
        </w:rPr>
      </w:pPr>
    </w:p>
    <w:p>
      <w:pPr>
        <w:ind w:firstLine="560" w:firstLineChars="200"/>
        <w:jc w:val="left"/>
        <w:outlineLvl w:val="1"/>
        <w:rPr>
          <w:rFonts w:ascii="Times New Roman" w:hAnsi="Times New Roman" w:eastAsia="仿宋_GB2312" w:cs="Times New Roman"/>
          <w:sz w:val="28"/>
          <w:highlight w:val="none"/>
        </w:rPr>
      </w:pPr>
    </w:p>
    <w:p>
      <w:pPr>
        <w:ind w:firstLine="560" w:firstLineChars="200"/>
        <w:jc w:val="left"/>
        <w:outlineLvl w:val="1"/>
        <w:rPr>
          <w:rFonts w:ascii="Times New Roman" w:hAnsi="Times New Roman" w:eastAsia="仿宋_GB2312" w:cs="Times New Roman"/>
          <w:sz w:val="28"/>
          <w:highlight w:val="none"/>
        </w:rPr>
      </w:pPr>
      <w:r>
        <w:rPr>
          <w:rFonts w:hint="eastAsia" w:ascii="Times New Roman" w:hAnsi="Times New Roman" w:eastAsia="仿宋_GB2312" w:cs="Times New Roman"/>
          <w:sz w:val="28"/>
          <w:lang w:val="en-US" w:eastAsia="zh-CN"/>
        </w:rPr>
        <w:t>2、</w:t>
      </w:r>
      <w:r>
        <w:rPr>
          <w:rFonts w:hint="eastAsia" w:ascii="Times New Roman" w:hAnsi="Times New Roman" w:eastAsia="仿宋_GB2312" w:cs="Times New Roman"/>
          <w:sz w:val="28"/>
          <w:highlight w:val="none"/>
          <w:lang w:eastAsia="zh-CN"/>
        </w:rPr>
        <w:t>日常公用经费</w:t>
      </w:r>
      <w:r>
        <w:rPr>
          <w:rFonts w:ascii="Times New Roman" w:hAnsi="Times New Roman" w:eastAsia="仿宋_GB2312" w:cs="Times New Roman"/>
          <w:sz w:val="28"/>
          <w:highlight w:val="none"/>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303"/>
        <w:gridCol w:w="1824"/>
        <w:gridCol w:w="3348"/>
        <w:gridCol w:w="1717"/>
        <w:gridCol w:w="891"/>
        <w:gridCol w:w="2332"/>
        <w:gridCol w:w="1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[13102522D3B8424BF28E0]2022年公用经费类项目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[360105]大城县平舒镇田庄中心小学</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w:t>
            </w:r>
            <w:r>
              <w:rPr>
                <w:rFonts w:hint="eastAsia" w:ascii="宋体" w:hAnsi="宋体" w:cs="宋体"/>
                <w:i w:val="0"/>
                <w:iCs w:val="0"/>
                <w:color w:val="000000"/>
                <w:kern w:val="0"/>
                <w:sz w:val="18"/>
                <w:szCs w:val="18"/>
                <w:u w:val="none"/>
                <w:lang w:val="en-US" w:eastAsia="zh-CN" w:bidi="ar"/>
              </w:rPr>
              <w:t>90（万元）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cs="宋体"/>
                <w:color w:val="000000"/>
                <w:sz w:val="18"/>
                <w:szCs w:val="18"/>
                <w:highlight w:val="none"/>
              </w:rPr>
              <w:t>保障我单位2022年日常运转支出</w:t>
            </w:r>
            <w:r>
              <w:rPr>
                <w:rFonts w:hint="eastAsia" w:ascii="宋体" w:hAnsi="宋体" w:cs="宋体"/>
                <w:i w:val="0"/>
                <w:iCs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做好经费保障工作 保障办公正常运转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数量指标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保障办公人数</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保障办公人数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时效指标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经费保障及时性</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及时保障各项日常办公需要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及时保障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质量指标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运转保障率</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各项日常工作保障率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成本指标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日常公用经费开支标准</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办公费、水电费、交通费、会议费、工会经费、招待费及其他公用经费的开支标准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按统一规定执行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社会效益指标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保障日常办公需要，维持单位正常运转</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保障日常办公需要，维持单位正常运转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维持单位正常运转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hint="eastAsia" w:ascii="方正小标宋_GBK" w:eastAsia="方正小标宋_GBK" w:cs="Times New Roman"/>
          <w:sz w:val="32"/>
        </w:rPr>
      </w:pPr>
      <w:bookmarkStart w:id="1" w:name="_Toc64920910"/>
    </w:p>
    <w:p>
      <w:pPr>
        <w:jc w:val="center"/>
        <w:outlineLvl w:val="1"/>
        <w:rPr>
          <w:rFonts w:ascii="Times New Roman" w:hAnsi="Times New Roman" w:cs="Times New Roman"/>
          <w:sz w:val="32"/>
        </w:rPr>
      </w:pPr>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平舒镇田庄中心小学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401.76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highlight w:val="none"/>
          <w:lang w:val="en-US" w:eastAsia="zh-CN"/>
        </w:rPr>
        <w:t>1.5</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主要为</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计算机设备、打印设备、空调、办公家具</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等</w:t>
      </w:r>
      <w:r>
        <w:rPr>
          <w:rFonts w:hint="eastAsia" w:ascii="Times New Roman" w:hAnsi="Times New Roman" w:eastAsia="仿宋_GB2312" w:cs="Times New Roman"/>
          <w:sz w:val="32"/>
          <w:szCs w:val="32"/>
          <w:highlight w:val="none"/>
          <w:lang w:eastAsia="zh-CN"/>
        </w:rPr>
        <w:t>。</w:t>
      </w: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lang w:val="en-US" w:eastAsia="zh-CN"/>
              </w:rPr>
              <w:t>平舒镇田庄中心小学</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607.46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98.05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326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98.05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509.41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bookmarkStart w:id="2" w:name="_GoBack"/>
      <w:bookmarkEnd w:id="2"/>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abstractNum w:abstractNumId="1">
    <w:nsid w:val="446B97E5"/>
    <w:multiLevelType w:val="singleLevel"/>
    <w:tmpl w:val="446B97E5"/>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YmVlNzIxNmYwYzU2NDM2NWQ3MmNlZWU5MGM3MDkifQ=="/>
  </w:docVars>
  <w:rsids>
    <w:rsidRoot w:val="00172A27"/>
    <w:rsid w:val="004A54AA"/>
    <w:rsid w:val="00B80935"/>
    <w:rsid w:val="00D347CC"/>
    <w:rsid w:val="02732F88"/>
    <w:rsid w:val="029C78FA"/>
    <w:rsid w:val="03652DAD"/>
    <w:rsid w:val="0A545652"/>
    <w:rsid w:val="0B143988"/>
    <w:rsid w:val="0E25341F"/>
    <w:rsid w:val="15124ABF"/>
    <w:rsid w:val="153656F6"/>
    <w:rsid w:val="15A6378D"/>
    <w:rsid w:val="15B40E26"/>
    <w:rsid w:val="17471E3D"/>
    <w:rsid w:val="194A13B0"/>
    <w:rsid w:val="1B70138E"/>
    <w:rsid w:val="1B736951"/>
    <w:rsid w:val="1DA5237E"/>
    <w:rsid w:val="1DF67759"/>
    <w:rsid w:val="22AF0DE1"/>
    <w:rsid w:val="23912822"/>
    <w:rsid w:val="245072D4"/>
    <w:rsid w:val="25D80104"/>
    <w:rsid w:val="271A5132"/>
    <w:rsid w:val="27F154AD"/>
    <w:rsid w:val="2C9B4183"/>
    <w:rsid w:val="2EA036A8"/>
    <w:rsid w:val="34B025C1"/>
    <w:rsid w:val="35157488"/>
    <w:rsid w:val="3C886297"/>
    <w:rsid w:val="3F8A033F"/>
    <w:rsid w:val="437513EF"/>
    <w:rsid w:val="46E71798"/>
    <w:rsid w:val="46E83799"/>
    <w:rsid w:val="4AA743C5"/>
    <w:rsid w:val="4F750978"/>
    <w:rsid w:val="50335A97"/>
    <w:rsid w:val="55E73D2F"/>
    <w:rsid w:val="6303320E"/>
    <w:rsid w:val="67BE135A"/>
    <w:rsid w:val="687C0C91"/>
    <w:rsid w:val="688A67D1"/>
    <w:rsid w:val="6D0D4676"/>
    <w:rsid w:val="6D686D7A"/>
    <w:rsid w:val="6FDA16F0"/>
    <w:rsid w:val="726F427F"/>
    <w:rsid w:val="73E3333E"/>
    <w:rsid w:val="74780C5A"/>
    <w:rsid w:val="763F5EA5"/>
    <w:rsid w:val="7A023005"/>
    <w:rsid w:val="7A3A3474"/>
    <w:rsid w:val="7A411B9B"/>
    <w:rsid w:val="7DA43CC8"/>
    <w:rsid w:val="7DAE771B"/>
    <w:rsid w:val="7EEA3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 w:type="character" w:customStyle="1" w:styleId="13">
    <w:name w:val="font01"/>
    <w:basedOn w:val="9"/>
    <w:qFormat/>
    <w:uiPriority w:val="0"/>
    <w:rPr>
      <w:rFonts w:hint="eastAsia" w:ascii="宋体" w:hAnsi="宋体" w:eastAsia="宋体" w:cs="宋体"/>
      <w:color w:val="000000"/>
      <w:sz w:val="18"/>
      <w:szCs w:val="18"/>
      <w:u w:val="none"/>
    </w:rPr>
  </w:style>
  <w:style w:type="character" w:customStyle="1" w:styleId="14">
    <w:name w:val="font71"/>
    <w:basedOn w:val="9"/>
    <w:qFormat/>
    <w:uiPriority w:val="0"/>
    <w:rPr>
      <w:rFonts w:hint="default" w:ascii="Calibri" w:hAnsi="Calibri" w:cs="Calibri"/>
      <w:color w:val="000000"/>
      <w:sz w:val="18"/>
      <w:szCs w:val="18"/>
      <w:u w:val="none"/>
    </w:rPr>
  </w:style>
  <w:style w:type="character" w:customStyle="1" w:styleId="15">
    <w:name w:val="font61"/>
    <w:basedOn w:val="9"/>
    <w:qFormat/>
    <w:uiPriority w:val="0"/>
    <w:rPr>
      <w:rFonts w:ascii="Arial" w:hAnsi="Arial" w:cs="Arial"/>
      <w:color w:val="000000"/>
      <w:sz w:val="18"/>
      <w:szCs w:val="18"/>
      <w:u w:val="none"/>
    </w:rPr>
  </w:style>
  <w:style w:type="character" w:customStyle="1" w:styleId="16">
    <w:name w:val="font31"/>
    <w:basedOn w:val="9"/>
    <w:qFormat/>
    <w:uiPriority w:val="0"/>
    <w:rPr>
      <w:rFonts w:hint="default" w:ascii="Calibri" w:hAnsi="Calibri" w:cs="Calibri"/>
      <w:b/>
      <w:bCs/>
      <w:color w:val="000000"/>
      <w:sz w:val="18"/>
      <w:szCs w:val="18"/>
      <w:u w:val="none"/>
    </w:rPr>
  </w:style>
  <w:style w:type="character" w:customStyle="1" w:styleId="17">
    <w:name w:val="font51"/>
    <w:basedOn w:val="9"/>
    <w:qFormat/>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4461</Words>
  <Characters>4722</Characters>
  <Lines>23</Lines>
  <Paragraphs>6</Paragraphs>
  <TotalTime>0</TotalTime>
  <ScaleCrop>false</ScaleCrop>
  <LinksUpToDate>false</LinksUpToDate>
  <CharactersWithSpaces>4743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2022-07-28T09:13:09Z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AC6ACDEA3036425289FF919116048EEA</vt:lpwstr>
  </property>
</Properties>
</file>