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大城县南赵扶镇姚马渡中心小学</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大城县南赵扶镇姚马渡中心小学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pStyle w:val="12"/>
        <w:spacing w:line="660" w:lineRule="exact"/>
        <w:ind w:firstLine="640" w:firstLineChars="200"/>
        <w:rPr>
          <w:rFonts w:ascii="仿宋_GB2312" w:hAnsi="Times New Roman" w:eastAsia="仿宋_GB2312" w:cs="Times New Roman"/>
          <w:kern w:val="2"/>
          <w:sz w:val="32"/>
          <w:szCs w:val="32"/>
          <w:lang w:eastAsia="zh-CN"/>
        </w:rPr>
      </w:pPr>
      <w:r>
        <w:rPr>
          <w:sz w:val="32"/>
          <w:szCs w:val="32"/>
          <w:lang w:eastAsia="zh-CN"/>
        </w:rPr>
        <w:t>(</w:t>
      </w:r>
      <w:r>
        <w:rPr>
          <w:rFonts w:hint="eastAsia" w:ascii="仿宋_GB2312" w:hAnsi="Times New Roman" w:eastAsia="仿宋_GB2312" w:cs="Times New Roman"/>
          <w:kern w:val="2"/>
          <w:sz w:val="32"/>
          <w:szCs w:val="32"/>
          <w:lang w:eastAsia="zh-CN"/>
        </w:rPr>
        <w:t>一</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全面贯彻党的教育方针，大力实施素质教育。</w:t>
      </w:r>
    </w:p>
    <w:p>
      <w:pPr>
        <w:pStyle w:val="12"/>
        <w:spacing w:line="660" w:lineRule="exact"/>
        <w:ind w:firstLine="640" w:firstLineChars="200"/>
        <w:rPr>
          <w:rFonts w:hint="eastAsia"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二</w:t>
      </w:r>
      <w:r>
        <w:rPr>
          <w:rFonts w:ascii="仿宋_GB2312" w:hAnsi="Times New Roman" w:eastAsia="仿宋_GB2312" w:cs="Times New Roman"/>
          <w:kern w:val="2"/>
          <w:sz w:val="32"/>
          <w:szCs w:val="32"/>
          <w:lang w:eastAsia="zh-CN"/>
        </w:rPr>
        <w:t>)</w:t>
      </w:r>
      <w:r>
        <w:rPr>
          <w:rFonts w:hint="eastAsia" w:ascii="仿宋_GB2312" w:eastAsia="仿宋_GB2312"/>
          <w:sz w:val="32"/>
          <w:szCs w:val="32"/>
          <w:lang w:eastAsia="zh-CN"/>
        </w:rPr>
        <w:t xml:space="preserve"> 研究拟定学校中长期发展规划和年度计划，组织实施小学教育教学工作，确保高质量的九年义务教育工作成果。</w:t>
      </w:r>
    </w:p>
    <w:p>
      <w:pPr>
        <w:pStyle w:val="12"/>
        <w:spacing w:line="660" w:lineRule="exact"/>
        <w:ind w:firstLine="640" w:firstLineChars="200"/>
        <w:rPr>
          <w:rFonts w:hint="eastAsia"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三</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坚持以教学为中心，努力提高教学质量，不断改进教学方法，提高办学水平。</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四</w:t>
      </w:r>
      <w:r>
        <w:rPr>
          <w:rFonts w:ascii="仿宋_GB2312" w:hAnsi="Times New Roman" w:eastAsia="仿宋_GB2312"/>
          <w:sz w:val="32"/>
          <w:szCs w:val="32"/>
        </w:rPr>
        <w:t>)</w:t>
      </w:r>
      <w:r>
        <w:rPr>
          <w:rFonts w:hint="eastAsia" w:ascii="仿宋_GB2312" w:eastAsia="仿宋_GB2312"/>
          <w:sz w:val="32"/>
          <w:szCs w:val="32"/>
        </w:rPr>
        <w:t>加强师资队伍建设和教师职业道德教育，不断提高师资队伍素质。</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五</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加强校园法制安全管理，避免各类安全事故的发生。</w:t>
      </w:r>
    </w:p>
    <w:p>
      <w:pPr>
        <w:pStyle w:val="12"/>
        <w:spacing w:line="660" w:lineRule="exact"/>
        <w:ind w:firstLine="640" w:firstLineChars="200"/>
        <w:rPr>
          <w:rFonts w:hint="eastAsia"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六</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 xml:space="preserve"> 扎实开展文明校园创建工作，构建良好的教学环境氛围。</w:t>
      </w:r>
    </w:p>
    <w:p>
      <w:pPr>
        <w:pStyle w:val="12"/>
        <w:spacing w:line="660" w:lineRule="exact"/>
        <w:ind w:firstLine="640" w:firstLineChars="200"/>
        <w:rPr>
          <w:rFonts w:hint="eastAsia" w:ascii="仿宋_GB2312" w:eastAsia="仿宋_GB231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七</w:t>
      </w:r>
      <w:r>
        <w:rPr>
          <w:rFonts w:ascii="仿宋_GB2312" w:hAnsi="Times New Roman" w:eastAsia="仿宋_GB2312" w:cs="Times New Roman"/>
          <w:kern w:val="2"/>
          <w:sz w:val="32"/>
          <w:szCs w:val="32"/>
          <w:lang w:eastAsia="zh-CN"/>
        </w:rPr>
        <w:t>)</w:t>
      </w:r>
      <w:r>
        <w:rPr>
          <w:rFonts w:hint="eastAsia" w:ascii="仿宋_GB2312" w:eastAsia="仿宋_GB2312"/>
          <w:sz w:val="32"/>
          <w:szCs w:val="32"/>
          <w:lang w:eastAsia="zh-CN"/>
        </w:rPr>
        <w:t>严格管理学校教育经费，规范执行财务管理制度，做好各项财务报表和预决算方案编报工作。</w:t>
      </w:r>
    </w:p>
    <w:p>
      <w:pPr>
        <w:ind w:firstLine="627" w:firstLineChars="196"/>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八</w:t>
      </w:r>
      <w:r>
        <w:rPr>
          <w:rFonts w:ascii="仿宋_GB2312" w:hAnsi="Times New Roman" w:eastAsia="仿宋_GB2312"/>
          <w:sz w:val="32"/>
          <w:szCs w:val="32"/>
        </w:rPr>
        <w:t>)</w:t>
      </w:r>
      <w:r>
        <w:rPr>
          <w:rFonts w:hint="eastAsia" w:ascii="仿宋_GB2312" w:eastAsia="仿宋_GB2312"/>
          <w:sz w:val="32"/>
          <w:szCs w:val="32"/>
        </w:rPr>
        <w:t>规范学校办学行为、教师从教行为，杜绝违规办学、违规收费、有违师德师风等行为。</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九</w:t>
      </w:r>
      <w:r>
        <w:rPr>
          <w:rFonts w:ascii="仿宋_GB2312" w:hAnsi="Times New Roman" w:eastAsia="仿宋_GB2312"/>
          <w:sz w:val="32"/>
          <w:szCs w:val="32"/>
        </w:rPr>
        <w:t>)</w:t>
      </w:r>
      <w:r>
        <w:rPr>
          <w:rFonts w:hint="eastAsia" w:ascii="仿宋_GB2312" w:eastAsia="仿宋_GB2312"/>
          <w:sz w:val="32"/>
          <w:szCs w:val="32"/>
        </w:rPr>
        <w:t>严格按照上级部门要求，组织招生、入学和毕业鉴定工作。</w:t>
      </w:r>
    </w:p>
    <w:p>
      <w:pPr>
        <w:ind w:firstLine="627" w:firstLineChars="196"/>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w:t>
      </w:r>
      <w:r>
        <w:rPr>
          <w:rFonts w:ascii="仿宋_GB2312" w:hAnsi="Times New Roman" w:eastAsia="仿宋_GB2312"/>
          <w:sz w:val="32"/>
          <w:szCs w:val="32"/>
        </w:rPr>
        <w:t>)</w:t>
      </w:r>
      <w:r>
        <w:rPr>
          <w:rFonts w:hint="eastAsia" w:ascii="仿宋_GB2312" w:eastAsia="仿宋_GB2312"/>
          <w:sz w:val="32"/>
          <w:szCs w:val="32"/>
        </w:rPr>
        <w:t>组织做好教职工的考核、奖惩、工资、职称评定、退休审批及教师招聘等工作。</w:t>
      </w:r>
    </w:p>
    <w:p>
      <w:pPr>
        <w:ind w:firstLine="627" w:firstLineChars="196"/>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十一</w:t>
      </w:r>
      <w:r>
        <w:rPr>
          <w:rFonts w:ascii="仿宋_GB2312" w:hAnsi="Times New Roman" w:eastAsia="仿宋_GB2312"/>
          <w:sz w:val="32"/>
          <w:szCs w:val="32"/>
        </w:rPr>
        <w:t>)</w:t>
      </w:r>
      <w:r>
        <w:rPr>
          <w:rFonts w:hint="eastAsia" w:ascii="仿宋_GB2312" w:eastAsia="仿宋_GB2312"/>
          <w:sz w:val="32"/>
          <w:szCs w:val="32"/>
        </w:rPr>
        <w:t>加强党的建设，充分调动党员干部的积极性，在教育教学和其他各项工作中发挥党员先锋模范作用。</w:t>
      </w:r>
    </w:p>
    <w:p>
      <w:pPr>
        <w:ind w:firstLine="627" w:firstLineChars="196"/>
        <w:rPr>
          <w:rFonts w:hint="eastAsia"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十二</w:t>
      </w:r>
      <w:r>
        <w:rPr>
          <w:rFonts w:ascii="仿宋_GB2312" w:hAnsi="Times New Roman" w:eastAsia="仿宋_GB2312"/>
          <w:sz w:val="32"/>
          <w:szCs w:val="32"/>
        </w:rPr>
        <w:t>)</w:t>
      </w:r>
      <w:r>
        <w:rPr>
          <w:rFonts w:hint="eastAsia" w:ascii="仿宋_GB2312" w:eastAsia="仿宋_GB2312"/>
          <w:sz w:val="32"/>
          <w:szCs w:val="32"/>
        </w:rPr>
        <w:t>做好资产的安全管理、维修与购置，做到账实相符，手续齐全，结算及时。</w:t>
      </w:r>
    </w:p>
    <w:p>
      <w:pPr>
        <w:spacing w:line="584" w:lineRule="exact"/>
        <w:ind w:firstLine="660"/>
        <w:rPr>
          <w:rFonts w:ascii="Times New Roman" w:hAnsi="Times New Roman" w:eastAsia="仿宋_GB2312" w:cs="Times New Roman"/>
          <w:sz w:val="32"/>
          <w:szCs w:val="32"/>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十三</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完成县委和县政府以及上级主管部门交办的其他任务。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单位名称</w:t>
            </w:r>
          </w:p>
        </w:tc>
        <w:tc>
          <w:tcPr>
            <w:tcW w:w="1134"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单位性质</w:t>
            </w:r>
          </w:p>
        </w:tc>
        <w:tc>
          <w:tcPr>
            <w:tcW w:w="1276"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单位规格</w:t>
            </w:r>
          </w:p>
        </w:tc>
        <w:tc>
          <w:tcPr>
            <w:tcW w:w="2902" w:type="dxa"/>
            <w:vMerge w:val="restart"/>
            <w:noWrap w:val="0"/>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noWrap w:val="0"/>
            <w:vAlign w:val="center"/>
          </w:tcPr>
          <w:p/>
        </w:tc>
        <w:tc>
          <w:tcPr>
            <w:tcW w:w="1134" w:type="dxa"/>
            <w:vMerge w:val="continue"/>
            <w:noWrap w:val="0"/>
            <w:vAlign w:val="center"/>
          </w:tcPr>
          <w:p/>
        </w:tc>
        <w:tc>
          <w:tcPr>
            <w:tcW w:w="1276" w:type="dxa"/>
            <w:vMerge w:val="continue"/>
            <w:noWrap w:val="0"/>
            <w:vAlign w:val="center"/>
          </w:tcPr>
          <w:p/>
        </w:tc>
        <w:tc>
          <w:tcPr>
            <w:tcW w:w="2902" w:type="dxa"/>
            <w:vMerge w:val="continue"/>
            <w:noWrap w:val="0"/>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1" w:hRule="atLeast"/>
          <w:jc w:val="center"/>
        </w:trPr>
        <w:tc>
          <w:tcPr>
            <w:tcW w:w="4443" w:type="dxa"/>
            <w:noWrap w:val="0"/>
            <w:vAlign w:val="center"/>
          </w:tcPr>
          <w:p>
            <w:pPr>
              <w:spacing w:line="300" w:lineRule="exact"/>
              <w:jc w:val="center"/>
              <w:rPr>
                <w:rFonts w:ascii="仿宋" w:hAnsi="仿宋" w:eastAsia="仿宋"/>
                <w:szCs w:val="24"/>
              </w:rPr>
            </w:pPr>
            <w:r>
              <w:rPr>
                <w:rFonts w:hint="eastAsia" w:ascii="仿宋" w:hAnsi="仿宋" w:eastAsia="仿宋"/>
                <w:szCs w:val="24"/>
                <w:lang w:val="en-US" w:eastAsia="zh-CN"/>
              </w:rPr>
              <w:t>大城县南赵扶镇姚马渡中心小学</w:t>
            </w:r>
          </w:p>
        </w:tc>
        <w:tc>
          <w:tcPr>
            <w:tcW w:w="1134" w:type="dxa"/>
            <w:noWrap w:val="0"/>
            <w:vAlign w:val="center"/>
          </w:tcPr>
          <w:p>
            <w:pPr>
              <w:spacing w:line="300" w:lineRule="exact"/>
              <w:jc w:val="center"/>
              <w:rPr>
                <w:rFonts w:ascii="仿宋" w:hAnsi="仿宋" w:eastAsia="仿宋"/>
                <w:szCs w:val="24"/>
              </w:rPr>
            </w:pPr>
            <w:r>
              <w:rPr>
                <w:rFonts w:hint="eastAsia" w:ascii="仿宋" w:hAnsi="仿宋" w:eastAsia="仿宋"/>
                <w:szCs w:val="24"/>
              </w:rPr>
              <w:t>全额事业</w:t>
            </w:r>
          </w:p>
        </w:tc>
        <w:tc>
          <w:tcPr>
            <w:tcW w:w="1276" w:type="dxa"/>
            <w:noWrap w:val="0"/>
            <w:vAlign w:val="center"/>
          </w:tcPr>
          <w:p>
            <w:pPr>
              <w:spacing w:line="300" w:lineRule="exact"/>
              <w:jc w:val="center"/>
              <w:rPr>
                <w:rFonts w:hint="eastAsia" w:ascii="仿宋" w:hAnsi="仿宋" w:eastAsia="仿宋"/>
                <w:szCs w:val="24"/>
                <w:lang w:val="en-US" w:eastAsia="zh-CN"/>
              </w:rPr>
            </w:pPr>
            <w:r>
              <w:rPr>
                <w:rFonts w:hint="eastAsia" w:ascii="仿宋" w:hAnsi="仿宋" w:eastAsia="仿宋"/>
                <w:szCs w:val="24"/>
                <w:lang w:val="en-US" w:eastAsia="zh-CN"/>
              </w:rPr>
              <w:t>股级</w:t>
            </w:r>
          </w:p>
        </w:tc>
        <w:tc>
          <w:tcPr>
            <w:tcW w:w="2902" w:type="dxa"/>
            <w:noWrap w:val="0"/>
            <w:vAlign w:val="center"/>
          </w:tcPr>
          <w:p>
            <w:pPr>
              <w:spacing w:line="300" w:lineRule="exact"/>
              <w:jc w:val="center"/>
              <w:rPr>
                <w:rFonts w:ascii="仿宋" w:hAnsi="仿宋" w:eastAsia="仿宋"/>
                <w:szCs w:val="24"/>
              </w:rPr>
            </w:pPr>
            <w:r>
              <w:rPr>
                <w:rFonts w:hint="eastAsia" w:ascii="仿宋" w:hAnsi="仿宋" w:eastAsia="仿宋"/>
                <w:szCs w:val="24"/>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大城县南赵扶镇姚马渡中心小学</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413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413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我校</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413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264.9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243.27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21.63</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148.1</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人事代理教师管理费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2018-2021年人事代理教师项目</w:t>
      </w:r>
      <w:r>
        <w:rPr>
          <w:rFonts w:hint="eastAsia" w:ascii="Times New Roman" w:hAnsi="Times New Roman" w:eastAsia="仿宋_GB2312" w:cs="Times New Roman"/>
          <w:sz w:val="32"/>
          <w:szCs w:val="32"/>
          <w:lang w:eastAsia="zh-CN"/>
        </w:rPr>
        <w:t>、2017年全面改薄土建项目附属工程(2018)—姚马渡中心小学附属工程、姚马渡中心小学孙河幼儿园中央资金（2020年资金收回再安排）</w:t>
      </w:r>
      <w:r>
        <w:rPr>
          <w:rFonts w:ascii="Times New Roman" w:hAnsi="Times New Roman" w:eastAsia="仿宋_GB2312" w:cs="Times New Roman"/>
          <w:sz w:val="32"/>
          <w:szCs w:val="32"/>
        </w:rPr>
        <w:t>；其他支出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413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155.05</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6.95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highlight w:val="none"/>
          <w:lang w:val="en-US" w:eastAsia="zh-CN"/>
        </w:rPr>
        <w:t>148.1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2018-2021年人事代理教师项目、人事代理教师管理费等</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运行经费</w:t>
      </w:r>
      <w:r>
        <w:rPr>
          <w:rFonts w:ascii="Times New Roman" w:hAnsi="Times New Roman" w:eastAsia="黑体" w:cs="Times New Roman"/>
          <w:sz w:val="32"/>
          <w:szCs w:val="32"/>
        </w:rPr>
        <w:t>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我校运行经费</w:t>
      </w:r>
      <w:r>
        <w:rPr>
          <w:rFonts w:ascii="Times New Roman" w:hAnsi="Times New Roman" w:eastAsia="仿宋_GB2312" w:cs="Times New Roman"/>
          <w:sz w:val="32"/>
          <w:szCs w:val="32"/>
        </w:rPr>
        <w:t>共计安排</w:t>
      </w:r>
      <w:r>
        <w:rPr>
          <w:rFonts w:hint="eastAsia" w:ascii="Times New Roman" w:hAnsi="Times New Roman" w:eastAsia="仿宋_GB2312" w:cs="Times New Roman"/>
          <w:sz w:val="32"/>
          <w:szCs w:val="32"/>
          <w:lang w:val="en-US" w:eastAsia="zh-CN"/>
        </w:rPr>
        <w:t>21.63</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我校</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通过推进教育教学管理，扶持教学业务活动、教师队伍建设等项目，提高教师队伍素质和教学质量，90%以上教师参加教育教学培训，师生满意度达到90%以上，逐步改善教育教学环境，全面提升办学教学水平，促进实现创建一流</w:t>
      </w:r>
      <w:r>
        <w:rPr>
          <w:rFonts w:hint="eastAsia" w:ascii="Times New Roman" w:hAnsi="Times New Roman" w:eastAsia="仿宋_GB2312"/>
          <w:sz w:val="32"/>
          <w:szCs w:val="32"/>
          <w:lang w:eastAsia="zh-CN"/>
        </w:rPr>
        <w:t>学校</w:t>
      </w:r>
      <w:r>
        <w:rPr>
          <w:rFonts w:hint="eastAsia" w:ascii="Times New Roman" w:hAnsi="Times New Roman" w:eastAsia="仿宋_GB2312"/>
          <w:sz w:val="32"/>
          <w:szCs w:val="32"/>
        </w:rPr>
        <w:t>的发展目标。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1、提高教育教学质量，树立科学的教育质量观</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绩效目标：深化教育教学改革创新，推进高考综合改革，推行义务教育质量监测。</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通过对教师教学及备课质量的提升，实现对课堂教学的提升。通过学生学习过程的数据收集、跟踪评价，为学校出具综合素质评价报告，从而改进教育教学；为学生出具个人综合素质评价报告，对上一层级学校针对学生个性化培养提供数据依据。</w:t>
      </w:r>
    </w:p>
    <w:p>
      <w:pPr>
        <w:spacing w:line="584" w:lineRule="exact"/>
        <w:ind w:firstLine="960" w:firstLineChars="3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提高学生综合素质</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绩效目标：通过开展新生军训、运动会、特色学校建设等活动，提高学生综合素质，促进学生全面、健康成长。</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绩效指标：各项工作完成情况达到100%。</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3、加快消除大班额</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绩效目标：制定校消除大班额方案，倒排时间、强化责任、加强督导，完善结果公开和限期整改制度。</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绩效指标：在校舍建设、资金投入、师资配备、学位扩充等方面，加大工作力度，创新工作方式，必须按时完成基本消除大班额的工作目标。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4、加强教师队伍建设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绩效目标：强化地方政府主体责任，落实中小学教师绩效工资政策。持续补充新教师。推进机构改革。提高教师培训质量，提升教师业务能力和水平。</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绩效指标：开展教师岗位大练兵系列活动，组织优质课比赛、教师技能（素养）大赛、送教下乡、专题论坛等活动，提升师资队伍综合素质。</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完善制度建设。完善工作制度，进一步完善预算绩效管理制度、资金管理办法等，为全年预算绩效目标的实现奠定坚实的制度基础。</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加强支出管理。优化资金支出结构，将资金同项目实施挂钩，提升资金的使用效能。尽快履行采购手续，启动项目，及时支付资金，力争</w:t>
      </w:r>
      <w:r>
        <w:rPr>
          <w:rFonts w:ascii="Times New Roman" w:hAnsi="Times New Roman" w:eastAsia="仿宋_GB2312"/>
          <w:sz w:val="32"/>
          <w:szCs w:val="32"/>
        </w:rPr>
        <w:t>202</w:t>
      </w:r>
      <w:r>
        <w:rPr>
          <w:rFonts w:hint="eastAsia" w:ascii="Times New Roman" w:hAnsi="Times New Roman" w:eastAsia="仿宋_GB2312"/>
          <w:sz w:val="32"/>
          <w:szCs w:val="32"/>
        </w:rPr>
        <w:t>2年</w:t>
      </w:r>
      <w:r>
        <w:rPr>
          <w:rFonts w:ascii="Times New Roman" w:hAnsi="Times New Roman" w:eastAsia="仿宋_GB2312"/>
          <w:sz w:val="32"/>
          <w:szCs w:val="32"/>
        </w:rPr>
        <w:t>6</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60%,10</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90%,</w:t>
      </w:r>
      <w:r>
        <w:rPr>
          <w:rFonts w:hint="eastAsia" w:ascii="Times New Roman" w:hAnsi="Times New Roman" w:eastAsia="仿宋_GB2312"/>
          <w:sz w:val="32"/>
          <w:szCs w:val="32"/>
        </w:rPr>
        <w:t>年底前完成支出进度的</w:t>
      </w:r>
      <w:r>
        <w:rPr>
          <w:rFonts w:ascii="Times New Roman" w:hAnsi="Times New Roman" w:eastAsia="仿宋_GB2312"/>
          <w:sz w:val="32"/>
          <w:szCs w:val="32"/>
        </w:rPr>
        <w:t>100%</w:t>
      </w:r>
      <w:r>
        <w:rPr>
          <w:rFonts w:hint="eastAsia" w:ascii="Times New Roman" w:hAnsi="Times New Roman" w:eastAsia="仿宋_GB2312"/>
          <w:sz w:val="32"/>
          <w:szCs w:val="32"/>
        </w:rPr>
        <w:t>。</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加强绩效运行监控。按要求开展绩效运行监控，把绩效目标作为项目实施的前置条件，提高资金使用的合理性和科学性。发现问题及时采取改进措施，确保绩效目标如期保质实现。</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做好绩效自评。按要求做好预算绩效自评工作，通过对评价中发现问题的整改，提高资金使用效益。</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规范财务资产管理。进一步完善财务管理制度，严格审批程序，规范审批流程，加强固定资产登记、使用和报废处置管理，做到手续齐备，支出合理，物尽其用。</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加强内部监督。加强内部控制制度建设，引入第三方监督机制，对绩效运行情况等工作进行监督和指导，对会计资料进行内部审计，并配合做好审计、财政监督等外部监督工作，确保财政资金安全有效。</w:t>
      </w:r>
    </w:p>
    <w:p>
      <w:pPr>
        <w:spacing w:line="584"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加强管理培训。加强人员培训，提高本部门人员业务素质。加强调研，提出优化财政资金配置、提高资金使用效益的建议。加大宣传力度，强化各部门预算绩效管理意识，逐步提高预算绩效管理水平。</w:t>
      </w:r>
    </w:p>
    <w:p>
      <w:pPr>
        <w:numPr>
          <w:ilvl w:val="0"/>
          <w:numId w:val="1"/>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tbl>
      <w:tblPr>
        <w:tblStyle w:val="8"/>
        <w:tblW w:w="10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488"/>
        <w:gridCol w:w="1384"/>
        <w:gridCol w:w="1530"/>
        <w:gridCol w:w="1663"/>
        <w:gridCol w:w="1483"/>
        <w:gridCol w:w="514"/>
        <w:gridCol w:w="533"/>
        <w:gridCol w:w="1137"/>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488"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一级指标</w:t>
            </w:r>
          </w:p>
        </w:tc>
        <w:tc>
          <w:tcPr>
            <w:tcW w:w="1384"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二级</w:t>
            </w:r>
          </w:p>
          <w:p>
            <w:pPr>
              <w:widowControl/>
              <w:adjustRightInd w:val="0"/>
              <w:snapToGrid w:val="0"/>
              <w:jc w:val="center"/>
              <w:rPr>
                <w:rFonts w:hint="eastAsia" w:ascii="方正书宋_GBK" w:eastAsia="方正书宋_GBK"/>
                <w:b/>
                <w:bCs/>
              </w:rPr>
            </w:pPr>
            <w:r>
              <w:rPr>
                <w:rFonts w:hint="eastAsia" w:ascii="方正书宋_GBK" w:eastAsia="方正书宋_GBK"/>
                <w:b/>
                <w:bCs/>
              </w:rPr>
              <w:t>指标</w:t>
            </w:r>
          </w:p>
        </w:tc>
        <w:tc>
          <w:tcPr>
            <w:tcW w:w="1530"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三级</w:t>
            </w:r>
          </w:p>
          <w:p>
            <w:pPr>
              <w:widowControl/>
              <w:adjustRightInd w:val="0"/>
              <w:snapToGrid w:val="0"/>
              <w:jc w:val="center"/>
              <w:rPr>
                <w:rFonts w:hint="eastAsia" w:ascii="方正书宋_GBK" w:eastAsia="方正书宋_GBK"/>
                <w:b/>
                <w:bCs/>
              </w:rPr>
            </w:pPr>
            <w:r>
              <w:rPr>
                <w:rFonts w:hint="eastAsia" w:ascii="方正书宋_GBK" w:eastAsia="方正书宋_GBK"/>
                <w:b/>
                <w:bCs/>
              </w:rPr>
              <w:t>指标</w:t>
            </w:r>
          </w:p>
        </w:tc>
        <w:tc>
          <w:tcPr>
            <w:tcW w:w="1663"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评（扣）分标准</w:t>
            </w:r>
          </w:p>
        </w:tc>
        <w:tc>
          <w:tcPr>
            <w:tcW w:w="1483"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绩效指标</w:t>
            </w:r>
          </w:p>
          <w:p>
            <w:pPr>
              <w:widowControl/>
              <w:adjustRightInd w:val="0"/>
              <w:snapToGrid w:val="0"/>
              <w:jc w:val="center"/>
              <w:rPr>
                <w:rFonts w:hint="eastAsia" w:ascii="方正书宋_GBK" w:eastAsia="方正书宋_GBK"/>
                <w:b/>
                <w:bCs/>
              </w:rPr>
            </w:pPr>
            <w:r>
              <w:rPr>
                <w:rFonts w:hint="eastAsia" w:ascii="方正书宋_GBK" w:eastAsia="方正书宋_GBK"/>
                <w:b/>
                <w:bCs/>
              </w:rPr>
              <w:t>描述</w:t>
            </w:r>
          </w:p>
        </w:tc>
        <w:tc>
          <w:tcPr>
            <w:tcW w:w="2184" w:type="dxa"/>
            <w:gridSpan w:val="3"/>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指标值</w:t>
            </w:r>
          </w:p>
        </w:tc>
        <w:tc>
          <w:tcPr>
            <w:tcW w:w="765" w:type="dxa"/>
            <w:vMerge w:val="restart"/>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指标值</w:t>
            </w:r>
          </w:p>
          <w:p>
            <w:pPr>
              <w:widowControl/>
              <w:adjustRightInd w:val="0"/>
              <w:snapToGrid w:val="0"/>
              <w:jc w:val="center"/>
              <w:rPr>
                <w:rFonts w:hint="eastAsia" w:ascii="方正书宋_GBK" w:eastAsia="方正书宋_GBK"/>
                <w:b/>
                <w:bCs/>
              </w:rPr>
            </w:pPr>
            <w:r>
              <w:rPr>
                <w:rFonts w:hint="eastAsia" w:ascii="方正书宋_GBK" w:eastAsia="方正书宋_GBK"/>
                <w:b/>
                <w:bCs/>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530"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663"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483"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514" w:type="dxa"/>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符号</w:t>
            </w:r>
          </w:p>
        </w:tc>
        <w:tc>
          <w:tcPr>
            <w:tcW w:w="533" w:type="dxa"/>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值</w:t>
            </w:r>
          </w:p>
        </w:tc>
        <w:tc>
          <w:tcPr>
            <w:tcW w:w="1137" w:type="dxa"/>
            <w:tcBorders>
              <w:tl2br w:val="nil"/>
              <w:tr2bl w:val="nil"/>
            </w:tcBorders>
            <w:vAlign w:val="center"/>
          </w:tcPr>
          <w:p>
            <w:pPr>
              <w:widowControl/>
              <w:adjustRightInd w:val="0"/>
              <w:snapToGrid w:val="0"/>
              <w:jc w:val="center"/>
              <w:rPr>
                <w:rFonts w:hint="eastAsia" w:ascii="方正书宋_GBK" w:eastAsia="方正书宋_GBK"/>
                <w:b/>
                <w:bCs/>
              </w:rPr>
            </w:pPr>
            <w:r>
              <w:rPr>
                <w:rFonts w:hint="eastAsia" w:ascii="方正书宋_GBK" w:eastAsia="方正书宋_GBK"/>
                <w:b/>
                <w:bCs/>
              </w:rPr>
              <w:t>单位</w:t>
            </w:r>
          </w:p>
        </w:tc>
        <w:tc>
          <w:tcPr>
            <w:tcW w:w="765"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1488" w:type="dxa"/>
            <w:vMerge w:val="restart"/>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部门产出</w:t>
            </w: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数量</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发放工资月数</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eastAsia="zh-CN"/>
              </w:rPr>
              <w:t>每少发一个月工资，扣减分值</w:t>
            </w:r>
            <w:r>
              <w:rPr>
                <w:rFonts w:hint="eastAsia" w:ascii="方正书宋_GBK" w:eastAsia="方正书宋_GBK"/>
                <w:lang w:val="en-US" w:eastAsia="zh-CN"/>
              </w:rPr>
              <w:t>10%</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每月足额发放工资</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12</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月</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实际发放情况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质量</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工资(福利)等发放精准性</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每未准确发放1笔，扣减分值5%</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工资福利等发放人员范围的精准性和发放数据的准确性</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100</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质量</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社会保障（公积金）缴纳的准确性</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每未准确缴纳1笔，扣减分值5%</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社会保障（公积金）缴纳数据的准确性</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100</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质量</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运转保障率</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每降低5%，扣标准分值的5%。</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各项日常工作保障率</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100</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时效</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经费保障及时性</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及时保障得满分，否则不得分。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及时保障各项日常办公需要</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及时保障</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时效</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教育教学活动开展及时性</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每出现1次未在规定时间内开展，扣10%权重分。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教育教学活动开展及时性</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按规定时间开展</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成本</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工资（福利）、社会保障（公积金）等发放（缴纳）标准</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按规定执行得满分，否则不得分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工资（福利）、社会保障（公积金）等发放（缴纳）标准</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按规定执行</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成本</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日常公用经费开支标准</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每超过一项规定标准扣标准分值的10%。</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办公费、水电费、交通费、会议费、工会经费、招待费及其他公用经费的开支标准</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按统一规定执行</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restart"/>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部门效果</w:t>
            </w: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社会</w:t>
            </w:r>
          </w:p>
          <w:p>
            <w:pPr>
              <w:widowControl/>
              <w:adjustRightInd w:val="0"/>
              <w:snapToGrid w:val="0"/>
              <w:jc w:val="center"/>
              <w:rPr>
                <w:rFonts w:hint="eastAsia" w:ascii="方正书宋_GBK" w:eastAsia="方正书宋_GBK"/>
              </w:rPr>
            </w:pPr>
            <w:r>
              <w:rPr>
                <w:rFonts w:hint="eastAsia" w:ascii="方正书宋_GBK" w:eastAsia="方正书宋_GBK"/>
              </w:rPr>
              <w:t>效益</w:t>
            </w:r>
          </w:p>
        </w:tc>
        <w:tc>
          <w:tcPr>
            <w:tcW w:w="1530"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加强工作人员归属感，保持干部队伍稳定</w:t>
            </w:r>
          </w:p>
        </w:tc>
        <w:tc>
          <w:tcPr>
            <w:tcW w:w="166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保持相对稳定得满分，否则不得分</w:t>
            </w:r>
          </w:p>
        </w:tc>
        <w:tc>
          <w:tcPr>
            <w:tcW w:w="148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通过按时按标准发放工资福利等，进一步增强干部职工得归属感，保持职工队伍相对稳定，保障办公正常运转</w:t>
            </w:r>
          </w:p>
        </w:tc>
        <w:tc>
          <w:tcPr>
            <w:tcW w:w="51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保持职工队伍相对稳定</w:t>
            </w:r>
          </w:p>
        </w:tc>
        <w:tc>
          <w:tcPr>
            <w:tcW w:w="76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社会</w:t>
            </w:r>
          </w:p>
          <w:p>
            <w:pPr>
              <w:widowControl/>
              <w:adjustRightInd w:val="0"/>
              <w:snapToGrid w:val="0"/>
              <w:jc w:val="center"/>
              <w:rPr>
                <w:rFonts w:hint="eastAsia" w:ascii="方正书宋_GBK" w:eastAsia="方正书宋_GBK"/>
              </w:rPr>
            </w:pPr>
            <w:r>
              <w:rPr>
                <w:rFonts w:hint="eastAsia" w:ascii="方正书宋_GBK" w:eastAsia="方正书宋_GBK"/>
              </w:rPr>
              <w:t>效益</w:t>
            </w:r>
          </w:p>
        </w:tc>
        <w:tc>
          <w:tcPr>
            <w:tcW w:w="1530"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保障日常办公需要，维持单位正常运转</w:t>
            </w:r>
          </w:p>
        </w:tc>
        <w:tc>
          <w:tcPr>
            <w:tcW w:w="166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每减少受益教师1人，扣2.5%权重分。</w:t>
            </w:r>
          </w:p>
        </w:tc>
        <w:tc>
          <w:tcPr>
            <w:tcW w:w="148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保障日常办公需要，维持单位正常运转</w:t>
            </w:r>
          </w:p>
        </w:tc>
        <w:tc>
          <w:tcPr>
            <w:tcW w:w="51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hint="eastAsia" w:ascii="方正书宋_GBK" w:eastAsia="方正书宋_GBK"/>
              </w:rPr>
            </w:pPr>
          </w:p>
        </w:tc>
        <w:tc>
          <w:tcPr>
            <w:tcW w:w="1137"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维持单位正常运转</w:t>
            </w:r>
          </w:p>
        </w:tc>
        <w:tc>
          <w:tcPr>
            <w:tcW w:w="76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满意度</w:t>
            </w:r>
          </w:p>
        </w:tc>
        <w:tc>
          <w:tcPr>
            <w:tcW w:w="153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教职工满意度</w:t>
            </w:r>
          </w:p>
        </w:tc>
        <w:tc>
          <w:tcPr>
            <w:tcW w:w="166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达到指标目标值得满分，每下降1%，扣权重分值的2.5%，低于60%不得分。</w:t>
            </w:r>
          </w:p>
        </w:tc>
        <w:tc>
          <w:tcPr>
            <w:tcW w:w="148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教职工满意度</w:t>
            </w:r>
          </w:p>
        </w:tc>
        <w:tc>
          <w:tcPr>
            <w:tcW w:w="514"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90</w:t>
            </w:r>
          </w:p>
        </w:tc>
        <w:tc>
          <w:tcPr>
            <w:tcW w:w="113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488"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138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满意度</w:t>
            </w:r>
          </w:p>
        </w:tc>
        <w:tc>
          <w:tcPr>
            <w:tcW w:w="1530" w:type="dxa"/>
            <w:tcBorders>
              <w:tl2br w:val="nil"/>
              <w:tr2bl w:val="nil"/>
            </w:tcBorders>
            <w:noWrap/>
            <w:vAlign w:val="center"/>
          </w:tcPr>
          <w:p>
            <w:pPr>
              <w:widowControl/>
              <w:adjustRightInd w:val="0"/>
              <w:snapToGrid w:val="0"/>
              <w:jc w:val="center"/>
              <w:rPr>
                <w:rFonts w:hint="eastAsia" w:ascii="方正书宋_GBK" w:eastAsia="方正书宋_GBK"/>
              </w:rPr>
            </w:pPr>
            <w:r>
              <w:rPr>
                <w:rFonts w:hint="eastAsia" w:ascii="方正书宋_GBK" w:eastAsia="方正书宋_GBK"/>
              </w:rPr>
              <w:t>学生满意度</w:t>
            </w:r>
          </w:p>
        </w:tc>
        <w:tc>
          <w:tcPr>
            <w:tcW w:w="1663" w:type="dxa"/>
            <w:tcBorders>
              <w:tl2br w:val="nil"/>
              <w:tr2bl w:val="nil"/>
            </w:tcBorders>
            <w:noWrap/>
            <w:vAlign w:val="center"/>
          </w:tcPr>
          <w:p>
            <w:pPr>
              <w:widowControl/>
              <w:adjustRightInd w:val="0"/>
              <w:snapToGrid w:val="0"/>
              <w:jc w:val="center"/>
              <w:rPr>
                <w:rFonts w:hint="eastAsia" w:ascii="方正书宋_GBK" w:eastAsia="方正书宋_GBK"/>
              </w:rPr>
            </w:pPr>
            <w:r>
              <w:rPr>
                <w:rFonts w:hint="eastAsia" w:ascii="方正书宋_GBK" w:eastAsia="方正书宋_GBK"/>
              </w:rPr>
              <w:t>达到指标目标值得满分，每下降1%，扣权重分值的2.5%，低于60%不得分。</w:t>
            </w:r>
          </w:p>
        </w:tc>
        <w:tc>
          <w:tcPr>
            <w:tcW w:w="1483" w:type="dxa"/>
            <w:tcBorders>
              <w:tl2br w:val="nil"/>
              <w:tr2bl w:val="nil"/>
            </w:tcBorders>
            <w:noWrap/>
            <w:vAlign w:val="center"/>
          </w:tcPr>
          <w:p>
            <w:pPr>
              <w:widowControl/>
              <w:adjustRightInd w:val="0"/>
              <w:snapToGrid w:val="0"/>
              <w:jc w:val="center"/>
              <w:rPr>
                <w:rFonts w:hint="eastAsia" w:ascii="方正书宋_GBK" w:eastAsia="方正书宋_GBK"/>
              </w:rPr>
            </w:pPr>
            <w:r>
              <w:rPr>
                <w:rFonts w:hint="eastAsia" w:ascii="方正书宋_GBK" w:eastAsia="方正书宋_GBK"/>
              </w:rPr>
              <w:t>学生满意度</w:t>
            </w:r>
          </w:p>
        </w:tc>
        <w:tc>
          <w:tcPr>
            <w:tcW w:w="514"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90</w:t>
            </w:r>
          </w:p>
        </w:tc>
        <w:tc>
          <w:tcPr>
            <w:tcW w:w="1137"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问卷调查</w:t>
            </w:r>
          </w:p>
        </w:tc>
      </w:tr>
    </w:tbl>
    <w:p>
      <w:pPr>
        <w:widowControl/>
        <w:adjustRightInd w:val="0"/>
        <w:snapToGrid w:val="0"/>
        <w:jc w:val="center"/>
        <w:rPr>
          <w:rFonts w:hint="eastAsia" w:ascii="方正书宋_GBK" w:eastAsia="方正书宋_GBK"/>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2018-2021年人事代理教师项目</w:t>
      </w:r>
      <w:r>
        <w:rPr>
          <w:rFonts w:ascii="Times New Roman" w:hAnsi="Times New Roman" w:eastAsia="仿宋_GB2312" w:cs="Times New Roman"/>
          <w:sz w:val="28"/>
        </w:rPr>
        <w:t>绩效目标表</w:t>
      </w:r>
      <w:bookmarkStart w:id="0" w:name="_Toc29799657"/>
      <w:bookmarkEnd w:id="0"/>
    </w:p>
    <w:tbl>
      <w:tblPr>
        <w:tblStyle w:val="8"/>
        <w:tblW w:w="149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48"/>
        <w:gridCol w:w="1759"/>
        <w:gridCol w:w="2786"/>
        <w:gridCol w:w="4671"/>
        <w:gridCol w:w="1150"/>
        <w:gridCol w:w="532"/>
        <w:gridCol w:w="1527"/>
        <w:gridCol w:w="12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92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2018-2021年人事代理教师项目</w:t>
            </w:r>
          </w:p>
        </w:tc>
        <w:tc>
          <w:tcPr>
            <w:tcW w:w="1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27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[360]大城县教育和体育局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921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[360012]</w:t>
            </w:r>
            <w:r>
              <w:rPr>
                <w:rFonts w:hint="eastAsia" w:ascii="宋体" w:hAnsi="宋体" w:cs="宋体"/>
                <w:i w:val="0"/>
                <w:iCs w:val="0"/>
                <w:color w:val="000000"/>
                <w:kern w:val="0"/>
                <w:sz w:val="18"/>
                <w:szCs w:val="18"/>
                <w:u w:val="none"/>
                <w:lang w:val="en-US" w:eastAsia="zh-CN" w:bidi="ar"/>
              </w:rPr>
              <w:t>大城县南赵扶镇姚马渡中心小学</w:t>
            </w:r>
          </w:p>
        </w:tc>
        <w:tc>
          <w:tcPr>
            <w:tcW w:w="16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277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74</w:t>
            </w:r>
            <w:r>
              <w:rPr>
                <w:rFonts w:hint="eastAsia" w:ascii="宋体" w:hAnsi="宋体" w:eastAsia="宋体" w:cs="宋体"/>
                <w:i w:val="0"/>
                <w:iCs w:val="0"/>
                <w:color w:val="000000"/>
                <w:kern w:val="0"/>
                <w:sz w:val="18"/>
                <w:szCs w:val="18"/>
                <w:u w:val="none"/>
                <w:lang w:val="en-US" w:eastAsia="zh-CN" w:bidi="ar"/>
              </w:rPr>
              <w:t>.00万元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367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人事代理教师工资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4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2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5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2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91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目标内容1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7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7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46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20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2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7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46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2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w:t>
            </w:r>
            <w:r>
              <w:rPr>
                <w:rFonts w:hint="eastAsia" w:ascii="宋体" w:hAnsi="宋体" w:cs="宋体"/>
                <w:i w:val="0"/>
                <w:iCs w:val="0"/>
                <w:color w:val="000000"/>
                <w:kern w:val="0"/>
                <w:sz w:val="18"/>
                <w:szCs w:val="18"/>
                <w:u w:val="none"/>
                <w:lang w:val="en-US" w:eastAsia="zh-CN" w:bidi="ar"/>
              </w:rPr>
              <w:t>天数</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w:t>
            </w:r>
            <w:r>
              <w:rPr>
                <w:rFonts w:hint="eastAsia" w:ascii="宋体" w:hAnsi="宋体" w:cs="宋体"/>
                <w:i w:val="0"/>
                <w:iCs w:val="0"/>
                <w:color w:val="000000"/>
                <w:kern w:val="0"/>
                <w:sz w:val="18"/>
                <w:szCs w:val="18"/>
                <w:u w:val="none"/>
                <w:lang w:val="en-US" w:eastAsia="zh-CN" w:bidi="ar"/>
              </w:rPr>
              <w:t>天数</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360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天</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工资等发放经准性</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工资福利等发放的准确性</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准时发放</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工资福利发放及时性</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工资福利等发放的实际情况</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按规定时间发放</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78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工资福利社会保障缴纳标准</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工资福利等发放缴纳标准</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按规定执行</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加强工作人归属感</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通过按时按标准发放工资福利进一步增强教师的人员的保障</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保障干部队伍相对稳定</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通过问卷调查，满意和较满意的对</w:t>
            </w: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通过问卷调查，满意和较满意的对象占所有调查对象的比例</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99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1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jc w:val="left"/>
        <w:outlineLvl w:val="1"/>
        <w:rPr>
          <w:rFonts w:hint="eastAsia" w:ascii="Times New Roman" w:hAnsi="Times New Roman" w:eastAsia="仿宋_GB2312" w:cs="Times New Roman"/>
          <w:sz w:val="28"/>
          <w:lang w:val="en-US" w:eastAsia="zh-CN"/>
        </w:rPr>
      </w:pPr>
    </w:p>
    <w:p>
      <w:pPr>
        <w:ind w:firstLine="280" w:firstLineChars="1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人事代理教师管理费</w:t>
      </w:r>
      <w:r>
        <w:rPr>
          <w:rFonts w:ascii="Times New Roman" w:hAnsi="Times New Roman" w:eastAsia="仿宋_GB2312" w:cs="Times New Roman"/>
          <w:sz w:val="28"/>
        </w:rPr>
        <w:t>绩效目标表</w:t>
      </w:r>
    </w:p>
    <w:p>
      <w:pPr>
        <w:ind w:firstLine="560" w:firstLineChars="200"/>
        <w:jc w:val="left"/>
        <w:outlineLvl w:val="1"/>
        <w:rPr>
          <w:rFonts w:ascii="Times New Roman" w:hAnsi="Times New Roman" w:eastAsia="仿宋_GB2312" w:cs="Times New Roman"/>
          <w:sz w:val="28"/>
        </w:rPr>
      </w:pPr>
    </w:p>
    <w:tbl>
      <w:tblPr>
        <w:tblStyle w:val="8"/>
        <w:tblW w:w="138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14"/>
        <w:gridCol w:w="1999"/>
        <w:gridCol w:w="1215"/>
        <w:gridCol w:w="3174"/>
        <w:gridCol w:w="1153"/>
        <w:gridCol w:w="599"/>
        <w:gridCol w:w="2024"/>
        <w:gridCol w:w="1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2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638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人事代理教师管理费</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[360]大城县教育和体育局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[360012]</w:t>
            </w:r>
            <w:r>
              <w:rPr>
                <w:rFonts w:hint="eastAsia" w:ascii="宋体" w:hAnsi="宋体" w:cs="宋体"/>
                <w:i w:val="0"/>
                <w:iCs w:val="0"/>
                <w:color w:val="000000"/>
                <w:kern w:val="0"/>
                <w:sz w:val="18"/>
                <w:szCs w:val="18"/>
                <w:u w:val="none"/>
                <w:lang w:val="en-US" w:eastAsia="zh-CN" w:bidi="ar"/>
              </w:rPr>
              <w:t>大城县南赵扶镇姚马渡中心小学</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r>
              <w:rPr>
                <w:rFonts w:hint="eastAsia" w:ascii="宋体" w:hAnsi="宋体" w:cs="宋体"/>
                <w:i w:val="0"/>
                <w:iCs w:val="0"/>
                <w:color w:val="000000"/>
                <w:kern w:val="0"/>
                <w:sz w:val="18"/>
                <w:szCs w:val="18"/>
                <w:u w:val="none"/>
                <w:lang w:val="en-US" w:eastAsia="zh-CN" w:bidi="ar"/>
              </w:rPr>
              <w:t>.65万元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人事代理教师管理费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21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21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人事代理教师管理费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保障工资等福利支出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目标3</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保障人事代理教师权益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w:t>
            </w:r>
            <w:r>
              <w:rPr>
                <w:rFonts w:hint="eastAsia" w:ascii="宋体" w:hAnsi="宋体" w:cs="宋体"/>
                <w:i w:val="0"/>
                <w:iCs w:val="0"/>
                <w:color w:val="000000"/>
                <w:kern w:val="0"/>
                <w:sz w:val="18"/>
                <w:szCs w:val="18"/>
                <w:u w:val="none"/>
                <w:lang w:val="en-US" w:eastAsia="zh-CN" w:bidi="ar"/>
              </w:rPr>
              <w:t>天数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w:t>
            </w:r>
            <w:r>
              <w:rPr>
                <w:rFonts w:hint="eastAsia" w:ascii="宋体" w:hAnsi="宋体" w:cs="宋体"/>
                <w:i w:val="0"/>
                <w:iCs w:val="0"/>
                <w:color w:val="000000"/>
                <w:kern w:val="0"/>
                <w:sz w:val="18"/>
                <w:szCs w:val="18"/>
                <w:u w:val="none"/>
                <w:lang w:val="en-US" w:eastAsia="zh-CN" w:bidi="ar"/>
              </w:rPr>
              <w:t>天数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360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准确性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工资发放的准确性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准时发放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保障工资发放的及时性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按规定发放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发放标准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工资等发放标准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按规定执行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加强稳定性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通过保证按时发放工资增强稳定性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保证队伍稳定性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教师满意度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hint="eastAsia" w:ascii="Times New Roman" w:hAnsi="Times New Roman" w:eastAsia="仿宋_GB2312" w:cs="Times New Roman"/>
          <w:vanish/>
          <w:sz w:val="28"/>
          <w:lang w:val="en-US" w:eastAsia="zh-C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vanish/>
          <w:sz w:val="28"/>
          <w:lang w:val="en-US" w:eastAsia="zh-CN"/>
        </w:rPr>
        <w:t>3333.3333</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3.2017年全面改薄土建项目附属工程(2018)—姚马渡中心小学附属工程绩效目标表</w:t>
      </w:r>
    </w:p>
    <w:p>
      <w:pPr>
        <w:numPr>
          <w:ilvl w:val="0"/>
          <w:numId w:val="0"/>
        </w:numPr>
        <w:jc w:val="left"/>
        <w:outlineLvl w:val="1"/>
        <w:rPr>
          <w:rFonts w:hint="default" w:ascii="Times New Roman" w:hAnsi="Times New Roman" w:eastAsia="仿宋_GB2312" w:cs="Times New Roman"/>
          <w:sz w:val="28"/>
          <w:lang w:val="en-US" w:eastAsia="zh-CN"/>
        </w:rPr>
      </w:pPr>
    </w:p>
    <w:tbl>
      <w:tblPr>
        <w:tblStyle w:val="8"/>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01"/>
        <w:gridCol w:w="1836"/>
        <w:gridCol w:w="1476"/>
        <w:gridCol w:w="2385"/>
        <w:gridCol w:w="1474"/>
        <w:gridCol w:w="730"/>
        <w:gridCol w:w="1771"/>
        <w:gridCol w:w="1765"/>
        <w:gridCol w:w="1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184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2017年全面改薄土建项目附属工程(2018)—姚马渡中心小学附属工程</w:t>
            </w:r>
          </w:p>
        </w:tc>
        <w:tc>
          <w:tcPr>
            <w:tcW w:w="7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17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[360]大城县教育和体育局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6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184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[360115]大城县南赵扶镇姚马渡中心小学</w:t>
            </w:r>
          </w:p>
        </w:tc>
        <w:tc>
          <w:tcPr>
            <w:tcW w:w="75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179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4.05</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6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439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全面改薄土建项目附属工程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60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10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135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1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0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35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11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3796"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目标内容1姚马渡小学附属工程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59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47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77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135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59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c>
          <w:tcPr>
            <w:tcW w:w="59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9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77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9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项目所数</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完成项目校一所</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所</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项目合同</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合格率</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验收合格率</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验收报告</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及时率</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按预算支出</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按支付进度</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按支付进度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严格按照预算</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不超预算</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控制成本</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结算审计报告</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结算审计报告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均衡发展</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校际间均衡发展</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均衡发展</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优质均衡发展细则</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优质均衡发展细则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4.姚马渡中心小学孙河幼儿园中央资金（2020年资金收回再安排）绩效目标表</w:t>
      </w:r>
    </w:p>
    <w:tbl>
      <w:tblPr>
        <w:tblStyle w:val="8"/>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61"/>
        <w:gridCol w:w="2450"/>
        <w:gridCol w:w="1714"/>
        <w:gridCol w:w="3207"/>
        <w:gridCol w:w="1486"/>
        <w:gridCol w:w="646"/>
        <w:gridCol w:w="1825"/>
        <w:gridCol w:w="18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245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姚马渡中心小学孙河幼儿园中央资金（2020年资金收回再安排）</w:t>
            </w:r>
          </w:p>
        </w:tc>
        <w:tc>
          <w:tcPr>
            <w:tcW w:w="71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121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[360]大城县教育和体育局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245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[360115]大城县南赵扶镇姚马渡中心小学</w:t>
            </w:r>
          </w:p>
        </w:tc>
        <w:tc>
          <w:tcPr>
            <w:tcW w:w="71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121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69.40</w:t>
            </w:r>
            <w:r>
              <w:rPr>
                <w:rFonts w:hint="eastAsia" w:ascii="宋体" w:hAnsi="宋体" w:cs="宋体"/>
                <w:i w:val="0"/>
                <w:iCs w:val="0"/>
                <w:color w:val="000000"/>
                <w:kern w:val="0"/>
                <w:sz w:val="18"/>
                <w:szCs w:val="18"/>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4379"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孙河幼儿园中央奖金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6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138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131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6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8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31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3563"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目标内容1孙河幼儿园中央奖金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81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57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106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131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60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81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5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6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60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项目所数</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完成项目校一所</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所</w:t>
            </w:r>
          </w:p>
        </w:tc>
        <w:tc>
          <w:tcPr>
            <w:tcW w:w="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2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合格率</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验收合格率</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及时率</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按预算支出</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及时</w:t>
            </w:r>
          </w:p>
        </w:tc>
        <w:tc>
          <w:tcPr>
            <w:tcW w:w="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按支付进度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62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严格按照预算</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不超预算</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控制成本</w:t>
            </w:r>
          </w:p>
        </w:tc>
        <w:tc>
          <w:tcPr>
            <w:tcW w:w="606" w:type="pc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结算审计报告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均衡发展</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校际间均衡发展</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均衡发展</w:t>
            </w:r>
          </w:p>
        </w:tc>
        <w:tc>
          <w:tcPr>
            <w:tcW w:w="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优质均衡发展细则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8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w:t>
            </w:r>
          </w:p>
        </w:tc>
        <w:tc>
          <w:tcPr>
            <w:tcW w:w="10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走访师生满意度</w:t>
            </w:r>
          </w:p>
        </w:tc>
        <w:tc>
          <w:tcPr>
            <w:tcW w:w="49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2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走访调查</w:t>
            </w:r>
          </w:p>
        </w:tc>
      </w:tr>
    </w:tbl>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jc w:val="left"/>
        <w:rPr>
          <w:rFonts w:hint="eastAsia" w:ascii="Times New Roman" w:hAnsi="Times New Roman" w:eastAsia="黑体" w:cs="Times New Roman"/>
          <w:sz w:val="32"/>
          <w:szCs w:val="32"/>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大城县南赵扶镇姚马渡中心小学</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我部门</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294.67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大城县南赵扶镇姚马渡中心小学</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default"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294.67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default"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3086</w:t>
            </w:r>
          </w:p>
        </w:tc>
        <w:tc>
          <w:tcPr>
            <w:tcW w:w="5103"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default"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171.85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default"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600</w:t>
            </w:r>
          </w:p>
        </w:tc>
        <w:tc>
          <w:tcPr>
            <w:tcW w:w="5103"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default"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33.6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default"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6466</w:t>
            </w:r>
          </w:p>
        </w:tc>
        <w:tc>
          <w:tcPr>
            <w:tcW w:w="5103" w:type="dxa"/>
            <w:tcBorders>
              <w:top w:val="nil"/>
              <w:left w:val="nil"/>
              <w:bottom w:val="single" w:color="auto" w:sz="4" w:space="0"/>
              <w:right w:val="single" w:color="auto" w:sz="4" w:space="0"/>
            </w:tcBorders>
            <w:shd w:val="clear" w:color="auto" w:fill="auto"/>
            <w:noWrap/>
            <w:vAlign w:val="center"/>
          </w:tcPr>
          <w:p>
            <w:pPr>
              <w:widowControl/>
              <w:spacing w:line="584" w:lineRule="exact"/>
              <w:jc w:val="center"/>
              <w:rPr>
                <w:rFonts w:hint="default" w:ascii="Times New Roman" w:hAnsi="Times New Roman" w:eastAsia="仿宋_GB2312" w:cs="Times New Roman"/>
                <w:kern w:val="0"/>
                <w:sz w:val="22"/>
                <w:lang w:val="en-US" w:eastAsia="zh-CN"/>
              </w:rPr>
            </w:pPr>
            <w:r>
              <w:rPr>
                <w:rFonts w:hint="eastAsia" w:ascii="Times New Roman" w:hAnsi="Times New Roman" w:eastAsia="仿宋_GB2312" w:cs="Times New Roman"/>
                <w:kern w:val="0"/>
                <w:sz w:val="22"/>
                <w:lang w:val="en-US" w:eastAsia="zh-CN"/>
              </w:rPr>
              <w:t>121.82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bookmarkStart w:id="3" w:name="_GoBack"/>
      <w:bookmarkEnd w:id="3"/>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97FD6"/>
    <w:multiLevelType w:val="singleLevel"/>
    <w:tmpl w:val="3EA97FD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rsids>
    <w:rsidRoot w:val="00D347CC"/>
    <w:rsid w:val="004A54AA"/>
    <w:rsid w:val="00B80935"/>
    <w:rsid w:val="00D347CC"/>
    <w:rsid w:val="02732F88"/>
    <w:rsid w:val="02ED18F5"/>
    <w:rsid w:val="036B42F6"/>
    <w:rsid w:val="05AF2FCC"/>
    <w:rsid w:val="08720285"/>
    <w:rsid w:val="08CF6FD0"/>
    <w:rsid w:val="094E679C"/>
    <w:rsid w:val="09A66564"/>
    <w:rsid w:val="09BA1B69"/>
    <w:rsid w:val="0A15601E"/>
    <w:rsid w:val="0A633631"/>
    <w:rsid w:val="0B8640B9"/>
    <w:rsid w:val="0BE3000C"/>
    <w:rsid w:val="0CBA3DB4"/>
    <w:rsid w:val="0D337282"/>
    <w:rsid w:val="10306074"/>
    <w:rsid w:val="1257645B"/>
    <w:rsid w:val="12DF69A7"/>
    <w:rsid w:val="13E97C98"/>
    <w:rsid w:val="15741C3B"/>
    <w:rsid w:val="18227E83"/>
    <w:rsid w:val="194D5548"/>
    <w:rsid w:val="19556D49"/>
    <w:rsid w:val="1B3A2711"/>
    <w:rsid w:val="1BD02DDE"/>
    <w:rsid w:val="1C1E31D7"/>
    <w:rsid w:val="1CDE233B"/>
    <w:rsid w:val="1CF536A8"/>
    <w:rsid w:val="21B677C5"/>
    <w:rsid w:val="223C65B5"/>
    <w:rsid w:val="22BF47FB"/>
    <w:rsid w:val="231B5B9A"/>
    <w:rsid w:val="2470786C"/>
    <w:rsid w:val="2482634E"/>
    <w:rsid w:val="24BF4C72"/>
    <w:rsid w:val="25C15576"/>
    <w:rsid w:val="2608657C"/>
    <w:rsid w:val="26802A1A"/>
    <w:rsid w:val="26C92C5D"/>
    <w:rsid w:val="270F5EE3"/>
    <w:rsid w:val="28694D12"/>
    <w:rsid w:val="28CF027D"/>
    <w:rsid w:val="29323DF0"/>
    <w:rsid w:val="2B9E272A"/>
    <w:rsid w:val="2BA663C4"/>
    <w:rsid w:val="2D9728B7"/>
    <w:rsid w:val="30B11EC9"/>
    <w:rsid w:val="31250DFE"/>
    <w:rsid w:val="32805EA8"/>
    <w:rsid w:val="32DD614E"/>
    <w:rsid w:val="33EF129B"/>
    <w:rsid w:val="33FE093E"/>
    <w:rsid w:val="34B025C1"/>
    <w:rsid w:val="34F01CC4"/>
    <w:rsid w:val="36CD31CF"/>
    <w:rsid w:val="36E23E09"/>
    <w:rsid w:val="378C62F1"/>
    <w:rsid w:val="37CB65F4"/>
    <w:rsid w:val="38742FE5"/>
    <w:rsid w:val="3A7D4933"/>
    <w:rsid w:val="3AEB0364"/>
    <w:rsid w:val="3D406A8E"/>
    <w:rsid w:val="3E0D4FFF"/>
    <w:rsid w:val="3E9735A8"/>
    <w:rsid w:val="3F8A033F"/>
    <w:rsid w:val="41B95F37"/>
    <w:rsid w:val="42B123A6"/>
    <w:rsid w:val="43014594"/>
    <w:rsid w:val="445E0E6E"/>
    <w:rsid w:val="46E71798"/>
    <w:rsid w:val="4A57197A"/>
    <w:rsid w:val="4C1309AF"/>
    <w:rsid w:val="4C802464"/>
    <w:rsid w:val="4CCE387C"/>
    <w:rsid w:val="4D8458B9"/>
    <w:rsid w:val="4DDA08E0"/>
    <w:rsid w:val="4F750978"/>
    <w:rsid w:val="52362557"/>
    <w:rsid w:val="53160298"/>
    <w:rsid w:val="5357612F"/>
    <w:rsid w:val="556E3585"/>
    <w:rsid w:val="55E73D2F"/>
    <w:rsid w:val="59C46BA1"/>
    <w:rsid w:val="5A4B4C6A"/>
    <w:rsid w:val="5B125317"/>
    <w:rsid w:val="5B177F52"/>
    <w:rsid w:val="5BE9378A"/>
    <w:rsid w:val="610105B8"/>
    <w:rsid w:val="61CC0184"/>
    <w:rsid w:val="63B94952"/>
    <w:rsid w:val="63D158F2"/>
    <w:rsid w:val="65334334"/>
    <w:rsid w:val="66005C43"/>
    <w:rsid w:val="67693607"/>
    <w:rsid w:val="687C0C91"/>
    <w:rsid w:val="68FA3881"/>
    <w:rsid w:val="6D0D4676"/>
    <w:rsid w:val="6D686D7A"/>
    <w:rsid w:val="70737120"/>
    <w:rsid w:val="70E57B3B"/>
    <w:rsid w:val="70F570C2"/>
    <w:rsid w:val="713D3C4A"/>
    <w:rsid w:val="76176BA1"/>
    <w:rsid w:val="772F034D"/>
    <w:rsid w:val="778E6638"/>
    <w:rsid w:val="77FC5485"/>
    <w:rsid w:val="78E50785"/>
    <w:rsid w:val="794407C6"/>
    <w:rsid w:val="79596ACA"/>
    <w:rsid w:val="7A3A3474"/>
    <w:rsid w:val="7A3F47CE"/>
    <w:rsid w:val="7A411B9B"/>
    <w:rsid w:val="7A6C3AF2"/>
    <w:rsid w:val="7ABB5863"/>
    <w:rsid w:val="7C005985"/>
    <w:rsid w:val="7C1A0883"/>
    <w:rsid w:val="7E9C2C7B"/>
    <w:rsid w:val="7EFA2FBC"/>
    <w:rsid w:val="7F8C6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qFormat/>
    <w:uiPriority w:val="0"/>
    <w:pPr>
      <w:widowControl w:val="0"/>
    </w:pPr>
    <w:rPr>
      <w:rFonts w:ascii="宋体" w:hAnsi="宋体" w:eastAsia="宋体" w:cs="宋体"/>
      <w:sz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492</Words>
  <Characters>2808</Characters>
  <Lines>23</Lines>
  <Paragraphs>6</Paragraphs>
  <TotalTime>0</TotalTime>
  <ScaleCrop>false</ScaleCrop>
  <LinksUpToDate>false</LinksUpToDate>
  <CharactersWithSpaces>3294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2022-03-28T07:13:00Z</cp:lastPrinted>
  <dcterms:modified xsi:type="dcterms:W3CDTF">2022-07-28T09:09:30Z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E8F324BF07EC42B0B2159CBB4BE17433</vt:lpwstr>
  </property>
</Properties>
</file>