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大城县留各庄镇大汪中心小学</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大城县留各庄镇大汪中心小学</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pStyle w:val="12"/>
        <w:spacing w:line="660" w:lineRule="exact"/>
        <w:ind w:firstLine="640" w:firstLineChars="200"/>
        <w:rPr>
          <w:rFonts w:ascii="仿宋_GB2312" w:hAnsi="Times New Roman" w:eastAsia="仿宋_GB2312" w:cs="Times New Roman"/>
          <w:kern w:val="2"/>
          <w:sz w:val="32"/>
          <w:szCs w:val="32"/>
          <w:lang w:eastAsia="zh-CN"/>
        </w:rPr>
      </w:pPr>
      <w:r>
        <w:rPr>
          <w:sz w:val="32"/>
          <w:szCs w:val="32"/>
          <w:lang w:eastAsia="zh-CN"/>
        </w:rPr>
        <w:t>(</w:t>
      </w:r>
      <w:r>
        <w:rPr>
          <w:rFonts w:hint="eastAsia" w:ascii="仿宋_GB2312" w:hAnsi="Times New Roman" w:eastAsia="仿宋_GB2312" w:cs="Times New Roman"/>
          <w:kern w:val="2"/>
          <w:sz w:val="32"/>
          <w:szCs w:val="32"/>
          <w:lang w:eastAsia="zh-CN"/>
        </w:rPr>
        <w:t>一</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全面贯彻党的教育方针，大力实施素质教育。</w:t>
      </w:r>
    </w:p>
    <w:p>
      <w:pPr>
        <w:pStyle w:val="12"/>
        <w:spacing w:line="660" w:lineRule="exact"/>
        <w:ind w:firstLine="640" w:firstLineChars="200"/>
        <w:rPr>
          <w:rFonts w:hint="eastAsia"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二</w:t>
      </w:r>
      <w:r>
        <w:rPr>
          <w:rFonts w:ascii="仿宋_GB2312" w:hAnsi="Times New Roman" w:eastAsia="仿宋_GB2312" w:cs="Times New Roman"/>
          <w:kern w:val="2"/>
          <w:sz w:val="32"/>
          <w:szCs w:val="32"/>
          <w:lang w:eastAsia="zh-CN"/>
        </w:rPr>
        <w:t>)</w:t>
      </w:r>
      <w:r>
        <w:rPr>
          <w:rFonts w:hint="eastAsia" w:ascii="仿宋_GB2312" w:eastAsia="仿宋_GB2312"/>
          <w:sz w:val="32"/>
          <w:szCs w:val="32"/>
          <w:lang w:eastAsia="zh-CN"/>
        </w:rPr>
        <w:t xml:space="preserve"> 研究拟定学校中长期发展规划和年度计划，组织实施初中、艺术高中教育教学工作，确保高质量的九年义务教育和三年艺术高中教育工作成果。</w:t>
      </w:r>
    </w:p>
    <w:p>
      <w:pPr>
        <w:pStyle w:val="12"/>
        <w:spacing w:line="660" w:lineRule="exact"/>
        <w:ind w:firstLine="640" w:firstLineChars="200"/>
        <w:rPr>
          <w:rFonts w:hint="eastAsia"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三</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坚持以教学为中心，努力提高教学质量，不断改进教学方法，提高办学水平。</w:t>
      </w:r>
    </w:p>
    <w:p>
      <w:pPr>
        <w:ind w:firstLine="627" w:firstLineChars="196"/>
        <w:rPr>
          <w:rFonts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四</w:t>
      </w:r>
      <w:r>
        <w:rPr>
          <w:rFonts w:ascii="仿宋_GB2312" w:hAnsi="Times New Roman" w:eastAsia="仿宋_GB2312"/>
          <w:sz w:val="32"/>
          <w:szCs w:val="32"/>
        </w:rPr>
        <w:t>)</w:t>
      </w:r>
      <w:r>
        <w:rPr>
          <w:rFonts w:hint="eastAsia" w:ascii="仿宋_GB2312" w:eastAsia="仿宋_GB2312"/>
          <w:sz w:val="32"/>
          <w:szCs w:val="32"/>
        </w:rPr>
        <w:t>加强师资队伍建设和教师职业道德教育，不断提高师资队伍素质。</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五</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加强校园法制安全管理，避免各类安全事故的发生。</w:t>
      </w:r>
    </w:p>
    <w:p>
      <w:pPr>
        <w:pStyle w:val="12"/>
        <w:spacing w:line="660" w:lineRule="exact"/>
        <w:ind w:firstLine="640" w:firstLineChars="200"/>
        <w:rPr>
          <w:rFonts w:hint="eastAsia"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六</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 xml:space="preserve"> 扎实开展文明校园创建工作，构建良好的教学环境氛围。</w:t>
      </w:r>
    </w:p>
    <w:p>
      <w:pPr>
        <w:pStyle w:val="12"/>
        <w:spacing w:line="660" w:lineRule="exact"/>
        <w:ind w:firstLine="640" w:firstLineChars="200"/>
        <w:rPr>
          <w:rFonts w:hint="eastAsia" w:ascii="仿宋_GB2312" w:eastAsia="仿宋_GB231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七</w:t>
      </w:r>
      <w:r>
        <w:rPr>
          <w:rFonts w:ascii="仿宋_GB2312" w:hAnsi="Times New Roman" w:eastAsia="仿宋_GB2312" w:cs="Times New Roman"/>
          <w:kern w:val="2"/>
          <w:sz w:val="32"/>
          <w:szCs w:val="32"/>
          <w:lang w:eastAsia="zh-CN"/>
        </w:rPr>
        <w:t>)</w:t>
      </w:r>
      <w:r>
        <w:rPr>
          <w:rFonts w:hint="eastAsia" w:ascii="仿宋_GB2312" w:eastAsia="仿宋_GB2312"/>
          <w:sz w:val="32"/>
          <w:szCs w:val="32"/>
          <w:lang w:eastAsia="zh-CN"/>
        </w:rPr>
        <w:t>严格管理学校教育经费，规范执行财务管理制度，做好各项财务报表和预决算方案编报工作。</w:t>
      </w:r>
    </w:p>
    <w:p>
      <w:pPr>
        <w:ind w:firstLine="627" w:firstLineChars="196"/>
        <w:rPr>
          <w:rFonts w:hint="eastAsia"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八</w:t>
      </w:r>
      <w:r>
        <w:rPr>
          <w:rFonts w:ascii="仿宋_GB2312" w:hAnsi="Times New Roman" w:eastAsia="仿宋_GB2312"/>
          <w:sz w:val="32"/>
          <w:szCs w:val="32"/>
        </w:rPr>
        <w:t>)</w:t>
      </w:r>
      <w:r>
        <w:rPr>
          <w:rFonts w:hint="eastAsia" w:ascii="仿宋_GB2312" w:eastAsia="仿宋_GB2312"/>
          <w:sz w:val="32"/>
          <w:szCs w:val="32"/>
        </w:rPr>
        <w:t>规范学校办学行为、教师从教行为，杜绝违规办学、违规收费、有违师德师风等行为。</w:t>
      </w:r>
    </w:p>
    <w:p>
      <w:pPr>
        <w:ind w:firstLine="627" w:firstLineChars="196"/>
        <w:rPr>
          <w:rFonts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九</w:t>
      </w:r>
      <w:r>
        <w:rPr>
          <w:rFonts w:ascii="仿宋_GB2312" w:hAnsi="Times New Roman" w:eastAsia="仿宋_GB2312"/>
          <w:sz w:val="32"/>
          <w:szCs w:val="32"/>
        </w:rPr>
        <w:t>)</w:t>
      </w:r>
      <w:r>
        <w:rPr>
          <w:rFonts w:hint="eastAsia" w:ascii="仿宋_GB2312" w:eastAsia="仿宋_GB2312"/>
          <w:sz w:val="32"/>
          <w:szCs w:val="32"/>
        </w:rPr>
        <w:t>严格按照上级部门要求，组织招生、入学和毕业鉴定工作。</w:t>
      </w:r>
    </w:p>
    <w:p>
      <w:pPr>
        <w:ind w:firstLine="627" w:firstLineChars="196"/>
        <w:rPr>
          <w:rFonts w:hint="eastAsia"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十</w:t>
      </w:r>
      <w:r>
        <w:rPr>
          <w:rFonts w:ascii="仿宋_GB2312" w:hAnsi="Times New Roman" w:eastAsia="仿宋_GB2312"/>
          <w:sz w:val="32"/>
          <w:szCs w:val="32"/>
        </w:rPr>
        <w:t>)</w:t>
      </w:r>
      <w:r>
        <w:rPr>
          <w:rFonts w:hint="eastAsia" w:ascii="仿宋_GB2312" w:eastAsia="仿宋_GB2312"/>
          <w:sz w:val="32"/>
          <w:szCs w:val="32"/>
        </w:rPr>
        <w:t>组织做好教职工的考核、奖惩、工资、职称评定、退休审批及教师招聘等工作。</w:t>
      </w:r>
    </w:p>
    <w:p>
      <w:pPr>
        <w:ind w:firstLine="627" w:firstLineChars="196"/>
        <w:rPr>
          <w:rFonts w:hint="eastAsia"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十一</w:t>
      </w:r>
      <w:r>
        <w:rPr>
          <w:rFonts w:ascii="仿宋_GB2312" w:hAnsi="Times New Roman" w:eastAsia="仿宋_GB2312"/>
          <w:sz w:val="32"/>
          <w:szCs w:val="32"/>
        </w:rPr>
        <w:t>)</w:t>
      </w:r>
      <w:r>
        <w:rPr>
          <w:rFonts w:hint="eastAsia" w:ascii="仿宋_GB2312" w:eastAsia="仿宋_GB2312"/>
          <w:sz w:val="32"/>
          <w:szCs w:val="32"/>
        </w:rPr>
        <w:t>加强党的建设，充分调动党员干部的积极性，在教育教学和其他各项工作中发挥党员先锋模范作用。</w:t>
      </w:r>
    </w:p>
    <w:p>
      <w:pPr>
        <w:ind w:firstLine="627" w:firstLineChars="196"/>
        <w:rPr>
          <w:rFonts w:hint="eastAsia"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十二</w:t>
      </w:r>
      <w:r>
        <w:rPr>
          <w:rFonts w:ascii="仿宋_GB2312" w:hAnsi="Times New Roman" w:eastAsia="仿宋_GB2312"/>
          <w:sz w:val="32"/>
          <w:szCs w:val="32"/>
        </w:rPr>
        <w:t>)</w:t>
      </w:r>
      <w:r>
        <w:rPr>
          <w:rFonts w:hint="eastAsia" w:ascii="仿宋_GB2312" w:eastAsia="仿宋_GB2312"/>
          <w:sz w:val="32"/>
          <w:szCs w:val="32"/>
        </w:rPr>
        <w:t>做好资产的安全管理、维修与购置，做到账实相符，手续齐全，结算及时。</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十三</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完成县委和县政府以及上级主管部门交办的其他任务。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大城县留各庄镇大汪中心小学</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事业</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其他</w:t>
            </w:r>
          </w:p>
        </w:tc>
        <w:tc>
          <w:tcPr>
            <w:tcW w:w="2902"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校</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457.91</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457.86</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0.05</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我校</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457.91</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375.15</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333.21</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41.94</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82.76</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eastAsia="zh-CN"/>
        </w:rPr>
        <w:t>人事代理教师项目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人事代理教师管理费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大汪中心学校运动场及地面硬化工程</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457.91</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highlight w:val="none"/>
          <w:lang w:val="en-US" w:eastAsia="zh-CN"/>
        </w:rPr>
        <w:t>83.63</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0.87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人员类</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highlight w:val="none"/>
          <w:lang w:val="en-US" w:eastAsia="zh-CN"/>
        </w:rPr>
        <w:t>82.76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人事代理</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校</w:t>
      </w:r>
      <w:r>
        <w:rPr>
          <w:rFonts w:ascii="Times New Roman" w:hAnsi="Times New Roman" w:eastAsia="仿宋_GB2312" w:cs="Times New Roman"/>
          <w:sz w:val="32"/>
          <w:szCs w:val="32"/>
        </w:rPr>
        <w:t>运行经费共计安排</w:t>
      </w:r>
      <w:r>
        <w:rPr>
          <w:rFonts w:hint="eastAsia" w:ascii="Times New Roman" w:hAnsi="Times New Roman" w:eastAsia="仿宋_GB2312" w:cs="Times New Roman"/>
          <w:sz w:val="32"/>
          <w:szCs w:val="32"/>
          <w:lang w:val="en-US" w:eastAsia="zh-CN"/>
        </w:rPr>
        <w:t>41.94</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我校</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color w:val="auto"/>
          <w:sz w:val="32"/>
          <w:szCs w:val="32"/>
          <w:lang w:val="en-US"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我校</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持平</w:t>
      </w:r>
      <w:r>
        <w:rPr>
          <w:rFonts w:hint="eastAsia" w:ascii="Times New Roman" w:hAnsi="Times New Roman" w:eastAsia="仿宋_GB2312" w:cs="Times New Roman"/>
          <w:sz w:val="32"/>
          <w:szCs w:val="32"/>
          <w:highlight w:val="none"/>
          <w:lang w:eastAsia="zh-CN"/>
        </w:rPr>
        <w:t>。</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通过推进教育教学管理，扶持教学业务活动、教师队伍建设、艺术特长教学等项目，提高教师队伍素质和艺术特长教学质量，90%以上教师参加教育教学培训，师生满意度达到90%以上，逐步改善教育教学环境，全面提升办学教学水平，促进实现创建一流</w:t>
      </w:r>
      <w:r>
        <w:rPr>
          <w:rFonts w:hint="eastAsia" w:ascii="Times New Roman" w:hAnsi="Times New Roman" w:eastAsia="仿宋_GB2312"/>
          <w:sz w:val="32"/>
          <w:szCs w:val="32"/>
          <w:lang w:eastAsia="zh-CN"/>
        </w:rPr>
        <w:t>学校</w:t>
      </w:r>
      <w:r>
        <w:rPr>
          <w:rFonts w:hint="eastAsia" w:ascii="Times New Roman" w:hAnsi="Times New Roman" w:eastAsia="仿宋_GB2312"/>
          <w:sz w:val="32"/>
          <w:szCs w:val="32"/>
        </w:rPr>
        <w:t>的发展目标。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1、提高教育教学质量，树立科学的教育质量观</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绩效目标：深化教育教学改革创新，推进高考综合改革，推行义务教育质量监测。</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通过对教师教学及备课质量的提升，实现对课堂教学的提升。通过学生学习过程的数据收集、跟踪评价，为学校出具综合素质评价报告，从而改进教育教学；为学生出具个人综合素质评价报告，对上一层级学校针对学生个性化培养提供数据依据。</w:t>
      </w:r>
    </w:p>
    <w:p>
      <w:pPr>
        <w:spacing w:line="584" w:lineRule="exact"/>
        <w:ind w:firstLine="960" w:firstLineChars="30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提高学生综合素质</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绩效目标：通过开展新生军训、运动会、足球特色学校建设等活动，提高学生综合素质，促进学生全面、健康成长。</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绩效指标：各项工作完成情况达到100%。</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3、加快消除大班额</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绩效目标：制定校消除大班额方案，倒排时间、强化责任、加强督导，完善结果公开和限期整改制度。</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在校舍建设、资金投入、师资配备、学位扩充等方面，加大工作力度，创新工作方式，必须按时完成基本消除大班额的工作目标。建立督导问责机制，市委督查室、市政府督查室会同市教育局定期督导调度，进一步摸清底数，形成精准台账。</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4、加强教师队伍建设</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绩效目标：强化地方政府主体责任，落实中小学教师绩效工资政策。持续补充新教师。推进机构改革。提高教师培训质量，提升教师业务能力和水平。</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绩效指标：开展教师岗位大练兵系列活动，组织优质课比赛、教师技能（素养）大赛、送教下乡、专题论坛等活动，提升师资队伍综合素质。</w:t>
      </w:r>
    </w:p>
    <w:p>
      <w:pPr>
        <w:spacing w:line="584" w:lineRule="exact"/>
        <w:ind w:firstLine="640" w:firstLineChars="200"/>
        <w:rPr>
          <w:rFonts w:ascii="楷体_GB2312" w:eastAsia="楷体_GB2312" w:cs="Times New Roman"/>
          <w:b/>
          <w:sz w:val="32"/>
          <w:szCs w:val="32"/>
        </w:rPr>
      </w:pPr>
      <w:r>
        <w:rPr>
          <w:rFonts w:hint="eastAsia" w:ascii="仿宋_GB2312" w:eastAsia="仿宋_GB2312" w:cs="Times New Roman"/>
          <w:sz w:val="32"/>
          <w:szCs w:val="32"/>
        </w:rPr>
        <w:t xml:space="preserve"> </w:t>
      </w:r>
      <w:r>
        <w:rPr>
          <w:rFonts w:hint="eastAsia" w:ascii="楷体_GB2312" w:eastAsia="楷体_GB2312" w:cs="Times New Roman"/>
          <w:b/>
          <w:sz w:val="32"/>
          <w:szCs w:val="32"/>
        </w:rPr>
        <w:t>（三）工作保障措施</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完善制度建设。完善工作制度，进一步完善预算绩效管理制度、资金管理办法等，为全年预算绩效目标的实现奠定坚实的制度基础。</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加强支出管理。优化资金支出结构，将资金同项目实施挂钩，提升资金的使用效能。尽快履行采购手续，启动项目，及时支付资金，力争</w:t>
      </w:r>
      <w:r>
        <w:rPr>
          <w:rFonts w:ascii="Times New Roman" w:hAnsi="Times New Roman" w:eastAsia="仿宋_GB2312"/>
          <w:sz w:val="32"/>
          <w:szCs w:val="32"/>
        </w:rPr>
        <w:t>202</w:t>
      </w:r>
      <w:r>
        <w:rPr>
          <w:rFonts w:hint="eastAsia" w:ascii="Times New Roman" w:hAnsi="Times New Roman" w:eastAsia="仿宋_GB2312"/>
          <w:sz w:val="32"/>
          <w:szCs w:val="32"/>
        </w:rPr>
        <w:t>2年</w:t>
      </w:r>
      <w:r>
        <w:rPr>
          <w:rFonts w:ascii="Times New Roman" w:hAnsi="Times New Roman" w:eastAsia="仿宋_GB2312"/>
          <w:sz w:val="32"/>
          <w:szCs w:val="32"/>
        </w:rPr>
        <w:t>6</w:t>
      </w:r>
      <w:r>
        <w:rPr>
          <w:rFonts w:hint="eastAsia" w:ascii="Times New Roman" w:hAnsi="Times New Roman" w:eastAsia="仿宋_GB2312"/>
          <w:sz w:val="32"/>
          <w:szCs w:val="32"/>
        </w:rPr>
        <w:t>月底前完成支出进度的</w:t>
      </w:r>
      <w:r>
        <w:rPr>
          <w:rFonts w:ascii="Times New Roman" w:hAnsi="Times New Roman" w:eastAsia="仿宋_GB2312"/>
          <w:sz w:val="32"/>
          <w:szCs w:val="32"/>
        </w:rPr>
        <w:t>60%,10</w:t>
      </w:r>
      <w:r>
        <w:rPr>
          <w:rFonts w:hint="eastAsia" w:ascii="Times New Roman" w:hAnsi="Times New Roman" w:eastAsia="仿宋_GB2312"/>
          <w:sz w:val="32"/>
          <w:szCs w:val="32"/>
        </w:rPr>
        <w:t>月底前完成支出进度的</w:t>
      </w:r>
      <w:r>
        <w:rPr>
          <w:rFonts w:ascii="Times New Roman" w:hAnsi="Times New Roman" w:eastAsia="仿宋_GB2312"/>
          <w:sz w:val="32"/>
          <w:szCs w:val="32"/>
        </w:rPr>
        <w:t>90%,</w:t>
      </w:r>
      <w:r>
        <w:rPr>
          <w:rFonts w:hint="eastAsia" w:ascii="Times New Roman" w:hAnsi="Times New Roman" w:eastAsia="仿宋_GB2312"/>
          <w:sz w:val="32"/>
          <w:szCs w:val="32"/>
        </w:rPr>
        <w:t>年底前完成支出进度的</w:t>
      </w:r>
      <w:r>
        <w:rPr>
          <w:rFonts w:ascii="Times New Roman" w:hAnsi="Times New Roman" w:eastAsia="仿宋_GB2312"/>
          <w:sz w:val="32"/>
          <w:szCs w:val="32"/>
        </w:rPr>
        <w:t>100%</w:t>
      </w:r>
      <w:r>
        <w:rPr>
          <w:rFonts w:hint="eastAsia" w:ascii="Times New Roman" w:hAnsi="Times New Roman" w:eastAsia="仿宋_GB2312"/>
          <w:sz w:val="32"/>
          <w:szCs w:val="32"/>
        </w:rPr>
        <w:t>。</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加强绩效运行监控。按要求开展绩效运行监控，把绩效目标作为项目实施的前置条件，提高资金使用的合理性和科学性。发现问题及时采取改进措施，确保绩效目标如期保质实现。</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做好绩效自评。按要求做好预算绩效自评工作，通过对评价中发现问题的整改，提高资金使用效益。</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规范财务资产管理。进一步完善财务管理制度，严格审批程序，规范审批流程，加强固定资产登记、使用和报废处置管理，做到手续齐备，支出合理，物尽其用。</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加强内部监督。加强内部控制制度建设，引入第三方监督机制，对绩效运行情况等工作进行监督和指导，对会计资料进行内部审计，并配合做好审计、财政监督等外部监督工作，确保财政资金安全有效。</w:t>
      </w:r>
    </w:p>
    <w:p>
      <w:pPr>
        <w:spacing w:line="584" w:lineRule="exact"/>
        <w:ind w:firstLine="640" w:firstLineChars="200"/>
        <w:rPr>
          <w:rFonts w:hint="eastAsia" w:ascii="仿宋_GB2312" w:eastAsia="仿宋_GB2312" w:cs="Times New Roman"/>
          <w:sz w:val="32"/>
          <w:szCs w:val="32"/>
        </w:rPr>
      </w:pPr>
      <w:r>
        <w:rPr>
          <w:rFonts w:hint="eastAsia" w:ascii="Times New Roman" w:hAnsi="Times New Roman" w:eastAsia="仿宋_GB2312"/>
          <w:sz w:val="32"/>
          <w:szCs w:val="32"/>
        </w:rPr>
        <w:t>加强管理培训。加强人员培训，提高本部门人员业务素质。加强调研，提出优化财政资金配置、提高资金使用效益的建议。加大宣传力度，强化各部门预算绩效管理意识，逐步提高预算绩效管理水平。</w:t>
      </w:r>
    </w:p>
    <w:p>
      <w:pPr>
        <w:numPr>
          <w:ilvl w:val="0"/>
          <w:numId w:val="1"/>
        </w:num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部门整体支出绩效指标</w:t>
      </w:r>
    </w:p>
    <w:tbl>
      <w:tblPr>
        <w:tblStyle w:val="8"/>
        <w:tblpPr w:leftFromText="180" w:rightFromText="180" w:vertAnchor="text" w:horzAnchor="page" w:tblpX="2015" w:tblpY="370"/>
        <w:tblOverlap w:val="never"/>
        <w:tblW w:w="128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406"/>
        <w:gridCol w:w="1312"/>
        <w:gridCol w:w="1388"/>
        <w:gridCol w:w="1875"/>
        <w:gridCol w:w="1837"/>
        <w:gridCol w:w="1669"/>
        <w:gridCol w:w="1088"/>
        <w:gridCol w:w="637"/>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trPr>
        <w:tc>
          <w:tcPr>
            <w:tcW w:w="140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31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38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87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83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339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63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trPr>
        <w:tc>
          <w:tcPr>
            <w:tcW w:w="1406" w:type="dxa"/>
            <w:vMerge w:val="continue"/>
            <w:tcBorders>
              <w:tl2br w:val="nil"/>
              <w:tr2bl w:val="nil"/>
            </w:tcBorders>
            <w:vAlign w:val="center"/>
          </w:tcPr>
          <w:p/>
        </w:tc>
        <w:tc>
          <w:tcPr>
            <w:tcW w:w="1312" w:type="dxa"/>
            <w:vMerge w:val="continue"/>
            <w:tcBorders>
              <w:tl2br w:val="nil"/>
              <w:tr2bl w:val="nil"/>
            </w:tcBorders>
            <w:vAlign w:val="center"/>
          </w:tcPr>
          <w:p/>
        </w:tc>
        <w:tc>
          <w:tcPr>
            <w:tcW w:w="1388" w:type="dxa"/>
            <w:vMerge w:val="continue"/>
            <w:tcBorders>
              <w:tl2br w:val="nil"/>
              <w:tr2bl w:val="nil"/>
            </w:tcBorders>
            <w:vAlign w:val="center"/>
          </w:tcPr>
          <w:p/>
        </w:tc>
        <w:tc>
          <w:tcPr>
            <w:tcW w:w="1875" w:type="dxa"/>
            <w:vMerge w:val="continue"/>
            <w:tcBorders>
              <w:tl2br w:val="nil"/>
              <w:tr2bl w:val="nil"/>
            </w:tcBorders>
            <w:vAlign w:val="center"/>
          </w:tcPr>
          <w:p/>
        </w:tc>
        <w:tc>
          <w:tcPr>
            <w:tcW w:w="1837" w:type="dxa"/>
            <w:vMerge w:val="continue"/>
            <w:tcBorders>
              <w:tl2br w:val="nil"/>
              <w:tr2bl w:val="nil"/>
            </w:tcBorders>
            <w:vAlign w:val="center"/>
          </w:tcPr>
          <w:p/>
        </w:tc>
        <w:tc>
          <w:tcPr>
            <w:tcW w:w="1669"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10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637"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630"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trPr>
        <w:tc>
          <w:tcPr>
            <w:tcW w:w="1406"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1312"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sz w:val="21"/>
                <w:szCs w:val="21"/>
              </w:rPr>
              <w:t>数量</w:t>
            </w:r>
          </w:p>
        </w:tc>
        <w:tc>
          <w:tcPr>
            <w:tcW w:w="1388"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cs="宋体"/>
                <w:sz w:val="21"/>
                <w:szCs w:val="21"/>
                <w:lang w:eastAsia="zh-CN"/>
              </w:rPr>
              <w:t>数量指标</w:t>
            </w:r>
          </w:p>
        </w:tc>
        <w:tc>
          <w:tcPr>
            <w:tcW w:w="1875"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cs="宋体"/>
                <w:sz w:val="21"/>
                <w:szCs w:val="21"/>
                <w:lang w:eastAsia="zh-CN"/>
              </w:rPr>
              <w:t>完成教学安排数</w:t>
            </w:r>
          </w:p>
        </w:tc>
        <w:tc>
          <w:tcPr>
            <w:tcW w:w="1837"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cs="宋体"/>
                <w:sz w:val="21"/>
                <w:szCs w:val="21"/>
                <w:lang w:eastAsia="zh-CN"/>
              </w:rPr>
              <w:t>教学安排方案</w:t>
            </w:r>
          </w:p>
        </w:tc>
        <w:tc>
          <w:tcPr>
            <w:tcW w:w="1669" w:type="dxa"/>
            <w:tcBorders>
              <w:tl2br w:val="nil"/>
              <w:tr2bl w:val="nil"/>
            </w:tcBorders>
            <w:vAlign w:val="center"/>
          </w:tcPr>
          <w:p>
            <w:pPr>
              <w:widowControl/>
              <w:adjustRightInd w:val="0"/>
              <w:snapToGrid w:val="0"/>
              <w:jc w:val="both"/>
              <w:rPr>
                <w:rFonts w:ascii="方正书宋_GBK" w:eastAsia="方正书宋_GBK"/>
              </w:rPr>
            </w:pPr>
            <w:r>
              <w:rPr>
                <w:rFonts w:hint="eastAsia" w:ascii="宋体" w:hAnsi="宋体" w:cs="宋体"/>
                <w:sz w:val="21"/>
                <w:szCs w:val="21"/>
                <w:lang w:eastAsia="zh-CN"/>
              </w:rPr>
              <w:t>开展学校各项</w:t>
            </w:r>
          </w:p>
        </w:tc>
        <w:tc>
          <w:tcPr>
            <w:tcW w:w="1088"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cs="宋体"/>
                <w:i w:val="0"/>
                <w:color w:val="000000"/>
                <w:kern w:val="0"/>
                <w:sz w:val="21"/>
                <w:szCs w:val="21"/>
                <w:u w:val="none"/>
                <w:lang w:val="en-US" w:eastAsia="zh-CN" w:bidi="ar"/>
              </w:rPr>
              <w:t>文字描述</w:t>
            </w:r>
          </w:p>
        </w:tc>
        <w:tc>
          <w:tcPr>
            <w:tcW w:w="637" w:type="dxa"/>
            <w:tcBorders>
              <w:tl2br w:val="nil"/>
              <w:tr2bl w:val="nil"/>
            </w:tcBorders>
            <w:vAlign w:val="center"/>
          </w:tcPr>
          <w:p>
            <w:pPr>
              <w:widowControl/>
              <w:adjustRightInd w:val="0"/>
              <w:snapToGrid w:val="0"/>
              <w:jc w:val="center"/>
              <w:rPr>
                <w:rFonts w:ascii="方正书宋_GBK" w:eastAsia="方正书宋_GBK"/>
              </w:rPr>
            </w:pPr>
          </w:p>
        </w:tc>
        <w:tc>
          <w:tcPr>
            <w:tcW w:w="1630"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cs="宋体"/>
                <w:sz w:val="21"/>
                <w:szCs w:val="21"/>
                <w:lang w:eastAsia="zh-CN"/>
              </w:rPr>
              <w:t>完成年度安排的各项教学、体育、文艺等活动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trPr>
        <w:tc>
          <w:tcPr>
            <w:tcW w:w="1406" w:type="dxa"/>
            <w:vMerge w:val="continue"/>
            <w:tcBorders>
              <w:tl2br w:val="nil"/>
              <w:tr2bl w:val="nil"/>
            </w:tcBorders>
            <w:vAlign w:val="center"/>
          </w:tcPr>
          <w:p/>
        </w:tc>
        <w:tc>
          <w:tcPr>
            <w:tcW w:w="1312"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sz w:val="21"/>
                <w:szCs w:val="21"/>
              </w:rPr>
              <w:t>质量</w:t>
            </w:r>
          </w:p>
        </w:tc>
        <w:tc>
          <w:tcPr>
            <w:tcW w:w="13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1"/>
                <w:szCs w:val="21"/>
                <w:u w:val="none"/>
                <w:lang w:val="en-US" w:eastAsia="zh-CN" w:bidi="ar"/>
              </w:rPr>
              <w:t>质量指标</w:t>
            </w:r>
          </w:p>
        </w:tc>
        <w:tc>
          <w:tcPr>
            <w:tcW w:w="1875"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开展体育活动情况</w:t>
            </w:r>
          </w:p>
        </w:tc>
        <w:tc>
          <w:tcPr>
            <w:tcW w:w="1837"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活动方案</w:t>
            </w:r>
          </w:p>
        </w:tc>
        <w:tc>
          <w:tcPr>
            <w:tcW w:w="1669" w:type="dxa"/>
            <w:tcBorders>
              <w:tl2br w:val="nil"/>
              <w:tr2bl w:val="nil"/>
            </w:tcBorders>
            <w:vAlign w:val="top"/>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开展大型体育活动次数</w:t>
            </w:r>
          </w:p>
        </w:tc>
        <w:tc>
          <w:tcPr>
            <w:tcW w:w="1088"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w:t>
            </w:r>
          </w:p>
        </w:tc>
        <w:tc>
          <w:tcPr>
            <w:tcW w:w="637"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100</w:t>
            </w:r>
          </w:p>
        </w:tc>
        <w:tc>
          <w:tcPr>
            <w:tcW w:w="1630"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trPr>
        <w:tc>
          <w:tcPr>
            <w:tcW w:w="1406" w:type="dxa"/>
            <w:vMerge w:val="continue"/>
            <w:tcBorders>
              <w:tl2br w:val="nil"/>
              <w:tr2bl w:val="nil"/>
            </w:tcBorders>
            <w:vAlign w:val="center"/>
          </w:tcPr>
          <w:p/>
        </w:tc>
        <w:tc>
          <w:tcPr>
            <w:tcW w:w="1312"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sz w:val="21"/>
                <w:szCs w:val="21"/>
              </w:rPr>
              <w:t>时效</w:t>
            </w:r>
          </w:p>
        </w:tc>
        <w:tc>
          <w:tcPr>
            <w:tcW w:w="13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1"/>
                <w:szCs w:val="21"/>
                <w:u w:val="none"/>
                <w:lang w:val="en-US" w:eastAsia="zh-CN" w:bidi="ar"/>
              </w:rPr>
              <w:t>时效指标</w:t>
            </w:r>
          </w:p>
        </w:tc>
        <w:tc>
          <w:tcPr>
            <w:tcW w:w="1875"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安装时开展工作</w:t>
            </w:r>
          </w:p>
        </w:tc>
        <w:tc>
          <w:tcPr>
            <w:tcW w:w="1837"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绩效预算文本</w:t>
            </w:r>
          </w:p>
        </w:tc>
        <w:tc>
          <w:tcPr>
            <w:tcW w:w="1669" w:type="dxa"/>
            <w:tcBorders>
              <w:tl2br w:val="nil"/>
              <w:tr2bl w:val="nil"/>
            </w:tcBorders>
            <w:vAlign w:val="top"/>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教体活动按照预算资金及时开展活动</w:t>
            </w:r>
          </w:p>
        </w:tc>
        <w:tc>
          <w:tcPr>
            <w:tcW w:w="1088"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文字描述</w:t>
            </w:r>
          </w:p>
        </w:tc>
        <w:tc>
          <w:tcPr>
            <w:tcW w:w="637" w:type="dxa"/>
            <w:tcBorders>
              <w:tl2br w:val="nil"/>
              <w:tr2bl w:val="nil"/>
            </w:tcBorders>
            <w:vAlign w:val="center"/>
          </w:tcPr>
          <w:p>
            <w:pPr>
              <w:jc w:val="center"/>
              <w:rPr>
                <w:rFonts w:ascii="方正书宋_GBK" w:eastAsia="方正书宋_GBK"/>
              </w:rPr>
            </w:pPr>
          </w:p>
        </w:tc>
        <w:tc>
          <w:tcPr>
            <w:tcW w:w="1630"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教体活动完成后及时支出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70" w:hRule="atLeast"/>
        </w:trPr>
        <w:tc>
          <w:tcPr>
            <w:tcW w:w="1406" w:type="dxa"/>
            <w:vMerge w:val="continue"/>
            <w:tcBorders>
              <w:tl2br w:val="nil"/>
              <w:tr2bl w:val="nil"/>
            </w:tcBorders>
            <w:vAlign w:val="center"/>
          </w:tcPr>
          <w:p/>
        </w:tc>
        <w:tc>
          <w:tcPr>
            <w:tcW w:w="1312"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sz w:val="21"/>
                <w:szCs w:val="21"/>
              </w:rPr>
              <w:t>成本</w:t>
            </w:r>
          </w:p>
        </w:tc>
        <w:tc>
          <w:tcPr>
            <w:tcW w:w="13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1"/>
                <w:szCs w:val="21"/>
                <w:u w:val="none"/>
                <w:lang w:val="en-US" w:eastAsia="zh-CN" w:bidi="ar"/>
              </w:rPr>
              <w:t>成本指标</w:t>
            </w:r>
          </w:p>
        </w:tc>
        <w:tc>
          <w:tcPr>
            <w:tcW w:w="1875"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按照年初绩效预算执行</w:t>
            </w:r>
          </w:p>
        </w:tc>
        <w:tc>
          <w:tcPr>
            <w:tcW w:w="1837" w:type="dxa"/>
            <w:tcBorders>
              <w:tl2br w:val="nil"/>
              <w:tr2bl w:val="nil"/>
            </w:tcBorders>
            <w:vAlign w:val="top"/>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绩效预算文本</w:t>
            </w:r>
          </w:p>
        </w:tc>
        <w:tc>
          <w:tcPr>
            <w:tcW w:w="1669" w:type="dxa"/>
            <w:tcBorders>
              <w:tl2br w:val="nil"/>
              <w:tr2bl w:val="nil"/>
            </w:tcBorders>
            <w:vAlign w:val="top"/>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按照年初绩效预算执行</w:t>
            </w:r>
          </w:p>
        </w:tc>
        <w:tc>
          <w:tcPr>
            <w:tcW w:w="1088" w:type="dxa"/>
            <w:tcBorders>
              <w:tl2br w:val="nil"/>
              <w:tr2bl w:val="nil"/>
            </w:tcBorders>
            <w:vAlign w:val="top"/>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文字描述</w:t>
            </w:r>
          </w:p>
        </w:tc>
        <w:tc>
          <w:tcPr>
            <w:tcW w:w="637" w:type="dxa"/>
            <w:tcBorders>
              <w:tl2br w:val="nil"/>
              <w:tr2bl w:val="nil"/>
            </w:tcBorders>
            <w:vAlign w:val="center"/>
          </w:tcPr>
          <w:p>
            <w:pPr>
              <w:jc w:val="center"/>
              <w:rPr>
                <w:rFonts w:ascii="方正书宋_GBK" w:eastAsia="方正书宋_GBK"/>
              </w:rPr>
            </w:pPr>
          </w:p>
        </w:tc>
        <w:tc>
          <w:tcPr>
            <w:tcW w:w="1630"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不超预算支出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trPr>
        <w:tc>
          <w:tcPr>
            <w:tcW w:w="1406"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1312"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1"/>
                <w:szCs w:val="21"/>
                <w:u w:val="none"/>
                <w:lang w:val="en-US" w:eastAsia="zh-CN" w:bidi="ar"/>
              </w:rPr>
              <w:t>社会效益指标</w:t>
            </w:r>
          </w:p>
        </w:tc>
        <w:tc>
          <w:tcPr>
            <w:tcW w:w="1388" w:type="dxa"/>
            <w:tcBorders>
              <w:tl2br w:val="nil"/>
              <w:tr2bl w:val="nil"/>
            </w:tcBorders>
            <w:vAlign w:val="top"/>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教育教学质量</w:t>
            </w:r>
          </w:p>
        </w:tc>
        <w:tc>
          <w:tcPr>
            <w:tcW w:w="1875"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教学评估</w:t>
            </w:r>
          </w:p>
        </w:tc>
        <w:tc>
          <w:tcPr>
            <w:tcW w:w="1837" w:type="dxa"/>
            <w:tcBorders>
              <w:tl2br w:val="nil"/>
              <w:tr2bl w:val="nil"/>
            </w:tcBorders>
            <w:vAlign w:val="top"/>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教育教学质量明显提升</w:t>
            </w:r>
          </w:p>
        </w:tc>
        <w:tc>
          <w:tcPr>
            <w:tcW w:w="1669" w:type="dxa"/>
            <w:tcBorders>
              <w:tl2br w:val="nil"/>
              <w:tr2bl w:val="nil"/>
            </w:tcBorders>
            <w:vAlign w:val="top"/>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文字描述</w:t>
            </w:r>
          </w:p>
        </w:tc>
        <w:tc>
          <w:tcPr>
            <w:tcW w:w="1088" w:type="dxa"/>
            <w:tcBorders>
              <w:tl2br w:val="nil"/>
              <w:tr2bl w:val="nil"/>
            </w:tcBorders>
            <w:vAlign w:val="center"/>
          </w:tcPr>
          <w:p>
            <w:pPr>
              <w:jc w:val="center"/>
              <w:rPr>
                <w:rFonts w:ascii="方正书宋_GBK" w:eastAsia="方正书宋_GBK"/>
              </w:rPr>
            </w:pPr>
          </w:p>
        </w:tc>
        <w:tc>
          <w:tcPr>
            <w:tcW w:w="637" w:type="dxa"/>
            <w:tcBorders>
              <w:tl2br w:val="nil"/>
              <w:tr2bl w:val="nil"/>
            </w:tcBorders>
            <w:vAlign w:val="top"/>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明显提升</w:t>
            </w:r>
          </w:p>
        </w:tc>
        <w:tc>
          <w:tcPr>
            <w:tcW w:w="163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1"/>
                <w:szCs w:val="21"/>
                <w:u w:val="none"/>
                <w:lang w:val="en-US" w:eastAsia="zh-CN" w:bidi="ar"/>
              </w:rPr>
              <w:t>社会效益指标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trPr>
        <w:tc>
          <w:tcPr>
            <w:tcW w:w="1406" w:type="dxa"/>
            <w:vMerge w:val="continue"/>
            <w:tcBorders>
              <w:tl2br w:val="nil"/>
              <w:tr2bl w:val="nil"/>
            </w:tcBorders>
            <w:vAlign w:val="center"/>
          </w:tcPr>
          <w:p/>
        </w:tc>
        <w:tc>
          <w:tcPr>
            <w:tcW w:w="1312"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1"/>
                <w:szCs w:val="21"/>
                <w:u w:val="none"/>
                <w:lang w:val="en-US" w:eastAsia="zh-CN" w:bidi="ar"/>
              </w:rPr>
              <w:t>社会效益指标</w:t>
            </w:r>
          </w:p>
        </w:tc>
        <w:tc>
          <w:tcPr>
            <w:tcW w:w="1388" w:type="dxa"/>
            <w:tcBorders>
              <w:tl2br w:val="nil"/>
              <w:tr2bl w:val="nil"/>
            </w:tcBorders>
            <w:vAlign w:val="top"/>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体育事业发展</w:t>
            </w:r>
          </w:p>
        </w:tc>
        <w:tc>
          <w:tcPr>
            <w:tcW w:w="1875"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体育评价</w:t>
            </w:r>
          </w:p>
        </w:tc>
        <w:tc>
          <w:tcPr>
            <w:tcW w:w="1837" w:type="dxa"/>
            <w:tcBorders>
              <w:tl2br w:val="nil"/>
              <w:tr2bl w:val="nil"/>
            </w:tcBorders>
            <w:vAlign w:val="top"/>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体育事业健康可持续发展</w:t>
            </w:r>
          </w:p>
        </w:tc>
        <w:tc>
          <w:tcPr>
            <w:tcW w:w="1669" w:type="dxa"/>
            <w:tcBorders>
              <w:tl2br w:val="nil"/>
              <w:tr2bl w:val="nil"/>
            </w:tcBorders>
            <w:vAlign w:val="top"/>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文字描述</w:t>
            </w:r>
          </w:p>
        </w:tc>
        <w:tc>
          <w:tcPr>
            <w:tcW w:w="1088" w:type="dxa"/>
            <w:tcBorders>
              <w:tl2br w:val="nil"/>
              <w:tr2bl w:val="nil"/>
            </w:tcBorders>
            <w:vAlign w:val="center"/>
          </w:tcPr>
          <w:p>
            <w:pPr>
              <w:jc w:val="center"/>
              <w:rPr>
                <w:rFonts w:ascii="方正书宋_GBK" w:eastAsia="方正书宋_GBK"/>
              </w:rPr>
            </w:pPr>
          </w:p>
        </w:tc>
        <w:tc>
          <w:tcPr>
            <w:tcW w:w="637" w:type="dxa"/>
            <w:tcBorders>
              <w:tl2br w:val="nil"/>
              <w:tr2bl w:val="nil"/>
            </w:tcBorders>
            <w:vAlign w:val="top"/>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持续发展</w:t>
            </w:r>
          </w:p>
        </w:tc>
        <w:tc>
          <w:tcPr>
            <w:tcW w:w="163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1"/>
                <w:szCs w:val="21"/>
                <w:u w:val="none"/>
                <w:lang w:val="en-US" w:eastAsia="zh-CN" w:bidi="ar"/>
              </w:rPr>
              <w:t>社会效益指标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trPr>
        <w:tc>
          <w:tcPr>
            <w:tcW w:w="1406" w:type="dxa"/>
            <w:vMerge w:val="continue"/>
            <w:tcBorders>
              <w:tl2br w:val="nil"/>
              <w:tr2bl w:val="nil"/>
            </w:tcBorders>
            <w:vAlign w:val="center"/>
          </w:tcPr>
          <w:p/>
        </w:tc>
        <w:tc>
          <w:tcPr>
            <w:tcW w:w="1312"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1"/>
                <w:szCs w:val="21"/>
                <w:u w:val="none"/>
                <w:lang w:val="en-US" w:eastAsia="zh-CN" w:bidi="ar"/>
              </w:rPr>
              <w:t>可持续影响指标</w:t>
            </w:r>
          </w:p>
        </w:tc>
        <w:tc>
          <w:tcPr>
            <w:tcW w:w="1388" w:type="dxa"/>
            <w:tcBorders>
              <w:tl2br w:val="nil"/>
              <w:tr2bl w:val="nil"/>
            </w:tcBorders>
            <w:vAlign w:val="top"/>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城乡教育发展</w:t>
            </w:r>
          </w:p>
        </w:tc>
        <w:tc>
          <w:tcPr>
            <w:tcW w:w="1875"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督导评估</w:t>
            </w:r>
          </w:p>
        </w:tc>
        <w:tc>
          <w:tcPr>
            <w:tcW w:w="1837" w:type="dxa"/>
            <w:tcBorders>
              <w:tl2br w:val="nil"/>
              <w:tr2bl w:val="nil"/>
            </w:tcBorders>
            <w:vAlign w:val="top"/>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城乡教育均衡发展</w:t>
            </w:r>
          </w:p>
        </w:tc>
        <w:tc>
          <w:tcPr>
            <w:tcW w:w="1669" w:type="dxa"/>
            <w:tcBorders>
              <w:tl2br w:val="nil"/>
              <w:tr2bl w:val="nil"/>
            </w:tcBorders>
            <w:vAlign w:val="top"/>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文字描述</w:t>
            </w:r>
          </w:p>
        </w:tc>
        <w:tc>
          <w:tcPr>
            <w:tcW w:w="1088" w:type="dxa"/>
            <w:tcBorders>
              <w:tl2br w:val="nil"/>
              <w:tr2bl w:val="nil"/>
            </w:tcBorders>
            <w:vAlign w:val="center"/>
          </w:tcPr>
          <w:p>
            <w:pPr>
              <w:jc w:val="center"/>
              <w:rPr>
                <w:rFonts w:ascii="方正书宋_GBK" w:eastAsia="方正书宋_GBK"/>
              </w:rPr>
            </w:pPr>
          </w:p>
        </w:tc>
        <w:tc>
          <w:tcPr>
            <w:tcW w:w="637" w:type="dxa"/>
            <w:tcBorders>
              <w:tl2br w:val="nil"/>
              <w:tr2bl w:val="nil"/>
            </w:tcBorders>
            <w:vAlign w:val="top"/>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均衡发展</w:t>
            </w:r>
          </w:p>
        </w:tc>
        <w:tc>
          <w:tcPr>
            <w:tcW w:w="163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1"/>
                <w:szCs w:val="21"/>
                <w:u w:val="none"/>
                <w:lang w:val="en-US" w:eastAsia="zh-CN" w:bidi="ar"/>
              </w:rPr>
              <w:t>可持续影响指标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trPr>
        <w:tc>
          <w:tcPr>
            <w:tcW w:w="1406" w:type="dxa"/>
            <w:vMerge w:val="continue"/>
            <w:tcBorders>
              <w:tl2br w:val="nil"/>
              <w:tr2bl w:val="nil"/>
            </w:tcBorders>
            <w:vAlign w:val="center"/>
          </w:tcPr>
          <w:p/>
        </w:tc>
        <w:tc>
          <w:tcPr>
            <w:tcW w:w="1312"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sz w:val="21"/>
                <w:szCs w:val="21"/>
              </w:rPr>
              <w:t>满意度</w:t>
            </w:r>
          </w:p>
        </w:tc>
        <w:tc>
          <w:tcPr>
            <w:tcW w:w="1388" w:type="dxa"/>
            <w:tcBorders>
              <w:tl2br w:val="nil"/>
              <w:tr2bl w:val="nil"/>
            </w:tcBorders>
            <w:noWrap/>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1"/>
                <w:szCs w:val="21"/>
                <w:u w:val="none"/>
                <w:lang w:val="en-US" w:eastAsia="zh-CN" w:bidi="ar"/>
              </w:rPr>
              <w:t>服务对象满意度指标</w:t>
            </w:r>
          </w:p>
        </w:tc>
        <w:tc>
          <w:tcPr>
            <w:tcW w:w="1875" w:type="dxa"/>
            <w:tcBorders>
              <w:tl2br w:val="nil"/>
              <w:tr2bl w:val="nil"/>
            </w:tcBorders>
            <w:noWrap/>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满意度</w:t>
            </w:r>
          </w:p>
        </w:tc>
        <w:tc>
          <w:tcPr>
            <w:tcW w:w="1837" w:type="dxa"/>
            <w:tcBorders>
              <w:tl2br w:val="nil"/>
              <w:tr2bl w:val="nil"/>
            </w:tcBorders>
            <w:noWrap/>
            <w:vAlign w:val="top"/>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走访调查</w:t>
            </w:r>
          </w:p>
        </w:tc>
        <w:tc>
          <w:tcPr>
            <w:tcW w:w="1669" w:type="dxa"/>
            <w:tcBorders>
              <w:tl2br w:val="nil"/>
              <w:tr2bl w:val="nil"/>
            </w:tcBorders>
            <w:vAlign w:val="top"/>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群众对教育工作的满意度</w:t>
            </w:r>
          </w:p>
        </w:tc>
        <w:tc>
          <w:tcPr>
            <w:tcW w:w="1088" w:type="dxa"/>
            <w:tcBorders>
              <w:tl2br w:val="nil"/>
              <w:tr2bl w:val="nil"/>
            </w:tcBorders>
            <w:vAlign w:val="top"/>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w:t>
            </w:r>
          </w:p>
        </w:tc>
        <w:tc>
          <w:tcPr>
            <w:tcW w:w="637" w:type="dxa"/>
            <w:tcBorders>
              <w:tl2br w:val="nil"/>
              <w:tr2bl w:val="nil"/>
            </w:tcBorders>
            <w:vAlign w:val="top"/>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90</w:t>
            </w:r>
          </w:p>
        </w:tc>
        <w:tc>
          <w:tcPr>
            <w:tcW w:w="1630" w:type="dxa"/>
            <w:tcBorders>
              <w:tl2br w:val="nil"/>
              <w:tr2bl w:val="nil"/>
            </w:tcBorders>
            <w:vAlign w:val="top"/>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trPr>
        <w:tc>
          <w:tcPr>
            <w:tcW w:w="1406" w:type="dxa"/>
            <w:tcBorders>
              <w:tl2br w:val="nil"/>
              <w:tr2bl w:val="nil"/>
            </w:tcBorders>
            <w:vAlign w:val="center"/>
          </w:tcPr>
          <w:p>
            <w:pPr>
              <w:adjustRightInd w:val="0"/>
              <w:snapToGrid w:val="0"/>
              <w:jc w:val="center"/>
            </w:pPr>
            <w:r>
              <w:rPr>
                <w:rFonts w:ascii="方正书宋_GBK" w:eastAsia="方正书宋_GBK"/>
              </w:rPr>
              <w:t>部门</w:t>
            </w:r>
            <w:r>
              <w:rPr>
                <w:rFonts w:hint="eastAsia" w:ascii="方正书宋_GBK" w:eastAsia="方正书宋_GBK"/>
              </w:rPr>
              <w:t>效果</w:t>
            </w:r>
          </w:p>
        </w:tc>
        <w:tc>
          <w:tcPr>
            <w:tcW w:w="1312"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1"/>
                <w:szCs w:val="21"/>
                <w:u w:val="none"/>
                <w:lang w:val="en-US" w:eastAsia="zh-CN" w:bidi="ar"/>
              </w:rPr>
              <w:t>社会效益指标</w:t>
            </w:r>
          </w:p>
        </w:tc>
        <w:tc>
          <w:tcPr>
            <w:tcW w:w="1388" w:type="dxa"/>
            <w:tcBorders>
              <w:tl2br w:val="nil"/>
              <w:tr2bl w:val="nil"/>
            </w:tcBorders>
            <w:noWrap/>
            <w:vAlign w:val="top"/>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教育教学质量</w:t>
            </w:r>
          </w:p>
        </w:tc>
        <w:tc>
          <w:tcPr>
            <w:tcW w:w="1875" w:type="dxa"/>
            <w:tcBorders>
              <w:tl2br w:val="nil"/>
              <w:tr2bl w:val="nil"/>
            </w:tcBorders>
            <w:noWrap/>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教学评估</w:t>
            </w:r>
          </w:p>
        </w:tc>
        <w:tc>
          <w:tcPr>
            <w:tcW w:w="1837" w:type="dxa"/>
            <w:tcBorders>
              <w:tl2br w:val="nil"/>
              <w:tr2bl w:val="nil"/>
            </w:tcBorders>
            <w:noWrap/>
            <w:vAlign w:val="top"/>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教育教学质量明显提升</w:t>
            </w:r>
          </w:p>
        </w:tc>
        <w:tc>
          <w:tcPr>
            <w:tcW w:w="1669" w:type="dxa"/>
            <w:tcBorders>
              <w:tl2br w:val="nil"/>
              <w:tr2bl w:val="nil"/>
            </w:tcBorders>
            <w:vAlign w:val="top"/>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文字描述</w:t>
            </w:r>
          </w:p>
        </w:tc>
        <w:tc>
          <w:tcPr>
            <w:tcW w:w="1088" w:type="dxa"/>
            <w:tcBorders>
              <w:tl2br w:val="nil"/>
              <w:tr2bl w:val="nil"/>
            </w:tcBorders>
            <w:vAlign w:val="center"/>
          </w:tcPr>
          <w:p>
            <w:pPr>
              <w:jc w:val="center"/>
              <w:rPr>
                <w:rFonts w:ascii="方正书宋_GBK" w:eastAsia="方正书宋_GBK"/>
              </w:rPr>
            </w:pPr>
          </w:p>
        </w:tc>
        <w:tc>
          <w:tcPr>
            <w:tcW w:w="637" w:type="dxa"/>
            <w:tcBorders>
              <w:tl2br w:val="nil"/>
              <w:tr2bl w:val="nil"/>
            </w:tcBorders>
            <w:vAlign w:val="top"/>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明显提升</w:t>
            </w:r>
          </w:p>
        </w:tc>
        <w:tc>
          <w:tcPr>
            <w:tcW w:w="163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1"/>
                <w:szCs w:val="21"/>
                <w:u w:val="none"/>
                <w:lang w:val="en-US" w:eastAsia="zh-CN" w:bidi="ar"/>
              </w:rPr>
              <w:t>社会效益指标</w:t>
            </w:r>
          </w:p>
        </w:tc>
      </w:tr>
    </w:tbl>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p>
      <w:pPr>
        <w:spacing w:line="584" w:lineRule="exact"/>
        <w:rPr>
          <w:rFonts w:ascii="仿宋_GB2312" w:eastAsia="仿宋_GB2312" w:cs="Times New Roman"/>
          <w:sz w:val="32"/>
          <w:szCs w:val="32"/>
        </w:rPr>
      </w:pPr>
    </w:p>
    <w:p>
      <w:pPr>
        <w:numPr>
          <w:ilvl w:val="0"/>
          <w:numId w:val="2"/>
        </w:numPr>
        <w:spacing w:line="584"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2018-2021年人事代理教师项目</w:t>
      </w:r>
      <w:r>
        <w:rPr>
          <w:rFonts w:ascii="Times New Roman" w:hAnsi="Times New Roman" w:eastAsia="仿宋_GB2312" w:cs="Times New Roman"/>
          <w:sz w:val="28"/>
        </w:rPr>
        <w:t>绩效目标表</w:t>
      </w:r>
      <w:bookmarkStart w:id="0" w:name="_Toc29799657"/>
      <w:bookmarkEnd w:id="0"/>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996"/>
        <w:gridCol w:w="2063"/>
        <w:gridCol w:w="2416"/>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w:t>
            </w:r>
            <w:r>
              <w:rPr>
                <w:rFonts w:hint="eastAsia" w:ascii="宋体" w:hAnsi="宋体" w:eastAsia="宋体" w:cs="宋体"/>
                <w:i w:val="0"/>
                <w:iCs w:val="0"/>
                <w:color w:val="000000"/>
                <w:sz w:val="18"/>
                <w:szCs w:val="18"/>
                <w:u w:val="none"/>
              </w:rPr>
              <w:t>13102522P00869010001</w:t>
            </w:r>
            <w:r>
              <w:rPr>
                <w:rFonts w:hint="eastAsia" w:ascii="宋体" w:hAnsi="宋体" w:cs="宋体"/>
                <w:i w:val="0"/>
                <w:iCs w:val="0"/>
                <w:color w:val="000000"/>
                <w:sz w:val="18"/>
                <w:szCs w:val="18"/>
                <w:u w:val="none"/>
                <w:lang w:val="en-US" w:eastAsia="zh-CN"/>
              </w:rPr>
              <w:t>]</w:t>
            </w:r>
            <w:r>
              <w:rPr>
                <w:rFonts w:hint="eastAsia" w:ascii="宋体" w:hAnsi="宋体" w:eastAsia="宋体" w:cs="宋体"/>
                <w:i w:val="0"/>
                <w:iCs w:val="0"/>
                <w:color w:val="000000"/>
                <w:sz w:val="18"/>
                <w:szCs w:val="18"/>
                <w:u w:val="none"/>
              </w:rPr>
              <w:t>P2018-2021年人事代理教师项目</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[360]大城县教育和体育局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[360166]大城县留各庄镇大汪中心小学</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77万元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用于我单位人事代理教师工资待遇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30%</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80%</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99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1.主要用于人员工资福利等支出，保障办公正常运转。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099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0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4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0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数量指标</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保障人数</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保障人数</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default" w:ascii="宋体" w:hAnsi="宋体" w:eastAsia="宋体" w:cs="宋体"/>
                <w:i w:val="0"/>
                <w:iCs w:val="0"/>
                <w:color w:val="000000"/>
                <w:sz w:val="18"/>
                <w:szCs w:val="18"/>
                <w:u w:val="none"/>
                <w:lang w:val="en-US" w:eastAsia="zh-CN"/>
              </w:rPr>
              <w:t>1</w:t>
            </w:r>
            <w:r>
              <w:rPr>
                <w:rFonts w:hint="eastAsia" w:ascii="宋体" w:hAnsi="宋体" w:cs="宋体"/>
                <w:i w:val="0"/>
                <w:iCs w:val="0"/>
                <w:color w:val="000000"/>
                <w:sz w:val="18"/>
                <w:szCs w:val="18"/>
                <w:u w:val="none"/>
                <w:lang w:val="en-US" w:eastAsia="zh-CN"/>
              </w:rPr>
              <w:t>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人</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质量指标</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工资(福利)等发放精准性</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工资福利等发放人员范围的精准性和发放数据的准确性</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时效指标</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社会保障（公积金）缴纳的及时性</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社会保障（公积金）等发放的时效情况</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按规定时间缴纳</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成本指标</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工资（福利）、社会保障（公积金）等发放（缴纳）标准</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工资（福利）、社会保障（公积金）等发放（缴纳）标准</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按规定执行</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社会效益指标</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加强工作人员归属感，保持干部队伍稳定</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通过按时按标准发放工资福利等，进一步增强干部职工得归属感，保持干部队伍相对稳定，保障办公正常运转</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保持干部队伍相对稳定</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服务对象满意度指标</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单位人员满意度</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单位人员对工资福利等发放工作的满意程度</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p>
        </w:tc>
      </w:tr>
    </w:tbl>
    <w:p>
      <w:pPr>
        <w:numPr>
          <w:ilvl w:val="0"/>
          <w:numId w:val="3"/>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人事代理教师管理费</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[13102522P00984310002A]人事代理教师管理费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[360]大城县教育和体育局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[360166]大城县留各庄镇大汪中心小学</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0.72万元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用于人事代理教师管理费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30%</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50%</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80%</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人事代理教师管理费</w:t>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老师</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教师人数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default" w:ascii="宋体" w:hAnsi="宋体" w:eastAsia="宋体" w:cs="宋体"/>
                <w:i w:val="0"/>
                <w:iCs w:val="0"/>
                <w:color w:val="000000"/>
                <w:sz w:val="18"/>
                <w:szCs w:val="18"/>
                <w:u w:val="none"/>
                <w:lang w:val="en-US" w:eastAsia="zh-CN"/>
              </w:rPr>
              <w:t>1</w:t>
            </w:r>
            <w:r>
              <w:rPr>
                <w:rFonts w:hint="eastAsia" w:ascii="宋体" w:hAnsi="宋体" w:cs="宋体"/>
                <w:i w:val="0"/>
                <w:iCs w:val="0"/>
                <w:color w:val="000000"/>
                <w:sz w:val="18"/>
                <w:szCs w:val="18"/>
                <w:u w:val="none"/>
                <w:lang w:val="en-US" w:eastAsia="zh-CN"/>
              </w:rPr>
              <w:t>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人</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完整率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档案保存率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100</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档案保存情况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及时率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档案查询及时率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100</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档案保存情况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费用</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管理费用</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default" w:ascii="宋体" w:hAnsi="宋体" w:eastAsia="宋体" w:cs="宋体"/>
                <w:i w:val="0"/>
                <w:iCs w:val="0"/>
                <w:color w:val="000000"/>
                <w:sz w:val="18"/>
                <w:szCs w:val="18"/>
                <w:u w:val="none"/>
                <w:lang w:val="en-US" w:eastAsia="zh-CN"/>
              </w:rPr>
              <w:t>0.</w:t>
            </w:r>
            <w:r>
              <w:rPr>
                <w:rFonts w:hint="eastAsia" w:ascii="宋体" w:hAnsi="宋体" w:cs="宋体"/>
                <w:i w:val="0"/>
                <w:iCs w:val="0"/>
                <w:color w:val="000000"/>
                <w:sz w:val="18"/>
                <w:szCs w:val="18"/>
                <w:u w:val="none"/>
                <w:lang w:val="en-US" w:eastAsia="zh-CN"/>
              </w:rPr>
              <w:t>72</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万元</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每人每月60元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经济效益指标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加强稳定性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加强稳定性</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保证队伍稳定性</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老师满意的</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教师满意度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numPr>
          <w:ilvl w:val="0"/>
          <w:numId w:val="3"/>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大汪中心学校运动场及地面硬化工程</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rPr>
              <w:t>[13102522P00002310002N]2018年部分中小学运动场及地面硬化—大汪中心学校运动场及地面硬化工程</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[360]大城县教育和体育局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rPr>
              <w:t>[360192]大城县留各庄镇大汪中心小学</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rPr>
              <w:t>2018年部分中小学运动场及地面硬化—大汪中心学校运动场及地面硬化工程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30%</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50%</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80%</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rPr>
              <w:t>用于保证学校运动场正常使用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面积数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运动场地硬化面积</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5000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平方米</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工程项目合同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项目验收合格率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按时完工</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工程按合同约定完工</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按时完工</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预算执行</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按预算执行</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不超预算支出</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预算执行情况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投入使用</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运动场投入使用</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正常投入使用</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工程完工投入使用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师生满意度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满意度调查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校未安排采购项目</w:t>
      </w:r>
      <w:r>
        <w:rPr>
          <w:rFonts w:ascii="Times New Roman" w:hAnsi="Times New Roman" w:eastAsia="仿宋_GB2312" w:cs="Times New Roman"/>
          <w:sz w:val="32"/>
          <w:szCs w:val="24"/>
        </w:rPr>
        <w:t>。</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eastAsia="zh-CN"/>
              </w:rPr>
              <w:t>大城县留各庄镇大汪中心小学</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我校</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305.73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3.78</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主要为计算机设备、打印设备等。</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大城县</w:t>
            </w:r>
            <w:r>
              <w:rPr>
                <w:rFonts w:hint="eastAsia" w:ascii="Times New Roman" w:hAnsi="Times New Roman" w:eastAsia="仿宋_GB2312" w:cs="Times New Roman"/>
                <w:kern w:val="0"/>
                <w:sz w:val="22"/>
              </w:rPr>
              <w:t>留各庄镇大汪中心小学</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305.73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1311.4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99.41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206.32</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val="en-US" w:eastAsia="zh-CN"/>
        </w:rPr>
        <w:t>县</w:t>
      </w:r>
      <w:bookmarkStart w:id="3" w:name="_GoBack"/>
      <w:bookmarkEnd w:id="3"/>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校</w:t>
      </w:r>
      <w:r>
        <w:rPr>
          <w:rFonts w:ascii="Times New Roman" w:hAnsi="Times New Roman" w:eastAsia="仿宋_GB2312" w:cs="Times New Roman"/>
          <w:sz w:val="32"/>
          <w:szCs w:val="32"/>
        </w:rPr>
        <w:t>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7631FF"/>
    <w:multiLevelType w:val="singleLevel"/>
    <w:tmpl w:val="ED7631FF"/>
    <w:lvl w:ilvl="0" w:tentative="0">
      <w:start w:val="2"/>
      <w:numFmt w:val="decimal"/>
      <w:lvlText w:val="%1."/>
      <w:lvlJc w:val="left"/>
      <w:pPr>
        <w:tabs>
          <w:tab w:val="left" w:pos="312"/>
        </w:tabs>
      </w:pPr>
    </w:lvl>
  </w:abstractNum>
  <w:abstractNum w:abstractNumId="1">
    <w:nsid w:val="3EA97FD6"/>
    <w:multiLevelType w:val="singleLevel"/>
    <w:tmpl w:val="3EA97FD6"/>
    <w:lvl w:ilvl="0" w:tentative="0">
      <w:start w:val="4"/>
      <w:numFmt w:val="chineseCounting"/>
      <w:suff w:val="nothing"/>
      <w:lvlText w:val="（%1）"/>
      <w:lvlJc w:val="left"/>
      <w:rPr>
        <w:rFonts w:hint="eastAsia"/>
      </w:rPr>
    </w:lvl>
  </w:abstractNum>
  <w:abstractNum w:abstractNumId="2">
    <w:nsid w:val="515E144E"/>
    <w:multiLevelType w:val="singleLevel"/>
    <w:tmpl w:val="515E144E"/>
    <w:lvl w:ilvl="0" w:tentative="0">
      <w:start w:val="2"/>
      <w:numFmt w:val="chineseCounting"/>
      <w:suff w:val="space"/>
      <w:lvlText w:val="第%1部分"/>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0MzMyNGJiMDEzODc5ODNlMGVjODViOWRkZjg1MDgifQ=="/>
  </w:docVars>
  <w:rsids>
    <w:rsidRoot w:val="00D347CC"/>
    <w:rsid w:val="004A54AA"/>
    <w:rsid w:val="00B80935"/>
    <w:rsid w:val="00D347CC"/>
    <w:rsid w:val="02732F88"/>
    <w:rsid w:val="082D3E34"/>
    <w:rsid w:val="08D15818"/>
    <w:rsid w:val="0CF44B8E"/>
    <w:rsid w:val="0D5E3589"/>
    <w:rsid w:val="0F58107F"/>
    <w:rsid w:val="111319FC"/>
    <w:rsid w:val="16206EB6"/>
    <w:rsid w:val="244B227A"/>
    <w:rsid w:val="319F3036"/>
    <w:rsid w:val="34B025C1"/>
    <w:rsid w:val="3F0D3B29"/>
    <w:rsid w:val="3F8A033F"/>
    <w:rsid w:val="46E71798"/>
    <w:rsid w:val="4D886353"/>
    <w:rsid w:val="4F00210D"/>
    <w:rsid w:val="4F750978"/>
    <w:rsid w:val="503268C7"/>
    <w:rsid w:val="50DD0F9C"/>
    <w:rsid w:val="55E73D2F"/>
    <w:rsid w:val="608B0B6E"/>
    <w:rsid w:val="60BA26A0"/>
    <w:rsid w:val="687C0C91"/>
    <w:rsid w:val="6D0D4676"/>
    <w:rsid w:val="6D686D7A"/>
    <w:rsid w:val="6E7F4130"/>
    <w:rsid w:val="7A3A3474"/>
    <w:rsid w:val="7A411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Normal]"/>
    <w:qFormat/>
    <w:uiPriority w:val="0"/>
    <w:pPr>
      <w:widowControl w:val="0"/>
    </w:pPr>
    <w:rPr>
      <w:rFonts w:ascii="宋体" w:hAnsi="宋体" w:eastAsia="宋体" w:cs="宋体"/>
      <w:sz w:val="24"/>
      <w:szCs w:val="22"/>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5156</Words>
  <Characters>5499</Characters>
  <Lines>23</Lines>
  <Paragraphs>6</Paragraphs>
  <TotalTime>0</TotalTime>
  <ScaleCrop>false</ScaleCrop>
  <LinksUpToDate>false</LinksUpToDate>
  <CharactersWithSpaces>5514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ASUS</cp:lastModifiedBy>
  <cp:lastPrinted>2022-03-28T07:13:00Z</cp:lastPrinted>
  <dcterms:modified xsi:type="dcterms:W3CDTF">2022-07-28T08:59:08Z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E8F324BF07EC42B0B2159CBB4BE17433</vt:lpwstr>
  </property>
</Properties>
</file>