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84" w:lineRule="exact"/>
        <w:ind w:firstLineChars="200" w:firstLine="880"/>
        <w:jc w:val="center"/>
        <w:rPr>
          <w:rFonts w:ascii="Times New Roman" w:eastAsia="仿宋_GB2312" w:cs="Times New Roman" w:hAnsi="Times New Roman"/>
          <w:sz w:val="44"/>
          <w:szCs w:val="44"/>
        </w:rPr>
      </w:pPr>
    </w:p>
    <w:p>
      <w:pPr>
        <w:spacing w:line="584" w:lineRule="exact"/>
        <w:ind w:firstLineChars="200" w:firstLine="880"/>
        <w:jc w:val="center"/>
        <w:rPr>
          <w:rFonts w:ascii="Times New Roman" w:eastAsia="仿宋_GB2312" w:cs="Times New Roman" w:hAnsi="Times New Roman"/>
          <w:sz w:val="44"/>
          <w:szCs w:val="44"/>
        </w:rPr>
      </w:pPr>
    </w:p>
    <w:p>
      <w:pPr>
        <w:spacing w:line="584" w:lineRule="exact"/>
        <w:ind w:firstLineChars="200" w:firstLine="880"/>
        <w:jc w:val="center"/>
        <w:rPr>
          <w:rFonts w:ascii="Times New Roman" w:eastAsia="方正小标宋简体" w:cs="Times New Roman" w:hAnsi="Times New Roman"/>
          <w:sz w:val="44"/>
          <w:szCs w:val="44"/>
        </w:rPr>
      </w:pPr>
      <w:r>
        <w:rPr>
          <w:rFonts w:ascii="Times New Roman" w:eastAsia="方正小标宋简体" w:cs="Times New Roman" w:hAnsi="Times New Roman" w:hint="eastAsia"/>
          <w:sz w:val="44"/>
          <w:szCs w:val="44"/>
          <w:lang w:eastAsia="zh-CN"/>
        </w:rPr>
        <w:t>大城县</w:t>
      </w:r>
      <w:r>
        <w:rPr>
          <w:rFonts w:ascii="Times New Roman" w:eastAsia="方正小标宋简体" w:cs="Times New Roman" w:hAnsi="Times New Roman" w:hint="eastAsia"/>
          <w:sz w:val="44"/>
          <w:szCs w:val="44"/>
          <w:lang w:val="en-US" w:eastAsia="zh-CN"/>
        </w:rPr>
        <w:t>水务局</w:t>
      </w:r>
      <w:r>
        <w:rPr>
          <w:rFonts w:ascii="Times New Roman" w:eastAsia="方正小标宋简体" w:cs="Times New Roman" w:hAnsi="Times New Roman"/>
          <w:sz w:val="44"/>
          <w:szCs w:val="44"/>
        </w:rPr>
        <w:t>20</w:t>
      </w:r>
      <w:r>
        <w:rPr>
          <w:rFonts w:ascii="Times New Roman" w:eastAsia="方正小标宋简体" w:cs="Times New Roman" w:hAnsi="Times New Roman" w:hint="eastAsia"/>
          <w:sz w:val="44"/>
          <w:szCs w:val="44"/>
        </w:rPr>
        <w:t>2</w:t>
      </w:r>
      <w:r>
        <w:rPr>
          <w:rFonts w:ascii="Times New Roman" w:eastAsia="方正小标宋简体" w:cs="Times New Roman" w:hAnsi="Times New Roman" w:hint="eastAsia"/>
          <w:sz w:val="44"/>
          <w:szCs w:val="44"/>
          <w:lang w:val="en-US" w:eastAsia="zh-CN"/>
        </w:rPr>
        <w:t>2</w:t>
      </w:r>
      <w:r>
        <w:rPr>
          <w:rFonts w:ascii="Times New Roman" w:eastAsia="方正小标宋简体" w:cs="Times New Roman" w:hAnsi="Times New Roman"/>
          <w:sz w:val="44"/>
          <w:szCs w:val="44"/>
        </w:rPr>
        <w:t>年部门预算信息公开</w:t>
      </w:r>
      <w:r>
        <w:rPr>
          <w:rFonts w:ascii="Times New Roman" w:eastAsia="方正小标宋简体" w:cs="Times New Roman" w:hAnsi="Times New Roman" w:hint="eastAsia"/>
          <w:sz w:val="44"/>
          <w:szCs w:val="44"/>
        </w:rPr>
        <w:t>情况说明</w:t>
      </w:r>
    </w:p>
    <w:p>
      <w:pPr>
        <w:spacing w:line="584" w:lineRule="exact"/>
        <w:ind w:firstLineChars="200" w:firstLine="880"/>
        <w:jc w:val="center"/>
        <w:rPr>
          <w:rFonts w:ascii="Times New Roman" w:eastAsia="仿宋_GB2312" w:cs="Times New Roman" w:hAnsi="Times New Roman"/>
          <w:sz w:val="44"/>
          <w:szCs w:val="44"/>
        </w:rPr>
      </w:pPr>
    </w:p>
    <w:p>
      <w:pPr>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按照《中华人民共和国预算法》、《中华人民共和国预算法实施条例》、《地方预决算公开操作规程》和《河北省省级预算公开办法》规定，现将</w:t>
      </w:r>
      <w:r>
        <w:rPr>
          <w:rFonts w:ascii="Times New Roman" w:eastAsia="仿宋_GB2312" w:cs="Times New Roman" w:hAnsi="Times New Roman" w:hint="eastAsia"/>
          <w:sz w:val="32"/>
          <w:szCs w:val="32"/>
          <w:lang w:eastAsia="zh-CN"/>
        </w:rPr>
        <w:t>大城县</w:t>
      </w:r>
      <w:r>
        <w:rPr>
          <w:rFonts w:ascii="Times New Roman" w:eastAsia="仿宋_GB2312" w:cs="Times New Roman" w:hAnsi="Times New Roman" w:hint="eastAsia"/>
          <w:sz w:val="32"/>
          <w:szCs w:val="32"/>
          <w:lang w:val="en-US" w:eastAsia="zh-CN"/>
        </w:rPr>
        <w:t>水务局</w:t>
      </w:r>
      <w:r>
        <w:rPr>
          <w:rFonts w:ascii="Times New Roman" w:eastAsia="仿宋_GB2312" w:cs="Times New Roman" w:hAnsi="Times New Roman"/>
          <w:sz w:val="32"/>
          <w:szCs w:val="32"/>
        </w:rPr>
        <w:t>20</w:t>
      </w:r>
      <w:r>
        <w:rPr>
          <w:rFonts w:ascii="Times New Roman" w:eastAsia="仿宋_GB2312" w:cs="Times New Roman" w:hAnsi="Times New Roman" w:hint="eastAsia"/>
          <w:sz w:val="32"/>
          <w:szCs w:val="32"/>
        </w:rPr>
        <w:t>2</w:t>
      </w:r>
      <w:r>
        <w:rPr>
          <w:rFonts w:ascii="Times New Roman" w:eastAsia="仿宋_GB2312" w:cs="Times New Roman" w:hAnsi="Times New Roman" w:hint="eastAsia"/>
          <w:sz w:val="32"/>
          <w:szCs w:val="32"/>
          <w:lang w:val="en-US" w:eastAsia="zh-CN"/>
        </w:rPr>
        <w:t>2</w:t>
      </w:r>
      <w:r>
        <w:rPr>
          <w:rFonts w:ascii="Times New Roman" w:eastAsia="仿宋_GB2312" w:cs="Times New Roman" w:hAnsi="Times New Roman"/>
          <w:sz w:val="32"/>
          <w:szCs w:val="32"/>
        </w:rPr>
        <w:t>年部门预算公开如下：</w:t>
      </w:r>
    </w:p>
    <w:p>
      <w:pPr>
        <w:spacing w:line="584"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一、部门职责及机构设置情况</w:t>
      </w:r>
    </w:p>
    <w:p>
      <w:pPr>
        <w:spacing w:line="584" w:lineRule="exact"/>
        <w:ind w:firstLineChars="200" w:firstLine="640"/>
        <w:rPr>
          <w:rFonts w:ascii="Times New Roman" w:eastAsia="楷体_GB2312" w:cs="Times New Roman" w:hAnsi="Times New Roman"/>
          <w:b/>
          <w:sz w:val="32"/>
          <w:szCs w:val="32"/>
        </w:rPr>
      </w:pPr>
      <w:r>
        <w:rPr>
          <w:rFonts w:ascii="Times New Roman" w:eastAsia="楷体_GB2312" w:cs="Times New Roman" w:hAnsi="Times New Roman"/>
          <w:b/>
          <w:sz w:val="32"/>
          <w:szCs w:val="32"/>
        </w:rPr>
        <w:t>部门职责：</w:t>
      </w:r>
    </w:p>
    <w:p>
      <w:pPr>
        <w:spacing w:line="235" w:lineRule="auto"/>
        <w:ind w:firstLineChars="200" w:firstLine="640"/>
        <w:rPr>
          <w:rFonts w:ascii="仿宋_GB2312" w:eastAsia="仿宋_GB2312" w:cs="仿宋_GB2312" w:hint="eastAsia"/>
          <w:color w:val="auto"/>
          <w:sz w:val="32"/>
          <w:szCs w:val="32"/>
          <w:lang w:bidi="ar-SA"/>
        </w:rPr>
      </w:pPr>
      <w:r>
        <w:rPr>
          <w:rFonts w:ascii="仿宋_GB2312" w:eastAsia="仿宋_GB2312" w:cs="仿宋_GB2312" w:hint="eastAsia"/>
          <w:sz w:val="32"/>
          <w:szCs w:val="32"/>
          <w:lang w:bidi="ar-SA"/>
        </w:rPr>
        <w:t>1、负责保障水资源的合理开发利用。拟订水利战略规划和政策，起草水利有关规范性文件，组织编制全县水资源战略规划、重要江河湖泊流域综合规划、防洪规划等重大水利规划。</w:t>
      </w:r>
    </w:p>
    <w:p>
      <w:pPr>
        <w:spacing w:line="235" w:lineRule="auto"/>
        <w:ind w:firstLineChars="200" w:firstLine="640"/>
        <w:rPr>
          <w:rFonts w:ascii="仿宋_GB2312" w:eastAsia="仿宋_GB2312" w:cs="仿宋_GB2312" w:hint="eastAsia"/>
          <w:color w:val="auto"/>
          <w:sz w:val="32"/>
          <w:szCs w:val="32"/>
          <w:lang w:bidi="ar-SA"/>
        </w:rPr>
      </w:pPr>
      <w:r>
        <w:rPr>
          <w:rFonts w:ascii="仿宋_GB2312" w:eastAsia="仿宋_GB2312" w:cs="仿宋_GB2312" w:hint="eastAsia"/>
          <w:color w:val="auto"/>
          <w:sz w:val="32"/>
          <w:szCs w:val="32"/>
          <w:lang w:bidi="ar-SA"/>
        </w:rPr>
        <w:t>2、负责生活、生产经营和生态环境用水的统筹和协调。组织实施最严格水资源管理制度，实施水资源的统一监督管理，拟订全县水中长期供求规划、水量分配方案并监督实施，负责重要流域、区域以及重大调水工程的水资源调度。组织实施取水许可、水资源论证和防洪论证制度，指导开展水资源有偿使用工作。指导城镇和农村供水</w:t>
      </w:r>
      <w:r>
        <w:rPr>
          <w:rFonts w:ascii="仿宋_GB2312" w:eastAsia="仿宋_GB2312" w:cs="仿宋_GB2312" w:hint="eastAsia"/>
          <w:color w:val="auto"/>
          <w:sz w:val="32"/>
          <w:szCs w:val="32"/>
          <w:lang w:eastAsia="zh-CN" w:bidi="ar-SA"/>
        </w:rPr>
        <w:t>工作</w:t>
      </w:r>
      <w:r>
        <w:rPr>
          <w:rFonts w:ascii="仿宋_GB2312" w:eastAsia="仿宋_GB2312" w:cs="仿宋_GB2312" w:hint="eastAsia"/>
          <w:color w:val="auto"/>
          <w:sz w:val="32"/>
          <w:szCs w:val="32"/>
          <w:lang w:bidi="ar-SA"/>
        </w:rPr>
        <w:t>。</w:t>
      </w:r>
    </w:p>
    <w:p>
      <w:pPr>
        <w:spacing w:line="235" w:lineRule="auto"/>
        <w:ind w:firstLineChars="200" w:firstLine="640"/>
        <w:rPr>
          <w:rFonts w:ascii="仿宋_GB2312" w:eastAsia="仿宋_GB2312" w:cs="仿宋_GB2312" w:hint="eastAsia"/>
          <w:color w:val="auto"/>
          <w:sz w:val="32"/>
          <w:szCs w:val="32"/>
          <w:lang w:bidi="ar-SA"/>
        </w:rPr>
      </w:pPr>
      <w:r>
        <w:rPr>
          <w:rFonts w:ascii="仿宋_GB2312" w:eastAsia="仿宋_GB2312" w:cs="仿宋_GB2312" w:hint="eastAsia"/>
          <w:color w:val="auto"/>
          <w:sz w:val="32"/>
          <w:szCs w:val="32"/>
          <w:lang w:bidi="ar-SA"/>
        </w:rPr>
        <w:t>3、按规定制定水利工程建设有关制度并组织实施，负责提出县级水利固定资产投资规模、方向、具体安排建议并组织指导实施，按权限审批、核准县规划内和年度计划规模内固定资产投资项目，提出县级水利资金安排建议并负责项目实施的监督管理。</w:t>
      </w:r>
    </w:p>
    <w:p>
      <w:pPr>
        <w:spacing w:line="235" w:lineRule="auto"/>
        <w:ind w:firstLineChars="200" w:firstLine="640"/>
        <w:rPr>
          <w:rFonts w:ascii="仿宋_GB2312" w:eastAsia="仿宋_GB2312" w:cs="仿宋_GB2312" w:hint="eastAsia"/>
          <w:color w:val="auto"/>
          <w:sz w:val="32"/>
          <w:szCs w:val="32"/>
          <w:lang w:bidi="ar-SA"/>
        </w:rPr>
      </w:pPr>
      <w:r>
        <w:rPr>
          <w:rFonts w:ascii="仿宋_GB2312" w:eastAsia="仿宋_GB2312" w:cs="仿宋_GB2312" w:hint="eastAsia"/>
          <w:color w:val="auto"/>
          <w:sz w:val="32"/>
          <w:szCs w:val="32"/>
          <w:lang w:bidi="ar-SA"/>
        </w:rPr>
        <w:t>4、指导水资源保护工作。组织编制并实施水资源保护规划。指导饮用水水源保护有关工作，指导地下水开发利用和地下水资源管理保护。组织指导地下水超采区综合治理。</w:t>
      </w:r>
    </w:p>
    <w:p>
      <w:pPr>
        <w:spacing w:line="235" w:lineRule="auto"/>
        <w:ind w:firstLineChars="200" w:firstLine="640"/>
        <w:rPr>
          <w:rFonts w:ascii="仿宋_GB2312" w:eastAsia="仿宋_GB2312" w:cs="仿宋_GB2312" w:hint="eastAsia"/>
          <w:color w:val="auto"/>
          <w:sz w:val="32"/>
          <w:szCs w:val="32"/>
          <w:lang w:bidi="ar-SA"/>
        </w:rPr>
      </w:pPr>
      <w:r>
        <w:rPr>
          <w:rFonts w:ascii="仿宋_GB2312" w:eastAsia="仿宋_GB2312" w:cs="仿宋_GB2312" w:hint="eastAsia"/>
          <w:color w:val="auto"/>
          <w:sz w:val="32"/>
          <w:szCs w:val="32"/>
          <w:lang w:bidi="ar-SA"/>
        </w:rPr>
        <w:t>5、负责节约用水工作。拟订节约用水政策，组织编制节约用水规划并监督实施，组织制定有关标准，组织实施用水总量控制等管理制度，指导和推动节水型社会建设工作。</w:t>
      </w:r>
    </w:p>
    <w:p>
      <w:pPr>
        <w:spacing w:line="235" w:lineRule="auto"/>
        <w:ind w:firstLineChars="200" w:firstLine="640"/>
        <w:rPr>
          <w:rFonts w:ascii="仿宋_GB2312" w:eastAsia="仿宋_GB2312" w:cs="仿宋_GB2312" w:hint="eastAsia"/>
          <w:color w:val="auto"/>
          <w:sz w:val="32"/>
          <w:szCs w:val="32"/>
          <w:lang w:bidi="ar-SA"/>
        </w:rPr>
      </w:pPr>
      <w:r>
        <w:rPr>
          <w:rFonts w:ascii="仿宋_GB2312" w:eastAsia="仿宋_GB2312" w:cs="仿宋_GB2312" w:hint="eastAsia"/>
          <w:color w:val="auto"/>
          <w:sz w:val="32"/>
          <w:szCs w:val="32"/>
          <w:lang w:bidi="ar-SA"/>
        </w:rPr>
        <w:t>6、指导水利设施、水域及其岸线的管理、保护与综合利用。组织指导水利基础设施网络建设。指导重要江河湖泊及河口的治理、开发和保护。指导河湖水生态保护与修复、河湖生态流量水量管理以及河湖水系连通工作。</w:t>
      </w:r>
    </w:p>
    <w:p>
      <w:pPr>
        <w:spacing w:line="235" w:lineRule="auto"/>
        <w:ind w:firstLineChars="200" w:firstLine="640"/>
        <w:rPr>
          <w:rFonts w:ascii="仿宋_GB2312" w:eastAsia="仿宋_GB2312" w:cs="仿宋_GB2312" w:hint="eastAsia"/>
          <w:color w:val="auto"/>
          <w:sz w:val="32"/>
          <w:szCs w:val="32"/>
          <w:lang w:bidi="ar-SA"/>
        </w:rPr>
      </w:pPr>
      <w:r>
        <w:rPr>
          <w:rFonts w:ascii="仿宋_GB2312" w:eastAsia="仿宋_GB2312" w:cs="仿宋_GB2312" w:hint="eastAsia"/>
          <w:color w:val="auto"/>
          <w:sz w:val="32"/>
          <w:szCs w:val="32"/>
          <w:lang w:bidi="ar-SA"/>
        </w:rPr>
        <w:t>7、指导监督水利工程建设与运行管理。组织实施具有控制性的和跨区域跨流域的重要水利工程建设与运行管理。组织并协调落实南水北调配套工程建设的有关工作，组织工程验收有关工作，指导地方配套工程建设。</w:t>
      </w:r>
    </w:p>
    <w:p>
      <w:pPr>
        <w:spacing w:line="235" w:lineRule="auto"/>
        <w:ind w:firstLineChars="200" w:firstLine="640"/>
        <w:rPr>
          <w:rFonts w:ascii="仿宋_GB2312" w:eastAsia="仿宋_GB2312" w:cs="仿宋_GB2312" w:hint="eastAsia"/>
          <w:color w:val="auto"/>
          <w:sz w:val="32"/>
          <w:szCs w:val="32"/>
          <w:lang w:bidi="ar-SA"/>
        </w:rPr>
      </w:pPr>
      <w:r>
        <w:rPr>
          <w:rFonts w:ascii="仿宋_GB2312" w:eastAsia="仿宋_GB2312" w:cs="仿宋_GB2312" w:hint="eastAsia"/>
          <w:color w:val="auto"/>
          <w:sz w:val="32"/>
          <w:szCs w:val="32"/>
          <w:lang w:bidi="ar-SA"/>
        </w:rPr>
        <w:t>8、负责水土保持工作。拟订水土保持规划并监督实施，组织实施水土流失的综合防治。负责建设项目水土保持监督管理工作，指导重点水土保持建设项目的实施。</w:t>
      </w:r>
    </w:p>
    <w:p>
      <w:pPr>
        <w:spacing w:line="235" w:lineRule="auto"/>
        <w:ind w:firstLineChars="200" w:firstLine="640"/>
        <w:rPr>
          <w:rFonts w:ascii="仿宋_GB2312" w:eastAsia="仿宋_GB2312" w:cs="仿宋_GB2312" w:hint="eastAsia"/>
          <w:color w:val="auto"/>
          <w:sz w:val="32"/>
          <w:szCs w:val="32"/>
          <w:lang w:bidi="ar-SA"/>
        </w:rPr>
      </w:pPr>
      <w:r>
        <w:rPr>
          <w:rFonts w:ascii="仿宋_GB2312" w:eastAsia="仿宋_GB2312" w:cs="仿宋_GB2312" w:hint="eastAsia"/>
          <w:color w:val="auto"/>
          <w:sz w:val="32"/>
          <w:szCs w:val="32"/>
          <w:lang w:bidi="ar-SA"/>
        </w:rPr>
        <w:t>9、指导农村水利工作。组织开展大中型灌排工程建设与改造。指导农村饮水安全工程建设管理工作，指导节水灌溉有关工作。指导农村水利改革创新和社会化服务体系建设。</w:t>
      </w:r>
    </w:p>
    <w:p>
      <w:pPr>
        <w:spacing w:line="235" w:lineRule="auto"/>
        <w:ind w:firstLineChars="200" w:firstLine="640"/>
        <w:rPr>
          <w:rFonts w:ascii="仿宋_GB2312" w:eastAsia="仿宋_GB2312" w:cs="仿宋_GB2312" w:hint="eastAsia"/>
          <w:color w:val="auto"/>
          <w:sz w:val="32"/>
          <w:szCs w:val="32"/>
          <w:lang w:bidi="ar-SA"/>
        </w:rPr>
      </w:pPr>
      <w:r>
        <w:rPr>
          <w:rFonts w:ascii="仿宋_GB2312" w:eastAsia="仿宋_GB2312" w:cs="仿宋_GB2312" w:hint="eastAsia"/>
          <w:color w:val="auto"/>
          <w:sz w:val="32"/>
          <w:szCs w:val="32"/>
          <w:lang w:bidi="ar-SA"/>
        </w:rPr>
        <w:t>10、指导水库、水电工程移民管理工作。拟订水库、水电工程移民有关政策并监督实施，组织实施移民安置验收、监督评估等制度。指导监督水库移民后期扶持政策的实施。</w:t>
      </w:r>
    </w:p>
    <w:p>
      <w:pPr>
        <w:spacing w:line="235" w:lineRule="auto"/>
        <w:ind w:firstLineChars="200" w:firstLine="640"/>
        <w:rPr>
          <w:rFonts w:ascii="仿宋_GB2312" w:eastAsia="仿宋_GB2312" w:cs="仿宋_GB2312" w:hint="eastAsia"/>
          <w:color w:val="auto"/>
          <w:sz w:val="32"/>
          <w:szCs w:val="32"/>
          <w:lang w:bidi="ar-SA"/>
        </w:rPr>
      </w:pPr>
      <w:r>
        <w:rPr>
          <w:rFonts w:ascii="仿宋_GB2312" w:eastAsia="仿宋_GB2312" w:cs="仿宋_GB2312" w:hint="eastAsia"/>
          <w:color w:val="auto"/>
          <w:sz w:val="32"/>
          <w:szCs w:val="32"/>
          <w:lang w:bidi="ar-SA"/>
        </w:rPr>
        <w:t>11、负责重大涉水违法事件的查处，协调和仲裁跨镇(区)水事纠纷，指导水政监察和水行政执法。依法负责水利行业安全生产工作，组织指导水库的安全监管。指导水利建设市场的监督管理，组织实施水利工程建设的监督。</w:t>
      </w:r>
    </w:p>
    <w:p>
      <w:pPr>
        <w:spacing w:line="235" w:lineRule="auto"/>
        <w:ind w:firstLineChars="200" w:firstLine="640"/>
        <w:rPr>
          <w:rFonts w:ascii="仿宋_GB2312" w:eastAsia="仿宋_GB2312" w:cs="仿宋_GB2312" w:hint="eastAsia"/>
          <w:color w:val="auto"/>
          <w:sz w:val="32"/>
          <w:szCs w:val="32"/>
          <w:lang w:bidi="ar-SA"/>
        </w:rPr>
      </w:pPr>
      <w:r>
        <w:rPr>
          <w:rFonts w:ascii="仿宋_GB2312" w:eastAsia="仿宋_GB2312" w:cs="仿宋_GB2312" w:hint="eastAsia"/>
          <w:color w:val="auto"/>
          <w:sz w:val="32"/>
          <w:szCs w:val="32"/>
          <w:lang w:bidi="ar-SA"/>
        </w:rPr>
        <w:t>12、组织开展水利行业质量监督工作，对水利行业技术标准、规程规范的实施进行监督。开展水利科技工作。</w:t>
      </w:r>
    </w:p>
    <w:p>
      <w:pPr>
        <w:spacing w:line="235" w:lineRule="auto"/>
        <w:ind w:firstLineChars="200" w:firstLine="640"/>
        <w:rPr>
          <w:rFonts w:ascii="仿宋_GB2312" w:eastAsia="仿宋_GB2312" w:cs="仿宋_GB2312" w:hint="eastAsia"/>
          <w:color w:val="auto"/>
          <w:sz w:val="32"/>
          <w:szCs w:val="32"/>
          <w:lang w:bidi="ar-SA"/>
        </w:rPr>
      </w:pPr>
      <w:r>
        <w:rPr>
          <w:rFonts w:ascii="仿宋_GB2312" w:eastAsia="仿宋_GB2312" w:cs="仿宋_GB2312" w:hint="eastAsia"/>
          <w:color w:val="auto"/>
          <w:sz w:val="32"/>
          <w:szCs w:val="32"/>
          <w:lang w:bidi="ar-SA"/>
        </w:rPr>
        <w:t>13、负责落实综合防灾减灾规划相关要求，组织编制洪水干旱灾害防治规划和防护标准并指导实施。承担水情旱情监测预警工作。组织编制重要江河湖泊和重要水工程的防御洪水抗御旱灾调度及应急水量调度方案，按程序报批并组织实施。承担防御洪水应急抢险的技术支撑工作。承担台风防御期</w:t>
      </w:r>
      <w:r>
        <w:rPr>
          <w:rFonts w:ascii="仿宋_GB2312" w:eastAsia="仿宋_GB2312" w:cs="仿宋_GB2312" w:hint="eastAsia"/>
          <w:color w:val="auto"/>
          <w:sz w:val="32"/>
          <w:szCs w:val="32"/>
          <w:lang w:eastAsia="zh-CN" w:bidi="ar-SA"/>
        </w:rPr>
        <w:t>间</w:t>
      </w:r>
      <w:r>
        <w:rPr>
          <w:rFonts w:ascii="仿宋_GB2312" w:eastAsia="仿宋_GB2312" w:cs="仿宋_GB2312" w:hint="eastAsia"/>
          <w:color w:val="auto"/>
          <w:sz w:val="32"/>
          <w:szCs w:val="32"/>
          <w:lang w:bidi="ar-SA"/>
        </w:rPr>
        <w:t>重要水工程调度工作。</w:t>
      </w:r>
    </w:p>
    <w:p>
      <w:pPr>
        <w:spacing w:line="235" w:lineRule="auto"/>
        <w:ind w:firstLineChars="200" w:firstLine="640"/>
        <w:rPr>
          <w:rFonts w:ascii="仿宋_GB2312" w:eastAsia="仿宋_GB2312" w:cs="仿宋_GB2312" w:hint="eastAsia"/>
          <w:color w:val="auto"/>
          <w:sz w:val="32"/>
          <w:szCs w:val="32"/>
          <w:lang w:bidi="ar-SA"/>
        </w:rPr>
      </w:pPr>
      <w:r>
        <w:rPr>
          <w:rFonts w:ascii="仿宋_GB2312" w:eastAsia="仿宋_GB2312" w:cs="仿宋_GB2312" w:hint="eastAsia"/>
          <w:color w:val="auto"/>
          <w:sz w:val="32"/>
          <w:szCs w:val="32"/>
          <w:lang w:bidi="ar-SA"/>
        </w:rPr>
        <w:t>14、负责贯彻落实党中央、国务院，省委、省政府、市委、市政府和县委、县政府关于河长制的决策部署，办理县级总河长、县级河长交办的事项，协助县级总河长、县级河长对各镇(区)和各部门履行河长制相关职责进行指导、协调、监督和考核。</w:t>
      </w:r>
    </w:p>
    <w:p>
      <w:pPr>
        <w:spacing w:line="235" w:lineRule="auto"/>
        <w:ind w:firstLineChars="200" w:firstLine="640"/>
        <w:rPr>
          <w:rFonts w:ascii="楷体_GB2312" w:eastAsia="楷体_GB2312" w:cs="楷体_GB2312" w:hint="eastAsia"/>
          <w:b/>
          <w:sz w:val="32"/>
          <w:szCs w:val="32"/>
          <w:highlight w:val="red"/>
        </w:rPr>
      </w:pPr>
      <w:r>
        <w:rPr>
          <w:rFonts w:ascii="仿宋_GB2312" w:eastAsia="仿宋_GB2312" w:cs="仿宋_GB2312" w:hint="eastAsia"/>
          <w:color w:val="auto"/>
          <w:sz w:val="32"/>
          <w:szCs w:val="32"/>
          <w:lang w:bidi="ar-SA"/>
        </w:rPr>
        <w:t>15、完成县委、县政府交办的其他任务。</w:t>
      </w:r>
    </w:p>
    <w:p>
      <w:pPr>
        <w:autoSpaceDE w:val="0"/>
        <w:autoSpaceDN w:val="0"/>
        <w:adjustRightInd w:val="0"/>
        <w:spacing w:line="584" w:lineRule="exact"/>
        <w:ind w:firstLineChars="196" w:firstLine="627"/>
        <w:jc w:val="left"/>
        <w:rPr>
          <w:rFonts w:ascii="Times New Roman" w:eastAsia="楷体_GB2312" w:cs="Times New Roman" w:hAnsi="Times New Roman"/>
          <w:b/>
          <w:sz w:val="32"/>
          <w:szCs w:val="32"/>
        </w:rPr>
      </w:pPr>
      <w:r>
        <w:rPr>
          <w:rFonts w:ascii="Times New Roman" w:eastAsia="楷体_GB2312" w:cs="Times New Roman" w:hAnsi="Times New Roman"/>
          <w:b/>
          <w:sz w:val="32"/>
          <w:szCs w:val="32"/>
        </w:rPr>
        <w:t>机构设置：</w:t>
      </w:r>
    </w:p>
    <w:p>
      <w:pPr>
        <w:spacing w:line="584" w:lineRule="exact"/>
        <w:jc w:val="center"/>
        <w:outlineLvl w:val="0"/>
        <w:rPr>
          <w:rFonts w:ascii="Times New Roman" w:eastAsia="仿宋_GB2312" w:cs="Times New Roman" w:hAnsi="Times New Roman"/>
          <w:b/>
          <w:sz w:val="32"/>
          <w:szCs w:val="24"/>
        </w:rPr>
      </w:pPr>
      <w:r>
        <w:rPr>
          <w:rFonts w:ascii="Times New Roman" w:eastAsia="仿宋_GB2312" w:cs="Times New Roman" w:hAnsi="Times New Roman"/>
          <w:b/>
          <w:sz w:val="32"/>
          <w:szCs w:val="24"/>
        </w:rPr>
        <w:t>部门机构设置情况</w:t>
      </w:r>
    </w:p>
    <w:tbl>
      <w:tblPr>
        <w:jc w:val="center"/>
        <w:tblW w:w="9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443"/>
        <w:gridCol w:w="1134"/>
        <w:gridCol w:w="1276"/>
        <w:gridCol w:w="2902"/>
      </w:tblGrid>
      <w:tr>
        <w:trPr>
          <w:trHeight w:val="584"/>
          <w:tblHeader/>
        </w:trPr>
        <w:tc>
          <w:tcPr>
            <w:tcW w:w="4443" w:type="dxa"/>
            <w:vMerge w:val="restart"/>
            <w:shd w:val="clear" w:color="auto" w:fill="auto"/>
            <w:vAlign w:val="center"/>
          </w:tcPr>
          <w:p>
            <w:pPr>
              <w:spacing w:line="584" w:lineRule="exact"/>
              <w:jc w:val="center"/>
              <w:rPr>
                <w:rFonts w:ascii="Times New Roman" w:eastAsia="仿宋_GB2312" w:cs="Times New Roman" w:hAnsi="Times New Roman"/>
                <w:b/>
                <w:szCs w:val="24"/>
              </w:rPr>
            </w:pPr>
            <w:r>
              <w:rPr>
                <w:rFonts w:ascii="Times New Roman" w:eastAsia="仿宋_GB2312" w:cs="Times New Roman" w:hAnsi="Times New Roman"/>
                <w:b/>
                <w:szCs w:val="24"/>
              </w:rPr>
              <w:t>单位名称</w:t>
            </w:r>
          </w:p>
        </w:tc>
        <w:tc>
          <w:tcPr>
            <w:tcW w:w="1134" w:type="dxa"/>
            <w:vMerge w:val="restart"/>
            <w:shd w:val="clear" w:color="auto" w:fill="auto"/>
            <w:vAlign w:val="center"/>
          </w:tcPr>
          <w:p>
            <w:pPr>
              <w:spacing w:line="584" w:lineRule="exact"/>
              <w:jc w:val="center"/>
              <w:rPr>
                <w:rFonts w:ascii="Times New Roman" w:eastAsia="仿宋_GB2312" w:cs="Times New Roman" w:hAnsi="Times New Roman"/>
                <w:b/>
                <w:szCs w:val="24"/>
              </w:rPr>
            </w:pPr>
            <w:r>
              <w:rPr>
                <w:rFonts w:ascii="Times New Roman" w:eastAsia="仿宋_GB2312" w:cs="Times New Roman" w:hAnsi="Times New Roman"/>
                <w:b/>
                <w:szCs w:val="24"/>
              </w:rPr>
              <w:t>单位性质</w:t>
            </w:r>
          </w:p>
        </w:tc>
        <w:tc>
          <w:tcPr>
            <w:tcW w:w="1276" w:type="dxa"/>
            <w:vMerge w:val="restart"/>
            <w:shd w:val="clear" w:color="auto" w:fill="auto"/>
            <w:vAlign w:val="center"/>
          </w:tcPr>
          <w:p>
            <w:pPr>
              <w:spacing w:line="584" w:lineRule="exact"/>
              <w:jc w:val="center"/>
              <w:rPr>
                <w:rFonts w:ascii="Times New Roman" w:eastAsia="仿宋_GB2312" w:cs="Times New Roman" w:hAnsi="Times New Roman"/>
                <w:b/>
                <w:szCs w:val="24"/>
              </w:rPr>
            </w:pPr>
            <w:r>
              <w:rPr>
                <w:rFonts w:ascii="Times New Roman" w:eastAsia="仿宋_GB2312" w:cs="Times New Roman" w:hAnsi="Times New Roman"/>
                <w:b/>
                <w:szCs w:val="24"/>
              </w:rPr>
              <w:t>单位规格</w:t>
            </w:r>
          </w:p>
        </w:tc>
        <w:tc>
          <w:tcPr>
            <w:tcW w:w="2902" w:type="dxa"/>
            <w:vMerge w:val="restart"/>
            <w:shd w:val="clear" w:color="auto" w:fill="auto"/>
            <w:vAlign w:val="center"/>
          </w:tcPr>
          <w:p>
            <w:pPr>
              <w:spacing w:line="584" w:lineRule="exact"/>
              <w:jc w:val="center"/>
              <w:rPr>
                <w:rFonts w:ascii="Times New Roman" w:eastAsia="仿宋_GB2312" w:cs="Times New Roman" w:hAnsi="Times New Roman"/>
                <w:b/>
                <w:szCs w:val="24"/>
              </w:rPr>
            </w:pPr>
            <w:r>
              <w:rPr>
                <w:rFonts w:ascii="Times New Roman" w:eastAsia="仿宋_GB2312" w:cs="Times New Roman" w:hAnsi="Times New Roman"/>
                <w:b/>
                <w:szCs w:val="24"/>
              </w:rPr>
              <w:t>经费保障形式</w:t>
            </w:r>
          </w:p>
        </w:tc>
      </w:tr>
      <w:tr>
        <w:trPr>
          <w:trHeight w:val="584"/>
          <w:tblHeader/>
        </w:trPr>
        <w:tc>
          <w:tcPr>
            <w:tcW w:w="4443" w:type="dxa"/>
            <w:vMerge/>
            <w:shd w:val="clear" w:color="auto" w:fill="auto"/>
            <w:vAlign w:val="center"/>
          </w:tcPr>
          <w:p/>
        </w:tc>
        <w:tc>
          <w:tcPr>
            <w:tcW w:w="1134" w:type="dxa"/>
            <w:vMerge/>
            <w:shd w:val="clear" w:color="auto" w:fill="auto"/>
            <w:vAlign w:val="center"/>
          </w:tcPr>
          <w:p/>
        </w:tc>
        <w:tc>
          <w:tcPr>
            <w:tcW w:w="1276" w:type="dxa"/>
            <w:vMerge/>
            <w:shd w:val="clear" w:color="auto" w:fill="auto"/>
            <w:vAlign w:val="center"/>
          </w:tcPr>
          <w:p/>
        </w:tc>
        <w:tc>
          <w:tcPr>
            <w:tcW w:w="2902" w:type="dxa"/>
            <w:vMerge/>
            <w:shd w:val="clear" w:color="auto" w:fill="auto"/>
            <w:vAlign w:val="center"/>
          </w:tcPr>
          <w:p/>
        </w:tc>
      </w:tr>
      <w:tr>
        <w:trPr>
          <w:trHeight w:val="227"/>
        </w:trPr>
        <w:tc>
          <w:tcPr>
            <w:tcW w:w="4443"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仿宋_GB2312" w:cs="Times New Roman" w:hAnsi="Times New Roman"/>
                <w:b/>
              </w:rPr>
              <w:t>大城县水务局</w:t>
            </w:r>
          </w:p>
        </w:tc>
        <w:tc>
          <w:tcPr>
            <w:tcW w:w="1134"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仿宋_GB2312" w:cs="Times New Roman" w:hAnsi="Times New Roman"/>
                <w:b/>
              </w:rPr>
              <w:t>行政</w:t>
            </w:r>
          </w:p>
        </w:tc>
        <w:tc>
          <w:tcPr>
            <w:tcW w:w="1276"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仿宋_GB2312" w:cs="Times New Roman" w:hAnsi="Times New Roman"/>
                <w:b/>
              </w:rPr>
              <w:t>正科级</w:t>
            </w:r>
          </w:p>
        </w:tc>
        <w:tc>
          <w:tcPr>
            <w:tcW w:w="2902"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仿宋_GB2312" w:cs="Times New Roman" w:hAnsi="Times New Roman"/>
                <w:b/>
              </w:rPr>
              <w:t>财政拨款（行政）</w:t>
            </w:r>
          </w:p>
        </w:tc>
      </w:tr>
    </w:tbl>
    <w:p>
      <w:pPr>
        <w:spacing w:line="584" w:lineRule="exact"/>
        <w:ind w:firstLineChars="200" w:firstLine="640"/>
        <w:rPr>
          <w:rFonts w:ascii="Times New Roman" w:eastAsia="仿宋" w:cs="Times New Roman" w:hAnsi="Times New Roman"/>
          <w:color w:val="FF0000"/>
          <w:sz w:val="32"/>
          <w:szCs w:val="32"/>
        </w:rPr>
      </w:pPr>
    </w:p>
    <w:p>
      <w:pPr>
        <w:spacing w:line="584"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二、部门预算安排的总体情况</w:t>
      </w:r>
    </w:p>
    <w:p>
      <w:pPr>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按照预算管理有关规定，目前我</w:t>
      </w:r>
      <w:r>
        <w:rPr>
          <w:rFonts w:ascii="Times New Roman" w:eastAsia="仿宋_GB2312" w:cs="Times New Roman" w:hAnsi="Times New Roman" w:hint="eastAsia"/>
          <w:sz w:val="32"/>
          <w:szCs w:val="32"/>
          <w:lang w:eastAsia="zh-CN"/>
        </w:rPr>
        <w:t>县</w:t>
      </w:r>
      <w:r>
        <w:rPr>
          <w:rFonts w:ascii="Times New Roman" w:eastAsia="仿宋_GB2312" w:cs="Times New Roman" w:hAnsi="Times New Roman"/>
          <w:sz w:val="32"/>
          <w:szCs w:val="32"/>
        </w:rPr>
        <w:t>部门预算的编制实行综合预算制度，即全部收入和支出都反映在预算中。</w:t>
      </w:r>
      <w:r>
        <w:rPr>
          <w:rFonts w:ascii="Times New Roman" w:eastAsia="仿宋_GB2312" w:cs="Times New Roman" w:hAnsi="Times New Roman" w:hint="eastAsia"/>
          <w:sz w:val="32"/>
          <w:szCs w:val="32"/>
          <w:lang w:eastAsia="zh-CN"/>
        </w:rPr>
        <w:t>大城县</w:t>
      </w:r>
      <w:r>
        <w:rPr>
          <w:rFonts w:ascii="Times New Roman" w:eastAsia="仿宋_GB2312" w:cs="Times New Roman" w:hAnsi="Times New Roman"/>
          <w:sz w:val="32"/>
          <w:szCs w:val="32"/>
          <w:lang w:val="en-US" w:eastAsia="zh-CN"/>
        </w:rPr>
        <w:t>水务</w:t>
      </w:r>
      <w:r>
        <w:rPr>
          <w:rFonts w:ascii="Times New Roman" w:eastAsia="仿宋_GB2312" w:cs="Times New Roman" w:hAnsi="Times New Roman" w:hint="eastAsia"/>
          <w:sz w:val="32"/>
          <w:szCs w:val="32"/>
          <w:lang w:val="en-US" w:eastAsia="zh-CN"/>
        </w:rPr>
        <w:t>局</w:t>
      </w:r>
      <w:r>
        <w:rPr>
          <w:rFonts w:ascii="Times New Roman" w:eastAsia="仿宋_GB2312" w:cs="Times New Roman" w:hAnsi="Times New Roman"/>
          <w:sz w:val="32"/>
          <w:szCs w:val="32"/>
        </w:rPr>
        <w:t>机关的收支包含在部门预算中。</w:t>
      </w:r>
    </w:p>
    <w:p>
      <w:pPr>
        <w:spacing w:line="584" w:lineRule="exact"/>
        <w:ind w:firstLine="640"/>
        <w:rPr>
          <w:rFonts w:ascii="Times New Roman" w:eastAsia="仿宋_GB2312" w:cs="Times New Roman" w:hAnsi="Times New Roman"/>
          <w:b/>
          <w:sz w:val="32"/>
          <w:szCs w:val="32"/>
        </w:rPr>
      </w:pPr>
      <w:r>
        <w:rPr>
          <w:rFonts w:ascii="Times New Roman" w:eastAsia="仿宋_GB2312" w:cs="Times New Roman" w:hAnsi="Times New Roman"/>
          <w:b/>
          <w:sz w:val="32"/>
          <w:szCs w:val="32"/>
        </w:rPr>
        <w:t>1、收入说明</w:t>
      </w:r>
    </w:p>
    <w:p>
      <w:pPr>
        <w:spacing w:line="584" w:lineRule="exact"/>
        <w:ind w:firstLine="640"/>
        <w:rPr>
          <w:rFonts w:ascii="Times New Roman" w:eastAsia="仿宋_GB2312" w:cs="Times New Roman" w:hAnsi="Times New Roman"/>
          <w:sz w:val="32"/>
          <w:szCs w:val="32"/>
        </w:rPr>
      </w:pPr>
      <w:r>
        <w:rPr>
          <w:rFonts w:ascii="仿宋_GB2312" w:eastAsia="仿宋_GB2312" w:cs="Times New Roman" w:hint="eastAsia"/>
          <w:sz w:val="32"/>
          <w:szCs w:val="32"/>
        </w:rPr>
        <w:t>反映</w:t>
      </w:r>
      <w:r>
        <w:rPr>
          <w:rFonts w:ascii="仿宋_GB2312" w:eastAsia="仿宋_GB2312" w:cs="Times New Roman"/>
          <w:sz w:val="32"/>
          <w:szCs w:val="32"/>
        </w:rPr>
        <w:t>我</w:t>
      </w:r>
      <w:r>
        <w:rPr>
          <w:rFonts w:ascii="仿宋_GB2312" w:eastAsia="仿宋_GB2312" w:cs="Times New Roman" w:hint="eastAsia"/>
          <w:sz w:val="32"/>
          <w:szCs w:val="32"/>
        </w:rPr>
        <w:t>部门当年全部收入。202</w:t>
      </w:r>
      <w:r>
        <w:rPr>
          <w:rFonts w:ascii="仿宋_GB2312" w:eastAsia="仿宋_GB2312" w:cs="Times New Roman" w:hint="eastAsia"/>
          <w:sz w:val="32"/>
          <w:szCs w:val="32"/>
          <w:lang w:val="en-US" w:eastAsia="zh-CN"/>
        </w:rPr>
        <w:t>2</w:t>
      </w:r>
      <w:r>
        <w:rPr>
          <w:rFonts w:ascii="仿宋_GB2312" w:eastAsia="仿宋_GB2312" w:cs="Times New Roman" w:hint="eastAsia"/>
          <w:sz w:val="32"/>
          <w:szCs w:val="32"/>
        </w:rPr>
        <w:t>年预算收入37123.42万元，其中：一般公共预算收入5748.48万元，基金预算收入202.52万元，财政专户核拨收入0万元，其他来源收入0万元，上年结转31172.43万元。</w:t>
      </w:r>
    </w:p>
    <w:p>
      <w:pPr>
        <w:spacing w:line="584" w:lineRule="exact"/>
        <w:ind w:firstLine="640"/>
        <w:rPr>
          <w:rFonts w:ascii="Times New Roman" w:eastAsia="仿宋_GB2312" w:cs="Times New Roman" w:hAnsi="Times New Roman"/>
          <w:b/>
          <w:sz w:val="32"/>
          <w:szCs w:val="32"/>
        </w:rPr>
      </w:pPr>
      <w:r>
        <w:rPr>
          <w:rFonts w:ascii="Times New Roman" w:eastAsia="仿宋_GB2312" w:cs="Times New Roman" w:hAnsi="Times New Roman"/>
          <w:b/>
          <w:sz w:val="32"/>
          <w:szCs w:val="32"/>
        </w:rPr>
        <w:t>2、支出说明</w:t>
      </w:r>
    </w:p>
    <w:p>
      <w:pPr>
        <w:spacing w:line="584" w:lineRule="exact"/>
        <w:ind w:firstLine="640"/>
        <w:rPr>
          <w:rFonts w:ascii="Times New Roman" w:eastAsia="仿宋_GB2312" w:cs="Times New Roman" w:hAnsi="Times New Roman"/>
          <w:sz w:val="32"/>
          <w:szCs w:val="32"/>
        </w:rPr>
      </w:pPr>
      <w:r>
        <w:rPr>
          <w:rFonts w:ascii="仿宋_GB2312" w:eastAsia="仿宋_GB2312" w:cs="Times New Roman" w:hint="eastAsia"/>
          <w:sz w:val="32"/>
          <w:szCs w:val="32"/>
        </w:rPr>
        <w:t>收支预算总表支出栏、基本支出表、项目支出表按经济分类和支出功能分类科目编制，反映</w:t>
      </w:r>
      <w:r>
        <w:rPr>
          <w:rFonts w:ascii="仿宋_GB2312" w:eastAsia="仿宋_GB2312" w:cs="Times New Roman" w:hint="eastAsia"/>
          <w:sz w:val="32"/>
          <w:szCs w:val="32"/>
          <w:lang w:eastAsia="zh-CN"/>
        </w:rPr>
        <w:t>我局</w:t>
      </w:r>
      <w:r>
        <w:rPr>
          <w:rFonts w:ascii="仿宋_GB2312" w:eastAsia="仿宋_GB2312" w:cs="Times New Roman" w:hint="eastAsia"/>
          <w:sz w:val="32"/>
          <w:szCs w:val="32"/>
          <w:lang w:val="en-US" w:eastAsia="zh-CN"/>
        </w:rPr>
        <w:t>2022</w:t>
      </w:r>
      <w:r>
        <w:rPr>
          <w:rFonts w:ascii="仿宋_GB2312" w:eastAsia="仿宋_GB2312" w:cs="Times New Roman" w:hint="eastAsia"/>
          <w:sz w:val="32"/>
          <w:szCs w:val="32"/>
        </w:rPr>
        <w:t>年度部门预算中支出预算的总体情况。202</w:t>
      </w:r>
      <w:r>
        <w:rPr>
          <w:rFonts w:ascii="仿宋_GB2312" w:eastAsia="仿宋_GB2312" w:cs="Times New Roman" w:hint="eastAsia"/>
          <w:sz w:val="32"/>
          <w:szCs w:val="32"/>
          <w:lang w:val="en-US" w:eastAsia="zh-CN"/>
        </w:rPr>
        <w:t>2</w:t>
      </w:r>
      <w:r>
        <w:rPr>
          <w:rFonts w:ascii="仿宋_GB2312" w:eastAsia="仿宋_GB2312" w:cs="Times New Roman" w:hint="eastAsia"/>
          <w:sz w:val="32"/>
          <w:szCs w:val="32"/>
        </w:rPr>
        <w:t>年支出预算37123.42万元，其中基本支出1575.43万元，包括人员类项目经费1497万元和运转类公用项目经费78.43万元；运转类其他及特定目标类项目支出35548万元(包括上年结转31172.43万元)，包括本级支出，主要为2022年农村灌溉水源置换项目资金、2022年水务局下属自收自支事业单位退休人员及遗属人员经费、防汛会商系统预警体系建设专线使用费等。</w:t>
      </w:r>
    </w:p>
    <w:p>
      <w:pPr>
        <w:spacing w:line="584" w:lineRule="exact"/>
        <w:ind w:firstLine="640"/>
        <w:rPr>
          <w:rFonts w:ascii="Times New Roman" w:eastAsia="仿宋_GB2312" w:cs="Times New Roman" w:hAnsi="Times New Roman"/>
          <w:b/>
          <w:sz w:val="32"/>
          <w:szCs w:val="32"/>
        </w:rPr>
      </w:pPr>
      <w:r>
        <w:rPr>
          <w:rFonts w:ascii="Times New Roman" w:eastAsia="仿宋_GB2312" w:cs="Times New Roman" w:hAnsi="Times New Roman"/>
          <w:b/>
          <w:sz w:val="32"/>
          <w:szCs w:val="32"/>
        </w:rPr>
        <w:t>3、比上年增减情况</w:t>
      </w:r>
    </w:p>
    <w:p>
      <w:pPr>
        <w:spacing w:line="584" w:lineRule="exact"/>
        <w:ind w:firstLine="640"/>
        <w:rPr>
          <w:rFonts w:ascii="Times New Roman" w:eastAsia="仿宋_GB2312" w:cs="Times New Roman" w:hAnsi="Times New Roman"/>
          <w:sz w:val="32"/>
          <w:szCs w:val="32"/>
        </w:rPr>
      </w:pPr>
      <w:r>
        <w:rPr>
          <w:rFonts w:ascii="仿宋_GB2312" w:eastAsia="仿宋_GB2312" w:cs="Times New Roman" w:hint="eastAsia"/>
          <w:sz w:val="32"/>
          <w:szCs w:val="32"/>
        </w:rPr>
        <w:t>202</w:t>
      </w:r>
      <w:r>
        <w:rPr>
          <w:rFonts w:ascii="仿宋_GB2312" w:eastAsia="仿宋_GB2312" w:cs="Times New Roman" w:hint="eastAsia"/>
          <w:sz w:val="32"/>
          <w:szCs w:val="32"/>
          <w:lang w:val="en-US" w:eastAsia="zh-CN"/>
        </w:rPr>
        <w:t>2</w:t>
      </w:r>
      <w:r>
        <w:rPr>
          <w:rFonts w:ascii="仿宋_GB2312" w:eastAsia="仿宋_GB2312" w:cs="Times New Roman" w:hint="eastAsia"/>
          <w:sz w:val="32"/>
          <w:szCs w:val="32"/>
        </w:rPr>
        <w:t>年预算收支安排37123.42万元，较202</w:t>
      </w:r>
      <w:r>
        <w:rPr>
          <w:rFonts w:ascii="仿宋_GB2312" w:eastAsia="仿宋_GB2312" w:cs="Times New Roman" w:hint="eastAsia"/>
          <w:sz w:val="32"/>
          <w:szCs w:val="32"/>
          <w:lang w:val="en-US" w:eastAsia="zh-CN"/>
        </w:rPr>
        <w:t>1</w:t>
      </w:r>
      <w:r>
        <w:rPr>
          <w:rFonts w:ascii="仿宋_GB2312" w:eastAsia="仿宋_GB2312" w:cs="Times New Roman" w:hint="eastAsia"/>
          <w:sz w:val="32"/>
          <w:szCs w:val="32"/>
        </w:rPr>
        <w:t>年预算增加26847.37万元，其中：基本支出增加20.95万元，主要为</w:t>
      </w:r>
      <w:r>
        <w:rPr>
          <w:rFonts w:ascii="仿宋_GB2312" w:eastAsia="仿宋_GB2312" w:cs="仿宋_GB2312" w:hint="eastAsia"/>
          <w:sz w:val="32"/>
          <w:szCs w:val="32"/>
          <w:lang w:bidi="ar-SA"/>
        </w:rPr>
        <w:t>人员经费</w:t>
      </w:r>
      <w:r>
        <w:rPr>
          <w:rFonts w:ascii="仿宋_GB2312" w:eastAsia="仿宋_GB2312" w:cs="Times New Roman" w:hint="eastAsia"/>
          <w:sz w:val="32"/>
          <w:szCs w:val="32"/>
        </w:rPr>
        <w:t>支出；项目支出增加26826.43万元，主要为上年结转项目支出。</w:t>
      </w:r>
    </w:p>
    <w:p>
      <w:pPr>
        <w:spacing w:line="584"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三、机关运行经费安排情况</w:t>
      </w:r>
    </w:p>
    <w:p>
      <w:pPr>
        <w:autoSpaceDE w:val="0"/>
        <w:autoSpaceDN w:val="0"/>
        <w:adjustRightInd w:val="0"/>
        <w:spacing w:line="584" w:lineRule="exact"/>
        <w:ind w:left="198" w:firstLineChars="200" w:firstLine="640"/>
        <w:jc w:val="left"/>
        <w:rPr>
          <w:rFonts w:ascii="Times New Roman" w:eastAsia="仿宋_GB2312" w:cs="Times New Roman" w:hAnsi="Times New Roman"/>
          <w:sz w:val="32"/>
          <w:szCs w:val="32"/>
        </w:rPr>
      </w:pPr>
      <w:r>
        <w:rPr>
          <w:rFonts w:ascii="仿宋_GB2312" w:eastAsia="仿宋_GB2312" w:cs="Times New Roman" w:hint="eastAsia"/>
          <w:sz w:val="32"/>
          <w:szCs w:val="32"/>
        </w:rPr>
        <w:t>202</w:t>
      </w:r>
      <w:r>
        <w:rPr>
          <w:rFonts w:ascii="仿宋_GB2312" w:eastAsia="仿宋_GB2312" w:cs="Times New Roman" w:hint="eastAsia"/>
          <w:sz w:val="32"/>
          <w:szCs w:val="32"/>
          <w:lang w:val="en-US" w:eastAsia="zh-CN"/>
        </w:rPr>
        <w:t>2</w:t>
      </w:r>
      <w:r>
        <w:rPr>
          <w:rFonts w:ascii="仿宋_GB2312" w:eastAsia="仿宋_GB2312" w:cs="Times New Roman" w:hint="eastAsia"/>
          <w:sz w:val="32"/>
          <w:szCs w:val="32"/>
        </w:rPr>
        <w:t>年，我</w:t>
      </w:r>
      <w:r>
        <w:rPr>
          <w:rFonts w:ascii="仿宋_GB2312" w:eastAsia="仿宋_GB2312" w:cs="Times New Roman"/>
          <w:sz w:val="32"/>
          <w:szCs w:val="32"/>
        </w:rPr>
        <w:t>部门</w:t>
      </w:r>
      <w:r>
        <w:rPr>
          <w:rFonts w:ascii="仿宋_GB2312" w:eastAsia="仿宋_GB2312" w:cs="Times New Roman" w:hint="eastAsia"/>
          <w:sz w:val="32"/>
          <w:szCs w:val="32"/>
        </w:rPr>
        <w:t>机关运行经费共计安排78.43万元，主要用于我</w:t>
      </w:r>
      <w:r>
        <w:rPr>
          <w:rFonts w:ascii="仿宋_GB2312" w:eastAsia="仿宋_GB2312" w:cs="Times New Roman"/>
          <w:sz w:val="32"/>
          <w:szCs w:val="32"/>
        </w:rPr>
        <w:t>部门</w:t>
      </w:r>
      <w:r>
        <w:rPr>
          <w:rFonts w:ascii="仿宋_GB2312" w:eastAsia="仿宋_GB2312" w:cs="Times New Roman" w:hint="eastAsia"/>
          <w:sz w:val="32"/>
          <w:szCs w:val="32"/>
        </w:rPr>
        <w:t>办公区的日常维修、办公用房水电费、办公用房取暖费、办公用房物业管理费等日常运行支出。</w:t>
      </w:r>
    </w:p>
    <w:p>
      <w:pPr>
        <w:spacing w:line="584"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四、</w:t>
      </w:r>
      <w:r>
        <w:rPr>
          <w:rFonts w:ascii="Times New Roman" w:eastAsia="黑体" w:cs="Times New Roman" w:hAnsi="Times New Roman" w:hint="eastAsia"/>
          <w:sz w:val="32"/>
          <w:szCs w:val="32"/>
        </w:rPr>
        <w:t>财政拨款“三公”经费预算情况及增减变化原因</w:t>
      </w:r>
    </w:p>
    <w:p>
      <w:pPr>
        <w:autoSpaceDE w:val="0"/>
        <w:autoSpaceDN w:val="0"/>
        <w:adjustRightInd w:val="0"/>
        <w:spacing w:line="584" w:lineRule="exact"/>
        <w:ind w:leftChars="94" w:left="197" w:firstLineChars="200" w:firstLine="640"/>
        <w:jc w:val="left"/>
        <w:rPr>
          <w:rFonts w:ascii="Times New Roman" w:eastAsia="仿宋_GB2312" w:cs="Times New Roman" w:hAnsi="Times New Roman"/>
          <w:sz w:val="32"/>
          <w:szCs w:val="32"/>
        </w:rPr>
      </w:pPr>
      <w:r>
        <w:rPr>
          <w:rFonts w:ascii="仿宋_GB2312" w:eastAsia="仿宋_GB2312" w:cs="Times New Roman" w:hint="eastAsia"/>
          <w:sz w:val="32"/>
          <w:szCs w:val="32"/>
        </w:rPr>
        <w:t>202</w:t>
      </w:r>
      <w:r>
        <w:rPr>
          <w:rFonts w:ascii="仿宋_GB2312" w:eastAsia="仿宋_GB2312" w:cs="Times New Roman" w:hint="eastAsia"/>
          <w:sz w:val="32"/>
          <w:szCs w:val="32"/>
          <w:lang w:val="en-US" w:eastAsia="zh-CN"/>
        </w:rPr>
        <w:t>2</w:t>
      </w:r>
      <w:r>
        <w:rPr>
          <w:rFonts w:ascii="仿宋_GB2312" w:eastAsia="仿宋_GB2312" w:cs="Times New Roman" w:hint="eastAsia"/>
          <w:sz w:val="32"/>
          <w:szCs w:val="32"/>
        </w:rPr>
        <w:t>年，我</w:t>
      </w:r>
      <w:r>
        <w:rPr>
          <w:rFonts w:ascii="仿宋_GB2312" w:eastAsia="仿宋_GB2312" w:cs="Times New Roman"/>
          <w:sz w:val="32"/>
          <w:szCs w:val="32"/>
        </w:rPr>
        <w:t>部门</w:t>
      </w:r>
      <w:r>
        <w:rPr>
          <w:rFonts w:ascii="仿宋_GB2312" w:eastAsia="仿宋_GB2312" w:cs="Times New Roman" w:hint="eastAsia"/>
          <w:sz w:val="32"/>
          <w:szCs w:val="32"/>
        </w:rPr>
        <w:t>财政拨款“三公”经费预算安排15.1万元。其中，因公出国（境）费0万元；公务用车购置及运维费15万元（其中：公务用车购置费为0万元，公务用车运维费15万元)；公务接待费0.1万元。与202</w:t>
      </w:r>
      <w:r>
        <w:rPr>
          <w:rFonts w:ascii="仿宋_GB2312" w:eastAsia="仿宋_GB2312" w:cs="Times New Roman" w:hint="eastAsia"/>
          <w:sz w:val="32"/>
          <w:szCs w:val="32"/>
          <w:lang w:val="en-US" w:eastAsia="zh-CN"/>
        </w:rPr>
        <w:t>1</w:t>
      </w:r>
      <w:r>
        <w:rPr>
          <w:rFonts w:ascii="仿宋_GB2312" w:eastAsia="仿宋_GB2312" w:cs="Times New Roman" w:hint="eastAsia"/>
          <w:sz w:val="32"/>
          <w:szCs w:val="32"/>
        </w:rPr>
        <w:t>年相比减少0.4万元，其中，公务用车购置及运维费持平，无增减变化；公务接待费减少0.4万元，主要原因是我部门切实落实勤俭节约各项规定，严格控制公务接待费支出。</w:t>
      </w:r>
    </w:p>
    <w:p>
      <w:pPr>
        <w:spacing w:line="584"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五、绩效预算信息</w:t>
      </w:r>
    </w:p>
    <w:p>
      <w:pPr>
        <w:spacing w:line="584" w:lineRule="exact"/>
        <w:ind w:firstLineChars="200" w:firstLine="640"/>
        <w:rPr>
          <w:rFonts w:ascii="Times New Roman" w:eastAsia="黑体" w:cs="Times New Roman" w:hAnsi="Times New Roman"/>
          <w:sz w:val="32"/>
          <w:szCs w:val="32"/>
        </w:rPr>
      </w:pPr>
      <w:r>
        <w:rPr>
          <w:rFonts w:ascii="Times New Roman" w:eastAsia="黑体" w:cs="Times New Roman" w:hAnsi="Times New Roman" w:hint="eastAsia"/>
          <w:sz w:val="32"/>
          <w:szCs w:val="32"/>
        </w:rPr>
        <w:t>第一部分 部门整体绩效目标</w:t>
      </w:r>
    </w:p>
    <w:p>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（一）总体绩效目标</w:t>
      </w:r>
    </w:p>
    <w:p>
      <w:pPr>
        <w:pBdr>
          <w:top w:val="none" w:sz="0" w:space="0" w:color="auto"/>
          <w:left w:val="none" w:sz="0" w:space="0" w:color="auto"/>
          <w:bottom w:val="none" w:sz="0" w:space="0" w:color="auto"/>
          <w:right w:val="none" w:sz="0" w:space="0" w:color="auto"/>
        </w:pBdr>
        <w:spacing w:before="0" w:beforeAutospacing="0" w:after="0" w:afterAutospacing="0" w:line="14" w:lineRule="atLeast"/>
        <w:ind w:left="0" w:right="0" w:firstLine="640"/>
        <w:jc w:val="left"/>
        <w:rPr>
          <w:rFonts w:ascii="仿宋_GB2312" w:eastAsia="仿宋_GB2312" w:hint="eastAsia"/>
          <w:b w:val="0"/>
          <w:bCs w:val="0"/>
          <w:i w:val="0"/>
          <w:iCs w:val="0"/>
          <w:caps w:val="0"/>
          <w:smallCaps w:val="0"/>
          <w:vanish w:val="0"/>
          <w:color w:val="000000"/>
          <w:spacing w:val="0"/>
          <w:sz w:val="22"/>
          <w:szCs w:val="22"/>
        </w:rPr>
      </w:pPr>
      <w:r>
        <w:rPr>
          <w:rFonts w:ascii="仿宋_GB2312" w:eastAsia="仿宋_GB2312" w:hint="eastAsia"/>
          <w:b w:val="0"/>
          <w:bCs w:val="0"/>
          <w:i w:val="0"/>
          <w:iCs w:val="0"/>
          <w:caps w:val="0"/>
          <w:smallCaps w:val="0"/>
          <w:vanish w:val="0"/>
          <w:color w:val="000000"/>
          <w:spacing w:val="0"/>
          <w:sz w:val="32"/>
          <w:szCs w:val="32"/>
        </w:rPr>
        <w:t>2022年，我</w:t>
      </w:r>
      <w:r>
        <w:rPr>
          <w:rFonts w:ascii="仿宋_GB2312" w:eastAsia="仿宋_GB2312"/>
          <w:b w:val="0"/>
          <w:bCs w:val="0"/>
          <w:i w:val="0"/>
          <w:iCs w:val="0"/>
          <w:caps w:val="0"/>
          <w:smallCaps w:val="0"/>
          <w:vanish w:val="0"/>
          <w:color w:val="000000"/>
          <w:spacing w:val="0"/>
          <w:sz w:val="32"/>
          <w:szCs w:val="32"/>
        </w:rPr>
        <w:t>部门</w:t>
      </w:r>
      <w:r>
        <w:rPr>
          <w:rFonts w:ascii="仿宋_GB2312" w:eastAsia="仿宋_GB2312" w:hint="eastAsia"/>
          <w:b w:val="0"/>
          <w:bCs w:val="0"/>
          <w:i w:val="0"/>
          <w:iCs w:val="0"/>
          <w:caps w:val="0"/>
          <w:smallCaps w:val="0"/>
          <w:vanish w:val="0"/>
          <w:color w:val="000000"/>
          <w:spacing w:val="0"/>
          <w:sz w:val="32"/>
          <w:szCs w:val="32"/>
        </w:rPr>
        <w:t>将严格贯彻党的十九届六中全会精神，落实省、市工作部署，紧紧围绕全县中心工作，持续转变干部职工工作作风，“激情干事业，挑战不可能”。以河长制工作、地下水压采综合治理为抓手，深入推进县域水事生态环境持续改善，以推动重点水利工程建设为保障，构建全县经济发展新格局，为加快实现“经济强县，大美大城”贡献水利力量。</w:t>
      </w:r>
    </w:p>
    <w:p>
      <w:pPr>
        <w:pBdr>
          <w:top w:val="none" w:sz="0" w:space="0" w:color="auto"/>
          <w:left w:val="none" w:sz="0" w:space="0" w:color="auto"/>
          <w:bottom w:val="none" w:sz="0" w:space="0" w:color="auto"/>
          <w:right w:val="none" w:sz="0" w:space="0" w:color="auto"/>
        </w:pBdr>
        <w:spacing w:before="0" w:beforeAutospacing="0" w:after="0" w:afterAutospacing="0" w:line="14" w:lineRule="atLeast"/>
        <w:ind w:left="0" w:right="0" w:firstLine="640"/>
        <w:jc w:val="left"/>
        <w:rPr>
          <w:rFonts w:ascii="仿宋_GB2312" w:eastAsia="仿宋_GB2312" w:hint="eastAsia"/>
          <w:b w:val="0"/>
          <w:bCs w:val="0"/>
          <w:i w:val="0"/>
          <w:iCs w:val="0"/>
          <w:caps w:val="0"/>
          <w:smallCaps w:val="0"/>
          <w:vanish w:val="0"/>
          <w:color w:val="000000"/>
          <w:spacing w:val="0"/>
          <w:sz w:val="32"/>
          <w:szCs w:val="32"/>
        </w:rPr>
      </w:pPr>
      <w:r>
        <w:rPr>
          <w:rFonts w:ascii="仿宋_GB2312" w:eastAsia="仿宋_GB2312" w:hint="eastAsia"/>
          <w:b w:val="0"/>
          <w:bCs w:val="0"/>
          <w:i w:val="0"/>
          <w:iCs w:val="0"/>
          <w:caps w:val="0"/>
          <w:smallCaps w:val="0"/>
          <w:vanish w:val="0"/>
          <w:color w:val="000000"/>
          <w:spacing w:val="0"/>
          <w:sz w:val="32"/>
          <w:szCs w:val="32"/>
        </w:rPr>
        <w:t>通过新增农村水源置换量、农业节水项目、取水井关停、生态补水等综合措施，新增压减地下水超采量802万立方米，完成2022年压减任务785万立方米。一是新增农村水源置换量。着眼提高全县农村供水保障及安全水平，加快推进农村生活水源引江水切换，实现引江水县域内全覆盖，进一步减少地下水开采。二是取水井关停。根据《大城县2020-2022年取水井关停方案》目标任务，2022年关停取水井932眼。按照目标任务制定2022年关停实施方案，依照省确定</w:t>
      </w:r>
      <w:bookmarkStart w:id="0" w:name="_GoBack"/>
      <w:bookmarkEnd w:id="0"/>
      <w:r>
        <w:rPr>
          <w:rFonts w:ascii="仿宋_GB2312" w:eastAsia="仿宋_GB2312" w:hint="eastAsia"/>
          <w:b w:val="0"/>
          <w:bCs w:val="0"/>
          <w:i w:val="0"/>
          <w:iCs w:val="0"/>
          <w:caps w:val="0"/>
          <w:smallCaps w:val="0"/>
          <w:vanish w:val="0"/>
          <w:color w:val="000000"/>
          <w:spacing w:val="0"/>
          <w:sz w:val="32"/>
          <w:szCs w:val="32"/>
        </w:rPr>
        <w:t>“先通后关、应关尽关”原则，落实到具体的取水井，确定完成时限和责任单位、责任人，积极推进关井行动。三是积极实施生态补水。积极与省水利厅沟通对接，充分利用引黄调蓄工程，最大限度增加引黄水量，千方百计多引调黄河水量，预计引调水2000万m</w:t>
      </w:r>
      <w:r>
        <w:rPr>
          <w:rFonts w:ascii="仿宋" w:eastAsia="仿宋_GB2312" w:hAnsi="仿宋" w:hint="eastAsia"/>
          <w:b w:val="0"/>
          <w:bCs w:val="0"/>
          <w:i w:val="0"/>
          <w:iCs w:val="0"/>
          <w:caps w:val="0"/>
          <w:smallCaps w:val="0"/>
          <w:vanish w:val="0"/>
          <w:color w:val="000000"/>
          <w:spacing w:val="0"/>
          <w:sz w:val="32"/>
          <w:szCs w:val="32"/>
        </w:rPr>
        <w:t>³</w:t>
      </w:r>
      <w:r>
        <w:rPr>
          <w:rFonts w:ascii="仿宋_GB2312" w:eastAsia="仿宋_GB2312" w:hint="eastAsia"/>
          <w:b w:val="0"/>
          <w:bCs w:val="0"/>
          <w:i w:val="0"/>
          <w:iCs w:val="0"/>
          <w:caps w:val="0"/>
          <w:smallCaps w:val="0"/>
          <w:vanish w:val="0"/>
          <w:color w:val="000000"/>
          <w:spacing w:val="0"/>
          <w:sz w:val="32"/>
          <w:szCs w:val="32"/>
        </w:rPr>
        <w:t>。同时，完善调蓄、灌溉工程设施，提高引黄水利用效率。</w:t>
      </w:r>
    </w:p>
    <w:p>
      <w:pPr>
        <w:pBdr>
          <w:top w:val="none" w:sz="0" w:space="0" w:color="auto"/>
          <w:left w:val="none" w:sz="0" w:space="0" w:color="auto"/>
          <w:bottom w:val="none" w:sz="0" w:space="0" w:color="auto"/>
          <w:right w:val="none" w:sz="0" w:space="0" w:color="auto"/>
        </w:pBdr>
        <w:spacing w:before="0" w:beforeAutospacing="0" w:after="0" w:afterAutospacing="0" w:line="14" w:lineRule="atLeast"/>
        <w:ind w:left="0" w:right="0" w:firstLine="640"/>
        <w:jc w:val="left"/>
        <w:rPr>
          <w:rFonts w:ascii="仿宋_GB2312" w:eastAsia="仿宋_GB2312" w:hint="eastAsia"/>
          <w:b w:val="0"/>
          <w:bCs w:val="0"/>
          <w:i w:val="0"/>
          <w:iCs w:val="0"/>
          <w:caps w:val="0"/>
          <w:smallCaps w:val="0"/>
          <w:vanish w:val="0"/>
          <w:color w:val="000000"/>
          <w:spacing w:val="0"/>
          <w:sz w:val="32"/>
          <w:szCs w:val="32"/>
        </w:rPr>
      </w:pPr>
      <w:r>
        <w:rPr>
          <w:rFonts w:ascii="仿宋_GB2312" w:eastAsia="仿宋_GB2312" w:hint="eastAsia"/>
          <w:b w:val="0"/>
          <w:bCs w:val="0"/>
          <w:i w:val="0"/>
          <w:iCs w:val="0"/>
          <w:caps w:val="0"/>
          <w:smallCaps w:val="0"/>
          <w:vanish w:val="0"/>
          <w:color w:val="000000"/>
          <w:spacing w:val="0"/>
          <w:sz w:val="32"/>
          <w:szCs w:val="32"/>
        </w:rPr>
        <w:t>全力实施县域节水型社会建设，严格对标对表，强化农业节水增效、工业节水减排、城镇节水降损、节水载体建设、节水社会意识等节水基础工作，做到节水管理能力全面增强，用水效率和效益显著提高、节水型生产和生活方式初步建立。</w:t>
      </w:r>
    </w:p>
    <w:p>
      <w:pPr>
        <w:pBdr>
          <w:top w:val="none" w:sz="0" w:space="0" w:color="auto"/>
          <w:left w:val="none" w:sz="0" w:space="0" w:color="auto"/>
          <w:bottom w:val="none" w:sz="0" w:space="0" w:color="auto"/>
          <w:right w:val="none" w:sz="0" w:space="0" w:color="auto"/>
        </w:pBdr>
        <w:spacing w:before="0" w:beforeAutospacing="0" w:after="0" w:afterAutospacing="0" w:line="14" w:lineRule="atLeast"/>
        <w:ind w:left="0" w:right="0" w:firstLine="640"/>
        <w:jc w:val="left"/>
        <w:rPr>
          <w:rFonts w:ascii="仿宋_GB2312" w:eastAsia="仿宋_GB2312" w:hint="eastAsia"/>
          <w:b w:val="0"/>
          <w:bCs w:val="0"/>
          <w:i w:val="0"/>
          <w:iCs w:val="0"/>
          <w:caps w:val="0"/>
          <w:smallCaps w:val="0"/>
          <w:vanish w:val="0"/>
          <w:color w:val="000000"/>
          <w:spacing w:val="0"/>
          <w:sz w:val="32"/>
          <w:szCs w:val="32"/>
        </w:rPr>
      </w:pPr>
      <w:r>
        <w:rPr>
          <w:rFonts w:ascii="仿宋_GB2312" w:eastAsia="仿宋_GB2312" w:hint="eastAsia"/>
          <w:b w:val="0"/>
          <w:bCs w:val="0"/>
          <w:i w:val="0"/>
          <w:iCs w:val="0"/>
          <w:caps w:val="0"/>
          <w:smallCaps w:val="0"/>
          <w:vanish w:val="0"/>
          <w:color w:val="000000"/>
          <w:spacing w:val="0"/>
          <w:sz w:val="32"/>
          <w:szCs w:val="32"/>
        </w:rPr>
        <w:t>严格落实督查督办制度、考核问责制度、河长名单公告、河长巡查等制度，压实各级河长责任，强化河渠巡查，通过持续河渠“五乱”问题清理、非法取土整治、暗访督查、联合执法等形式，进一步巩固河渠清理整治成效，促进县域水生态环境持续改善。</w:t>
      </w:r>
    </w:p>
    <w:p>
      <w:pPr>
        <w:pBdr>
          <w:top w:val="none" w:sz="0" w:space="0" w:color="auto"/>
          <w:left w:val="none" w:sz="0" w:space="0" w:color="auto"/>
          <w:bottom w:val="none" w:sz="0" w:space="0" w:color="auto"/>
          <w:right w:val="none" w:sz="0" w:space="0" w:color="auto"/>
        </w:pBdr>
        <w:spacing w:before="0" w:beforeAutospacing="0" w:after="0" w:afterAutospacing="0" w:line="14" w:lineRule="atLeast"/>
        <w:ind w:left="0" w:right="0" w:firstLine="640"/>
        <w:jc w:val="left"/>
        <w:rPr>
          <w:rFonts w:ascii="仿宋" w:eastAsia="仿宋" w:hint="eastAsia"/>
          <w:b w:val="0"/>
          <w:bCs w:val="0"/>
          <w:i w:val="0"/>
          <w:iCs w:val="0"/>
          <w:caps w:val="0"/>
          <w:smallCaps w:val="0"/>
          <w:vanish w:val="0"/>
          <w:color w:val="000000"/>
          <w:spacing w:val="0"/>
          <w:sz w:val="32"/>
          <w:szCs w:val="32"/>
        </w:rPr>
      </w:pPr>
      <w:r>
        <w:rPr>
          <w:rFonts w:ascii="仿宋_GB2312" w:eastAsia="仿宋_GB2312" w:hint="eastAsia"/>
          <w:b w:val="0"/>
          <w:bCs w:val="0"/>
          <w:i w:val="0"/>
          <w:iCs w:val="0"/>
          <w:caps w:val="0"/>
          <w:smallCaps w:val="0"/>
          <w:vanish w:val="0"/>
          <w:color w:val="000000"/>
          <w:spacing w:val="0"/>
          <w:sz w:val="32"/>
          <w:szCs w:val="32"/>
        </w:rPr>
        <w:t>加强河道管理。加大水行政执法力度，继续开展重点河道水环境综合整治工作，确保河道行洪安全。抓好自身建设工作，加强党风廉政建设，加强班子队伍建设、党员队伍建设和人才队伍建设。</w:t>
      </w:r>
    </w:p>
    <w:p>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（二）分项绩效目标</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1、水利工程建设方面</w:t>
      </w:r>
    </w:p>
    <w:p>
      <w:pPr>
        <w:spacing w:line="584" w:lineRule="exact"/>
        <w:ind w:firstLine="640"/>
        <w:rPr>
          <w:rFonts w:ascii="仿宋_GB2312" w:eastAsia="仿宋_GB2312" w:cs="Times New Roman" w:hint="eastAsia"/>
          <w:color w:val="000000"/>
          <w:sz w:val="32"/>
          <w:szCs w:val="32"/>
        </w:rPr>
      </w:pPr>
      <w:r>
        <w:rPr>
          <w:rFonts w:ascii="仿宋" w:eastAsia="仿宋_GB2312" w:cs="Times New Roman" w:hAnsi="仿宋" w:hint="eastAsia"/>
          <w:color w:val="000000"/>
          <w:sz w:val="32"/>
          <w:szCs w:val="32"/>
        </w:rPr>
        <w:t> </w:t>
      </w:r>
      <w:r>
        <w:rPr>
          <w:rFonts w:ascii="仿宋_GB2312" w:eastAsia="仿宋_GB2312" w:cs="Times New Roman" w:hint="eastAsia"/>
          <w:color w:val="000000"/>
          <w:sz w:val="32"/>
          <w:szCs w:val="32"/>
        </w:rPr>
        <w:t>绩效目标：按期保质保量完成水利项目建设任务.</w:t>
      </w:r>
    </w:p>
    <w:p>
      <w:pPr>
        <w:spacing w:line="584" w:lineRule="exact"/>
        <w:ind w:firstLine="640"/>
        <w:rPr>
          <w:rFonts w:ascii="仿宋_GB2312" w:eastAsia="仿宋_GB2312" w:cs="Times New Roman" w:hint="eastAsia"/>
          <w:color w:val="000000"/>
          <w:sz w:val="32"/>
          <w:szCs w:val="32"/>
        </w:rPr>
      </w:pPr>
      <w:r>
        <w:rPr>
          <w:rFonts w:ascii="仿宋" w:eastAsia="仿宋_GB2312" w:cs="Times New Roman" w:hAnsi="仿宋" w:hint="eastAsia"/>
          <w:color w:val="000000"/>
          <w:sz w:val="32"/>
          <w:szCs w:val="32"/>
        </w:rPr>
        <w:t> </w:t>
      </w:r>
      <w:r>
        <w:rPr>
          <w:rFonts w:ascii="仿宋_GB2312" w:eastAsia="仿宋_GB2312" w:cs="Times New Roman" w:hint="eastAsia"/>
          <w:color w:val="000000"/>
          <w:sz w:val="32"/>
          <w:szCs w:val="32"/>
        </w:rPr>
        <w:t>绩效指标：实施工程建设管理和质量监督工作完成率≥80%；工程质量合格率≥80%；水利工程除险加固及治理工作完成率≥80%。</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2、水利工程运行与维护方面</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绩效目标：及时对水利工程实施维修养护，有效保障水利工程正常运行，充分发挥水利工程的社会和经济效益。</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绩效指标：水利工程运行与维护项目验收合格率≥90%；水利工程运行与维护工作完成率≥90%。</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3、保障农村饮水安全方面</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绩效目标：解决农村饮水安全问题。</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绩效指标：解决农村饮用水安全人口情况≥80%；农村饮用水安全工程完成量≥80%。</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4、水库移民安置及后期管理方面</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绩效目标：增加移民收入，改善移民生产生活条件，促进移民稳定。</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绩效指标：移民生产生活条件得到改善。</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5、农村水电建设与管理方面</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绩效目标：充分利用水能资源，提供清洁可再生能源，促进节能减排，保护生态环境，服务“三农”。</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绩效指标：安全生产达标评级电站完成率≥70%；水电站更新改造完成率≥70%。</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6、水资源管理方面</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绩效目标：用水总量、地下水开采总量、万元工业增加值用水量都控制在计划范围以内。</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绩效指标：水资源节约、保护、配置、监督管理等工作完成率≥95%。</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7、水土保持方面</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绩效目标：保护和合理利用水土资源，改善生态环境，维护生态安全。</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绩效指标：水土流失治理率≥90%。</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8、水文测报方面</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绩效目标：为防汛、抗旱、减灾、水资源保护管理、水利工程建设准确、及时提供水文资料。</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绩效指标：水情报汛准确率≥90%。</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9、防汛抗旱方面</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绩效目标：发挥防汛抗旱减灾体系作用，最大限度地减少水旱灾害造成的人员伤亡和财产损失。</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绩效指标：防汛抗旱投资完成率≥90%；工程完成量≥90%。</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10、综合业务管理方面</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绩效目标：依法依规完成工作任务，推进科学决策。</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绩效指标：综合业务管理工作任务完成率≥95%。</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11、综合事务管理方面</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绩效目标：确保机关工作正常运行。</w:t>
      </w:r>
    </w:p>
    <w:p>
      <w:pPr>
        <w:spacing w:line="584" w:lineRule="exact"/>
        <w:ind w:firstLine="640"/>
        <w:rPr>
          <w:rFonts w:ascii="仿宋" w:eastAsia="仿宋" w:cs="Times New Roman" w:hint="eastAsia"/>
          <w:color w:val="000000"/>
          <w:sz w:val="32"/>
          <w:szCs w:val="32"/>
        </w:rPr>
      </w:pPr>
      <w:r>
        <w:rPr>
          <w:rFonts w:ascii="仿宋_GB2312" w:eastAsia="仿宋_GB2312" w:cs="Times New Roman" w:hint="eastAsia"/>
          <w:color w:val="000000"/>
          <w:sz w:val="32"/>
          <w:szCs w:val="32"/>
        </w:rPr>
        <w:t>绩效指标：综合事务管理工作任务完成率≥95%。</w:t>
      </w:r>
    </w:p>
    <w:p>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（三）工作保障措施</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1、完善制度建设</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完善预算绩效管理制度、资金管理办法、工作保障制度等，为全年预算绩效目标的实现奠定制度基础。</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2、加强支出管理</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通过优化支出结构、编细编实预算、加快履行政府采购手续、尽快启动项目、及时支付资金等措施，确保支出进度达标。</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3、加强绩效运行监控</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按要求开展绩效运行监控，发现问题及时采取措施，确保绩效目标如期保质实现。</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4、做好绩效自评</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按要求开展上年度部门预算绩效自评和重点评价工作，对评价中发现的问题及时整改，调整优化支出结构， 提高财政资金使用效益。</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5、规范财务资产管理</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完善财务管理制度，严格审批程序，加强固定资产登记、使用和报废处置管理，做到支出合理，物尽其用。</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6、加强内部监督</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7、加强宣传培训调研等</w:t>
      </w:r>
    </w:p>
    <w:p>
      <w:pPr>
        <w:spacing w:line="584" w:lineRule="exact"/>
        <w:ind w:firstLine="640"/>
        <w:rPr>
          <w:rFonts w:ascii="仿宋_GB2312" w:eastAsia="仿宋_GB2312" w:cs="Times New Roman" w:hint="eastAsia"/>
          <w:color w:val="000000"/>
          <w:sz w:val="32"/>
          <w:szCs w:val="32"/>
        </w:rPr>
      </w:pPr>
      <w:r>
        <w:rPr>
          <w:rFonts w:ascii="仿宋_GB2312" w:eastAsia="仿宋_GB2312" w:cs="Times New Roman" w:hint="eastAsia"/>
          <w:color w:val="000000"/>
          <w:sz w:val="32"/>
          <w:szCs w:val="32"/>
        </w:rPr>
        <w:t>加强人员培训，提高本部门职工业务素质；加强调研，提出优化财政资金配置、提高资金使用效益的意见；加大宣传力度，强化预算绩效管理意识，促进预</w:t>
      </w:r>
      <w:r>
        <w:rPr>
          <w:rFonts w:ascii="仿宋_GB2312" w:eastAsia="仿宋_GB2312" w:cs="Times New Roman" w:hint="eastAsia"/>
          <w:color w:val="000000"/>
          <w:sz w:val="32"/>
          <w:szCs w:val="32"/>
          <w:highlight w:val="auto"/>
        </w:rPr>
        <w:t>算绩效管理</w:t>
      </w:r>
      <w:r>
        <w:rPr>
          <w:rFonts w:ascii="仿宋_GB2312" w:eastAsia="仿宋_GB2312" w:cs="Times New Roman" w:hint="eastAsia"/>
          <w:color w:val="000000"/>
          <w:sz w:val="32"/>
          <w:szCs w:val="32"/>
        </w:rPr>
        <w:t>水平进一步提升。</w:t>
      </w:r>
    </w:p>
    <w:p>
      <w:pPr>
        <w:spacing w:line="584" w:lineRule="exact"/>
        <w:ind w:firstLine="640"/>
        <w:rPr>
          <w:rFonts w:ascii="仿宋" w:eastAsia="仿宋" w:cs="Times New Roman"/>
          <w:color w:val="000000"/>
          <w:sz w:val="32"/>
          <w:szCs w:val="32"/>
        </w:rPr>
      </w:pPr>
    </w:p>
    <w:p>
      <w:pPr>
        <w:spacing w:line="584" w:lineRule="exact"/>
        <w:ind w:firstLine="640"/>
        <w:rPr>
          <w:rFonts w:ascii="仿宋" w:eastAsia="仿宋" w:cs="Times New Roman"/>
          <w:color w:val="000000"/>
          <w:sz w:val="32"/>
          <w:szCs w:val="32"/>
        </w:rPr>
      </w:pPr>
    </w:p>
    <w:p>
      <w:pPr>
        <w:spacing w:line="584" w:lineRule="exact"/>
        <w:ind w:firstLine="640"/>
        <w:rPr>
          <w:rFonts w:ascii="仿宋" w:eastAsia="仿宋" w:cs="Times New Roman"/>
          <w:color w:val="000000"/>
          <w:sz w:val="32"/>
          <w:szCs w:val="32"/>
        </w:rPr>
      </w:pPr>
    </w:p>
    <w:p>
      <w:pPr>
        <w:spacing w:line="584" w:lineRule="exact"/>
        <w:ind w:firstLine="640"/>
        <w:rPr>
          <w:rFonts w:ascii="仿宋" w:eastAsia="仿宋" w:cs="Times New Roman"/>
          <w:color w:val="000000"/>
          <w:sz w:val="32"/>
          <w:szCs w:val="32"/>
        </w:rPr>
      </w:pPr>
    </w:p>
    <w:p>
      <w:pPr>
        <w:spacing w:line="584" w:lineRule="exact"/>
        <w:ind w:firstLine="640"/>
        <w:rPr>
          <w:rFonts w:ascii="仿宋" w:eastAsia="仿宋" w:cs="Times New Roman"/>
          <w:color w:val="000000"/>
          <w:sz w:val="32"/>
          <w:szCs w:val="32"/>
        </w:rPr>
      </w:pPr>
    </w:p>
    <w:p>
      <w:pPr>
        <w:spacing w:line="584" w:lineRule="exact"/>
        <w:ind w:firstLine="640"/>
        <w:rPr>
          <w:rFonts w:ascii="仿宋" w:eastAsia="仿宋" w:cs="Times New Roman"/>
          <w:color w:val="000000"/>
          <w:sz w:val="32"/>
          <w:szCs w:val="32"/>
        </w:rPr>
      </w:pPr>
    </w:p>
    <w:p>
      <w:pPr>
        <w:spacing w:line="584" w:lineRule="exact"/>
        <w:ind w:left="0"/>
        <w:rPr>
          <w:rFonts w:ascii="仿宋" w:eastAsia="仿宋" w:cs="Times New Roman" w:hint="eastAsia"/>
          <w:color w:val="000000"/>
          <w:sz w:val="32"/>
          <w:szCs w:val="32"/>
        </w:rPr>
      </w:pPr>
    </w:p>
    <w:p>
      <w:pPr>
        <w:numPr>
          <w:ilvl w:val="0"/>
          <w:numId w:val="1"/>
        </w:numPr>
        <w:overflowPunct w:val="0"/>
        <w:adjustRightInd w:val="0"/>
        <w:snapToGrid w:val="0"/>
        <w:spacing w:afterLines="50" w:after="156" w:line="580" w:lineRule="exact"/>
        <w:ind w:left="0" w:firstLineChars="196" w:firstLine="627"/>
        <w:jc w:val="left"/>
        <w:rPr>
          <w:rFonts w:ascii="楷体_GB2312" w:eastAsia="楷体_GB2312" w:cs="Times New Roman" w:hint="eastAsia"/>
          <w:b/>
          <w:sz w:val="32"/>
          <w:szCs w:val="32"/>
        </w:rPr>
      </w:pPr>
      <w:r>
        <w:rPr>
          <w:rFonts w:ascii="楷体_GB2312" w:eastAsia="楷体_GB2312" w:cs="Times New Roman" w:hint="eastAsia"/>
          <w:b/>
          <w:sz w:val="32"/>
          <w:szCs w:val="32"/>
        </w:rPr>
        <w:t>部门整体支出绩效指标</w:t>
      </w:r>
    </w:p>
    <w:p>
      <w:pPr>
        <w:overflowPunct w:val="0"/>
        <w:adjustRightInd w:val="0"/>
        <w:snapToGrid w:val="0"/>
        <w:spacing w:afterLines="50" w:after="156" w:line="580" w:lineRule="exact"/>
        <w:jc w:val="left"/>
        <w:rPr>
          <w:rFonts w:ascii="楷体_GB2312" w:eastAsia="楷体_GB2312" w:cs="Times New Roman" w:hint="eastAsia"/>
          <w:b/>
          <w:sz w:val="32"/>
          <w:szCs w:val="32"/>
        </w:rPr>
      </w:pPr>
    </w:p>
    <w:tbl>
      <w:tblPr>
        <w:jc w:val="cente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1" w:type="dxa"/>
          <w:bottom w:w="0" w:type="dxa"/>
          <w:right w:w="11" w:type="dxa"/>
        </w:tblCellMar>
      </w:tblPr>
      <w:tblGrid>
        <w:gridCol w:w="558"/>
        <w:gridCol w:w="825"/>
        <w:gridCol w:w="1247"/>
        <w:gridCol w:w="1457"/>
        <w:gridCol w:w="2205"/>
        <w:gridCol w:w="420"/>
        <w:gridCol w:w="420"/>
        <w:gridCol w:w="630"/>
        <w:gridCol w:w="1051"/>
      </w:tblGrid>
      <w:tr>
        <w:trPr>
          <w:trHeight w:val="326"/>
          <w:tblHead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24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45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20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470"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05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rPr>
          <w:trHeight w:val="533"/>
          <w:tblHeader/>
        </w:trPr>
        <w:tc>
          <w:tcPr>
            <w:tcW w:w="558" w:type="dxa"/>
            <w:vMerge/>
            <w:tcBorders>
              <w:tl2br w:val="nil"/>
              <w:tr2bl w:val="nil"/>
            </w:tcBorders>
            <w:vAlign w:val="center"/>
          </w:tcPr>
          <w:p/>
        </w:tc>
        <w:tc>
          <w:tcPr>
            <w:tcW w:w="825" w:type="dxa"/>
            <w:vMerge/>
            <w:tcBorders>
              <w:tl2br w:val="nil"/>
              <w:tr2bl w:val="nil"/>
            </w:tcBorders>
            <w:vAlign w:val="center"/>
          </w:tcPr>
          <w:p/>
        </w:tc>
        <w:tc>
          <w:tcPr>
            <w:tcW w:w="1247" w:type="dxa"/>
            <w:vMerge/>
            <w:tcBorders>
              <w:tl2br w:val="nil"/>
              <w:tr2bl w:val="nil"/>
            </w:tcBorders>
            <w:vAlign w:val="center"/>
          </w:tcPr>
          <w:p/>
        </w:tc>
        <w:tc>
          <w:tcPr>
            <w:tcW w:w="1457" w:type="dxa"/>
            <w:vMerge/>
            <w:tcBorders>
              <w:tl2br w:val="nil"/>
              <w:tr2bl w:val="nil"/>
            </w:tcBorders>
            <w:vAlign w:val="center"/>
          </w:tcPr>
          <w:p/>
        </w:tc>
        <w:tc>
          <w:tcPr>
            <w:tcW w:w="2205" w:type="dxa"/>
            <w:vMerge/>
            <w:tcBorders>
              <w:tl2br w:val="nil"/>
              <w:tr2bl w:val="nil"/>
            </w:tcBorders>
            <w:vAlign w:val="center"/>
          </w:tcPr>
          <w:p/>
        </w:tc>
        <w:tc>
          <w:tcPr>
            <w:tcW w:w="42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2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3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051" w:type="dxa"/>
            <w:vMerge/>
            <w:tcBorders>
              <w:tl2br w:val="nil"/>
              <w:tr2bl w:val="nil"/>
            </w:tcBorders>
            <w:vAlign w:val="center"/>
          </w:tcPr>
          <w:p/>
        </w:tc>
      </w:tr>
      <w:tr>
        <w:trPr>
          <w:trHeight w:val="594"/>
        </w:trPr>
        <w:tc>
          <w:tcPr>
            <w:tcW w:w="558" w:type="dxa"/>
            <w:vMerge w:val="restart"/>
            <w:tcBorders>
              <w:tl2br w:val="nil"/>
              <w:tr2bl w:val="nil"/>
            </w:tcBorders>
            <w:vAlign w:val="center"/>
          </w:tcPr>
          <w:p>
            <w:pPr>
              <w:widowControl/>
              <w:adjustRightInd w:val="0"/>
              <w:snapToGrid w:val="0"/>
              <w:jc w:val="center"/>
              <w:rPr>
                <w:rFonts w:ascii="方正书宋_GBK" w:eastAsia="方正书宋_GBK"/>
                <w:sz w:val="18"/>
                <w:szCs w:val="18"/>
              </w:rPr>
            </w:pPr>
          </w:p>
          <w:p>
            <w:pPr>
              <w:widowControl/>
              <w:adjustRightInd w:val="0"/>
              <w:snapToGrid w:val="0"/>
              <w:jc w:val="center"/>
              <w:rPr>
                <w:rFonts w:ascii="方正书宋_GBK" w:eastAsia="方正书宋_GBK"/>
                <w:sz w:val="18"/>
                <w:szCs w:val="18"/>
              </w:rPr>
            </w:pPr>
            <w:r>
              <w:rPr>
                <w:rFonts w:ascii="方正书宋_GBK" w:eastAsia="方正书宋_GBK"/>
                <w:sz w:val="18"/>
                <w:szCs w:val="18"/>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数量</w:t>
            </w:r>
          </w:p>
        </w:tc>
        <w:tc>
          <w:tcPr>
            <w:tcW w:w="1247"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重点工作完成率</w:t>
            </w:r>
          </w:p>
        </w:tc>
        <w:tc>
          <w:tcPr>
            <w:tcW w:w="1457"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未完成指标扣分</w:t>
            </w:r>
          </w:p>
        </w:tc>
        <w:tc>
          <w:tcPr>
            <w:tcW w:w="2205"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重点工作完成数量占计划完成数量的比率</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宋体" w:eastAsia="宋体" w:hint="eastAsia"/>
                <w:sz w:val="18"/>
                <w:szCs w:val="18"/>
              </w:rPr>
              <w:t>=</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100</w:t>
            </w:r>
          </w:p>
        </w:tc>
        <w:tc>
          <w:tcPr>
            <w:tcW w:w="63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百分比</w:t>
            </w:r>
          </w:p>
        </w:tc>
        <w:tc>
          <w:tcPr>
            <w:tcW w:w="1051"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工作计划</w:t>
            </w:r>
          </w:p>
        </w:tc>
      </w:tr>
      <w:tr>
        <w:trPr>
          <w:trHeight w:val="593"/>
        </w:trPr>
        <w:tc>
          <w:tcPr>
            <w:tcW w:w="558" w:type="dxa"/>
            <w:vMerg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数量</w:t>
            </w:r>
          </w:p>
        </w:tc>
        <w:tc>
          <w:tcPr>
            <w:tcW w:w="1247"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工资保障人数</w:t>
            </w:r>
          </w:p>
        </w:tc>
        <w:tc>
          <w:tcPr>
            <w:tcW w:w="1457"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未完成指标扣分</w:t>
            </w:r>
          </w:p>
        </w:tc>
        <w:tc>
          <w:tcPr>
            <w:tcW w:w="2205"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在职职工工资津补贴保障人数</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宋体" w:eastAsia="宋体" w:hint="eastAsia"/>
                <w:sz w:val="18"/>
                <w:szCs w:val="18"/>
              </w:rPr>
              <w:t>=</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118</w:t>
            </w:r>
          </w:p>
        </w:tc>
        <w:tc>
          <w:tcPr>
            <w:tcW w:w="63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人</w:t>
            </w:r>
          </w:p>
        </w:tc>
        <w:tc>
          <w:tcPr>
            <w:tcW w:w="1051"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工作计划</w:t>
            </w:r>
          </w:p>
        </w:tc>
      </w:tr>
      <w:tr>
        <w:trPr>
          <w:trHeight w:val="593"/>
        </w:trPr>
        <w:tc>
          <w:tcPr>
            <w:tcW w:w="558" w:type="dxa"/>
            <w:vMerg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质量</w:t>
            </w:r>
          </w:p>
        </w:tc>
        <w:tc>
          <w:tcPr>
            <w:tcW w:w="1247"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运转保障率</w:t>
            </w:r>
          </w:p>
        </w:tc>
        <w:tc>
          <w:tcPr>
            <w:tcW w:w="1457"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未完成指标扣分</w:t>
            </w:r>
          </w:p>
        </w:tc>
        <w:tc>
          <w:tcPr>
            <w:tcW w:w="2205"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各项工作保障率</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宋体" w:eastAsia="宋体" w:hint="eastAsia"/>
                <w:sz w:val="18"/>
                <w:szCs w:val="18"/>
              </w:rPr>
              <w:t>=</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100</w:t>
            </w:r>
          </w:p>
        </w:tc>
        <w:tc>
          <w:tcPr>
            <w:tcW w:w="63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百分比</w:t>
            </w:r>
          </w:p>
        </w:tc>
        <w:tc>
          <w:tcPr>
            <w:tcW w:w="1051"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工作计划</w:t>
            </w:r>
          </w:p>
        </w:tc>
      </w:tr>
      <w:tr>
        <w:trPr>
          <w:trHeight w:val="592"/>
        </w:trPr>
        <w:tc>
          <w:tcPr>
            <w:tcW w:w="558" w:type="dxa"/>
            <w:vMerg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质量</w:t>
            </w:r>
          </w:p>
        </w:tc>
        <w:tc>
          <w:tcPr>
            <w:tcW w:w="1247"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考核达标率</w:t>
            </w:r>
          </w:p>
        </w:tc>
        <w:tc>
          <w:tcPr>
            <w:tcW w:w="1457"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未完成指标扣分</w:t>
            </w:r>
          </w:p>
        </w:tc>
        <w:tc>
          <w:tcPr>
            <w:tcW w:w="2205"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各项工作年底考核达标率</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宋体" w:eastAsia="宋体" w:hint="eastAsia"/>
                <w:sz w:val="18"/>
                <w:szCs w:val="18"/>
              </w:rPr>
              <w:t>≥</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90</w:t>
            </w:r>
          </w:p>
        </w:tc>
        <w:tc>
          <w:tcPr>
            <w:tcW w:w="63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百分比</w:t>
            </w:r>
          </w:p>
        </w:tc>
        <w:tc>
          <w:tcPr>
            <w:tcW w:w="1051"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工作计划</w:t>
            </w:r>
          </w:p>
        </w:tc>
      </w:tr>
      <w:tr>
        <w:trPr>
          <w:trHeight w:val="614"/>
        </w:trPr>
        <w:tc>
          <w:tcPr>
            <w:tcW w:w="558" w:type="dxa"/>
            <w:vMerg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质量</w:t>
            </w:r>
          </w:p>
        </w:tc>
        <w:tc>
          <w:tcPr>
            <w:tcW w:w="1247"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重点工作质量达标率</w:t>
            </w:r>
          </w:p>
        </w:tc>
        <w:tc>
          <w:tcPr>
            <w:tcW w:w="1457"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未完成指标扣分</w:t>
            </w:r>
          </w:p>
        </w:tc>
        <w:tc>
          <w:tcPr>
            <w:tcW w:w="2205"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重点工作质量达标数量占重点工作总数量比例</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宋体" w:eastAsia="宋体" w:hint="eastAsia"/>
                <w:sz w:val="18"/>
                <w:szCs w:val="18"/>
              </w:rPr>
              <w:t>=</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100</w:t>
            </w:r>
          </w:p>
        </w:tc>
        <w:tc>
          <w:tcPr>
            <w:tcW w:w="63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百分比</w:t>
            </w:r>
          </w:p>
        </w:tc>
        <w:tc>
          <w:tcPr>
            <w:tcW w:w="1051"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工作计划</w:t>
            </w:r>
          </w:p>
        </w:tc>
      </w:tr>
      <w:tr>
        <w:trPr>
          <w:trHeight w:val="458"/>
        </w:trPr>
        <w:tc>
          <w:tcPr>
            <w:tcW w:w="558" w:type="dxa"/>
            <w:vMerg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时效</w:t>
            </w:r>
          </w:p>
        </w:tc>
        <w:tc>
          <w:tcPr>
            <w:tcW w:w="1247"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重点工作完成及时率</w:t>
            </w:r>
          </w:p>
        </w:tc>
        <w:tc>
          <w:tcPr>
            <w:tcW w:w="1457"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未完成指标扣分</w:t>
            </w:r>
          </w:p>
        </w:tc>
        <w:tc>
          <w:tcPr>
            <w:tcW w:w="2205"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重点工作完成及时率</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宋体" w:eastAsia="宋体" w:hint="eastAsia"/>
                <w:sz w:val="18"/>
                <w:szCs w:val="18"/>
              </w:rPr>
              <w:t>=</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100</w:t>
            </w:r>
          </w:p>
        </w:tc>
        <w:tc>
          <w:tcPr>
            <w:tcW w:w="63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百分比</w:t>
            </w:r>
          </w:p>
        </w:tc>
        <w:tc>
          <w:tcPr>
            <w:tcW w:w="1051"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工作计划</w:t>
            </w:r>
          </w:p>
        </w:tc>
      </w:tr>
      <w:tr>
        <w:trPr>
          <w:trHeight w:val="614"/>
        </w:trPr>
        <w:tc>
          <w:tcPr>
            <w:tcW w:w="558" w:type="dxa"/>
            <w:vMerg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成本</w:t>
            </w:r>
          </w:p>
        </w:tc>
        <w:tc>
          <w:tcPr>
            <w:tcW w:w="1247"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经费支出控制</w:t>
            </w:r>
          </w:p>
        </w:tc>
        <w:tc>
          <w:tcPr>
            <w:tcW w:w="1457"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未完成指标扣分</w:t>
            </w:r>
          </w:p>
        </w:tc>
        <w:tc>
          <w:tcPr>
            <w:tcW w:w="2205"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全年三公经费支出不超预算</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宋体" w:eastAsia="宋体" w:hint="eastAsia"/>
                <w:sz w:val="18"/>
                <w:szCs w:val="18"/>
              </w:rPr>
              <w:t>≦</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15.1</w:t>
            </w:r>
          </w:p>
        </w:tc>
        <w:tc>
          <w:tcPr>
            <w:tcW w:w="63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万元</w:t>
            </w:r>
          </w:p>
        </w:tc>
        <w:tc>
          <w:tcPr>
            <w:tcW w:w="1051"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工作计划</w:t>
            </w:r>
          </w:p>
        </w:tc>
      </w:tr>
      <w:tr>
        <w:trPr>
          <w:trHeight w:val="614"/>
        </w:trPr>
        <w:tc>
          <w:tcPr>
            <w:tcW w:w="558" w:type="dxa"/>
            <w:vMerge w:val="restart"/>
            <w:tcBorders>
              <w:tl2br w:val="nil"/>
              <w:tr2bl w:val="nil"/>
            </w:tcBorders>
            <w:vAlign w:val="center"/>
          </w:tcPr>
          <w:p>
            <w:pPr>
              <w:adjustRightInd w:val="0"/>
              <w:snapToGrid w:val="0"/>
              <w:jc w:val="center"/>
              <w:rPr>
                <w:rFonts w:ascii="方正书宋_GBK" w:eastAsia="方正书宋_GBK"/>
                <w:sz w:val="18"/>
                <w:szCs w:val="18"/>
              </w:rPr>
            </w:pPr>
            <w:r>
              <w:rPr>
                <w:rFonts w:ascii="方正书宋_GBK" w:eastAsia="方正书宋_GBK"/>
                <w:sz w:val="18"/>
                <w:szCs w:val="18"/>
              </w:rPr>
              <w:t>部门</w:t>
            </w:r>
            <w:r>
              <w:rPr>
                <w:rFonts w:ascii="方正书宋_GBK" w:eastAsia="方正书宋_GBK" w:hint="eastAsia"/>
                <w:sz w:val="18"/>
                <w:szCs w:val="18"/>
              </w:rPr>
              <w:t>效果</w:t>
            </w:r>
          </w:p>
        </w:tc>
        <w:tc>
          <w:tcPr>
            <w:tcW w:w="825"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社会</w:t>
            </w:r>
          </w:p>
          <w:p>
            <w:pPr>
              <w:widowControl/>
              <w:adjustRightInd w:val="0"/>
              <w:snapToGrid w:val="0"/>
              <w:jc w:val="center"/>
              <w:rPr>
                <w:rFonts w:ascii="方正书宋_GBK" w:eastAsia="方正书宋_GBK"/>
                <w:sz w:val="18"/>
                <w:szCs w:val="18"/>
              </w:rPr>
            </w:pPr>
            <w:r>
              <w:rPr>
                <w:rFonts w:ascii="方正书宋_GBK" w:eastAsia="方正书宋_GBK"/>
                <w:sz w:val="18"/>
                <w:szCs w:val="18"/>
              </w:rPr>
              <w:t>效益</w:t>
            </w:r>
          </w:p>
        </w:tc>
        <w:tc>
          <w:tcPr>
            <w:tcW w:w="1247"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提升水利设施整体水平</w:t>
            </w:r>
          </w:p>
        </w:tc>
        <w:tc>
          <w:tcPr>
            <w:tcW w:w="1457"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未完成指标扣分</w:t>
            </w:r>
          </w:p>
        </w:tc>
        <w:tc>
          <w:tcPr>
            <w:tcW w:w="2205"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增强全县全县水利堤防、闸、扬水站等设施的运转能力，减少损失。</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宋体" w:eastAsia="宋体" w:hint="eastAsia"/>
                <w:sz w:val="18"/>
                <w:szCs w:val="18"/>
              </w:rPr>
              <w:t>≥</w:t>
            </w:r>
          </w:p>
        </w:tc>
        <w:tc>
          <w:tcPr>
            <w:tcW w:w="42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90</w:t>
            </w:r>
          </w:p>
        </w:tc>
        <w:tc>
          <w:tcPr>
            <w:tcW w:w="63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百分比</w:t>
            </w:r>
          </w:p>
        </w:tc>
        <w:tc>
          <w:tcPr>
            <w:tcW w:w="1051"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工作计划</w:t>
            </w:r>
          </w:p>
        </w:tc>
      </w:tr>
      <w:tr>
        <w:trPr>
          <w:trHeight w:val="614"/>
        </w:trPr>
        <w:tc>
          <w:tcPr>
            <w:tcW w:w="558" w:type="dxa"/>
            <w:vMerg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hint="eastAsia"/>
                <w:sz w:val="18"/>
                <w:szCs w:val="18"/>
              </w:rPr>
              <w:t>生态</w:t>
            </w:r>
          </w:p>
          <w:p>
            <w:pPr>
              <w:widowControl/>
              <w:adjustRightInd w:val="0"/>
              <w:snapToGrid w:val="0"/>
              <w:jc w:val="center"/>
              <w:rPr>
                <w:rFonts w:ascii="方正书宋_GBK" w:eastAsia="方正书宋_GBK"/>
                <w:sz w:val="18"/>
                <w:szCs w:val="18"/>
              </w:rPr>
            </w:pPr>
            <w:r>
              <w:rPr>
                <w:rFonts w:ascii="方正书宋_GBK" w:eastAsia="方正书宋_GBK" w:hint="eastAsia"/>
                <w:sz w:val="18"/>
                <w:szCs w:val="18"/>
              </w:rPr>
              <w:t>效益</w:t>
            </w:r>
          </w:p>
        </w:tc>
        <w:tc>
          <w:tcPr>
            <w:tcW w:w="1247"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提升水资源有效保护</w:t>
            </w:r>
          </w:p>
        </w:tc>
        <w:tc>
          <w:tcPr>
            <w:tcW w:w="1457"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未完成指标扣分</w:t>
            </w:r>
          </w:p>
        </w:tc>
        <w:tc>
          <w:tcPr>
            <w:tcW w:w="2205"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部门工作对生态环境所带来的直接或间接影响情况</w:t>
            </w:r>
          </w:p>
        </w:tc>
        <w:tc>
          <w:tcPr>
            <w:tcW w:w="420"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文字描述</w:t>
            </w:r>
          </w:p>
        </w:tc>
        <w:tc>
          <w:tcPr>
            <w:tcW w:w="420" w:type="dxa"/>
            <w:tcBorders>
              <w:tl2br w:val="nil"/>
              <w:tr2bl w:val="nil"/>
            </w:tcBorders>
            <w:vAlign w:val="center"/>
          </w:tcPr>
          <w:p>
            <w:pPr>
              <w:widowControl/>
              <w:adjustRightInd w:val="0"/>
              <w:snapToGrid w:val="0"/>
              <w:rPr>
                <w:rFonts w:ascii="方正书宋_GBK" w:eastAsia="方正书宋_GBK"/>
                <w:sz w:val="18"/>
                <w:szCs w:val="18"/>
              </w:rPr>
            </w:pPr>
          </w:p>
        </w:tc>
        <w:tc>
          <w:tcPr>
            <w:tcW w:w="630"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提升</w:t>
            </w:r>
          </w:p>
        </w:tc>
        <w:tc>
          <w:tcPr>
            <w:tcW w:w="1051"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工作计划</w:t>
            </w:r>
          </w:p>
        </w:tc>
      </w:tr>
      <w:tr>
        <w:trPr>
          <w:trHeight w:val="604"/>
        </w:trPr>
        <w:tc>
          <w:tcPr>
            <w:tcW w:w="558" w:type="dxa"/>
            <w:vMerg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hint="eastAsia"/>
                <w:sz w:val="18"/>
                <w:szCs w:val="18"/>
              </w:rPr>
              <w:t>满意度</w:t>
            </w:r>
          </w:p>
        </w:tc>
        <w:tc>
          <w:tcPr>
            <w:tcW w:w="1247" w:type="dxa"/>
            <w:tcBorders>
              <w:tl2br w:val="nil"/>
              <w:tr2bl w:val="nil"/>
            </w:tcBorders>
            <w:noWrap/>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服务对象满意度</w:t>
            </w:r>
          </w:p>
        </w:tc>
        <w:tc>
          <w:tcPr>
            <w:tcW w:w="1457" w:type="dxa"/>
            <w:tcBorders>
              <w:tl2br w:val="nil"/>
              <w:tr2bl w:val="nil"/>
            </w:tcBorders>
            <w:noWrap/>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未完成指标扣分</w:t>
            </w:r>
          </w:p>
        </w:tc>
        <w:tc>
          <w:tcPr>
            <w:tcW w:w="2205" w:type="dxa"/>
            <w:tcBorders>
              <w:tl2br w:val="nil"/>
              <w:tr2bl w:val="nil"/>
            </w:tcBorders>
            <w:noWrap/>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服务对象对部门工作效果的满意程度</w:t>
            </w:r>
          </w:p>
        </w:tc>
        <w:tc>
          <w:tcPr>
            <w:tcW w:w="420" w:type="dxa"/>
            <w:tcBorders>
              <w:tl2br w:val="nil"/>
              <w:tr2bl w:val="nil"/>
            </w:tcBorders>
            <w:vAlign w:val="center"/>
          </w:tcPr>
          <w:p>
            <w:pPr>
              <w:widowControl/>
              <w:adjustRightInd w:val="0"/>
              <w:snapToGrid w:val="0"/>
              <w:rPr>
                <w:rFonts w:ascii="方正书宋_GBK" w:eastAsia="方正书宋_GBK"/>
                <w:sz w:val="18"/>
                <w:szCs w:val="18"/>
              </w:rPr>
            </w:pPr>
            <w:r>
              <w:rPr>
                <w:rFonts w:ascii="宋体" w:eastAsia="宋体" w:hint="eastAsia"/>
                <w:sz w:val="18"/>
                <w:szCs w:val="18"/>
              </w:rPr>
              <w:t>≥</w:t>
            </w:r>
          </w:p>
        </w:tc>
        <w:tc>
          <w:tcPr>
            <w:tcW w:w="420"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90</w:t>
            </w:r>
          </w:p>
        </w:tc>
        <w:tc>
          <w:tcPr>
            <w:tcW w:w="630"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百分比</w:t>
            </w:r>
          </w:p>
        </w:tc>
        <w:tc>
          <w:tcPr>
            <w:tcW w:w="1051"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调查问卷</w:t>
            </w:r>
          </w:p>
        </w:tc>
      </w:tr>
    </w:tbl>
    <w:p>
      <w:pPr>
        <w:spacing w:line="584" w:lineRule="exact"/>
        <w:rPr>
          <w:rFonts w:ascii="仿宋_GB2312" w:eastAsia="仿宋_GB2312" w:cs="Times New Roman"/>
          <w:sz w:val="32"/>
          <w:szCs w:val="32"/>
        </w:rPr>
      </w:pPr>
    </w:p>
    <w:p>
      <w:pPr>
        <w:spacing w:line="584" w:lineRule="exact"/>
        <w:ind w:firstLineChars="200" w:firstLine="640"/>
        <w:rPr>
          <w:rFonts w:ascii="Times New Roman" w:eastAsia="黑体" w:cs="Times New Roman" w:hAnsi="Times New Roman"/>
          <w:sz w:val="32"/>
          <w:szCs w:val="32"/>
        </w:rPr>
      </w:pPr>
      <w:r>
        <w:rPr>
          <w:rFonts w:ascii="Times New Roman" w:eastAsia="黑体" w:cs="Times New Roman" w:hAnsi="Times New Roman" w:hint="eastAsia"/>
          <w:sz w:val="32"/>
          <w:szCs w:val="32"/>
        </w:rPr>
        <w:t>第二部分 资金绩效目标</w:t>
      </w: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1.大城县节水型社会建设项目资金绩效目标表</w:t>
      </w:r>
      <w:bookmarkStart w:id="1" w:name="_Toc29799657"/>
      <w:bookmarkEnd w:id="1"/>
    </w:p>
    <w:tbl>
      <w:tblPr>
        <w:jc w:val="left"/>
        <w:tblInd w:w="96" w:type="dxa"/>
        <w:tblW w:w="14649"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318"/>
        <w:gridCol w:w="2183"/>
        <w:gridCol w:w="3636"/>
        <w:gridCol w:w="1304"/>
        <w:gridCol w:w="1304"/>
        <w:gridCol w:w="1466"/>
        <w:gridCol w:w="1782"/>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713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sz w:val="18"/>
                <w:szCs w:val="18"/>
                <w:u w:val="none"/>
              </w:rPr>
              <w:t>13102522P00000510007M大城县节水型社会建设项目资金-上级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i w:val="0"/>
                <w:iCs w:val="0"/>
                <w:color w:val="000000"/>
                <w:sz w:val="18"/>
                <w:szCs w:val="18"/>
                <w:u w:val="none"/>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713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sz w:val="18"/>
                <w:szCs w:val="18"/>
                <w:u w:val="none"/>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i w:val="0"/>
                <w:iCs w:val="0"/>
                <w:color w:val="000000"/>
                <w:sz w:val="18"/>
                <w:szCs w:val="18"/>
                <w:u w:val="none"/>
              </w:rPr>
              <w:t>50万元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用于支付节水型社会建设项目资金。</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350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3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07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17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50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407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i w:val="0"/>
                <w:iCs w:val="0"/>
                <w:color w:val="000000"/>
                <w:sz w:val="18"/>
                <w:szCs w:val="18"/>
                <w:u w:val="none"/>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67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sz w:val="18"/>
                <w:szCs w:val="18"/>
                <w:u w:val="none"/>
              </w:rPr>
              <w:t>提高实施节水型社会项目建设，提高群众节水意识。</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31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218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36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07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178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36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178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218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节水器具数量</w:t>
            </w:r>
          </w:p>
        </w:tc>
        <w:tc>
          <w:tcPr>
            <w:tcW w:w="363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购买节水器具数量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1</w:t>
            </w:r>
          </w:p>
        </w:tc>
        <w:tc>
          <w:tcPr>
            <w:tcW w:w="146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批</w:t>
            </w:r>
          </w:p>
        </w:tc>
        <w:tc>
          <w:tcPr>
            <w:tcW w:w="1782"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实施方案</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218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验收合格率</w:t>
            </w:r>
          </w:p>
        </w:tc>
        <w:tc>
          <w:tcPr>
            <w:tcW w:w="363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合格的工程数据占工程总数量的比例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90</w:t>
            </w:r>
          </w:p>
        </w:tc>
        <w:tc>
          <w:tcPr>
            <w:tcW w:w="146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百分比</w:t>
            </w:r>
          </w:p>
        </w:tc>
        <w:tc>
          <w:tcPr>
            <w:tcW w:w="1782"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行业标准</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时效指标</w:t>
            </w:r>
          </w:p>
        </w:tc>
        <w:tc>
          <w:tcPr>
            <w:tcW w:w="218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完工时间</w:t>
            </w:r>
          </w:p>
        </w:tc>
        <w:tc>
          <w:tcPr>
            <w:tcW w:w="363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项目按时完工时间</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hint="eastAsia"/>
                <w:sz w:val="18"/>
                <w:szCs w:val="18"/>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2022年12月底</w:t>
            </w:r>
          </w:p>
        </w:tc>
        <w:tc>
          <w:tcPr>
            <w:tcW w:w="1782"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实施方案</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成本指标</w:t>
            </w:r>
          </w:p>
        </w:tc>
        <w:tc>
          <w:tcPr>
            <w:tcW w:w="218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w:t>
            </w:r>
          </w:p>
        </w:tc>
        <w:tc>
          <w:tcPr>
            <w:tcW w:w="363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成本控制在预算范围内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50</w:t>
            </w:r>
          </w:p>
        </w:tc>
        <w:tc>
          <w:tcPr>
            <w:tcW w:w="146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万元</w:t>
            </w:r>
          </w:p>
        </w:tc>
        <w:tc>
          <w:tcPr>
            <w:tcW w:w="1782"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项目预算</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经济效益指标</w:t>
            </w:r>
          </w:p>
        </w:tc>
        <w:tc>
          <w:tcPr>
            <w:tcW w:w="218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提高水资源开发利用率</w:t>
            </w:r>
          </w:p>
        </w:tc>
        <w:tc>
          <w:tcPr>
            <w:tcW w:w="363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提高水资源开发利用率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95</w:t>
            </w:r>
          </w:p>
        </w:tc>
        <w:tc>
          <w:tcPr>
            <w:tcW w:w="146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百分比</w:t>
            </w:r>
          </w:p>
        </w:tc>
        <w:tc>
          <w:tcPr>
            <w:tcW w:w="1782"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实施方案</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社会效益指标</w:t>
            </w:r>
          </w:p>
        </w:tc>
        <w:tc>
          <w:tcPr>
            <w:tcW w:w="218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为落实最严格水资源管理制度提供分析数据</w:t>
            </w:r>
          </w:p>
        </w:tc>
        <w:tc>
          <w:tcPr>
            <w:tcW w:w="363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为落实最严格水资源管理制度提供分析数据</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95</w:t>
            </w:r>
          </w:p>
        </w:tc>
        <w:tc>
          <w:tcPr>
            <w:tcW w:w="146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百分比</w:t>
            </w:r>
          </w:p>
        </w:tc>
        <w:tc>
          <w:tcPr>
            <w:tcW w:w="1782"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实施方案</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218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服务对象满意</w:t>
            </w:r>
          </w:p>
        </w:tc>
        <w:tc>
          <w:tcPr>
            <w:tcW w:w="363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项目区受益群众满意度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90</w:t>
            </w:r>
          </w:p>
        </w:tc>
        <w:tc>
          <w:tcPr>
            <w:tcW w:w="146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百分比</w:t>
            </w:r>
          </w:p>
        </w:tc>
        <w:tc>
          <w:tcPr>
            <w:tcW w:w="1782"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问卷调查</w:t>
            </w:r>
          </w:p>
        </w:tc>
      </w:tr>
    </w:tbl>
    <w:p>
      <w:pPr>
        <w:ind w:firstLineChars="200" w:firstLine="560"/>
        <w:jc w:val="left"/>
        <w:outlineLvl w:val="1"/>
        <w:rPr>
          <w:rFonts w:ascii="Times New Roman" w:eastAsia="仿宋_GB2312" w:cs="Times New Roman" w:hAnsi="Times New Roman"/>
          <w:vanish/>
          <w:sz w:val="28"/>
        </w:rPr>
      </w:pPr>
    </w:p>
    <w:p>
      <w:pPr>
        <w:ind w:firstLineChars="200" w:firstLine="560"/>
        <w:jc w:val="left"/>
        <w:outlineLvl w:val="1"/>
        <w:rPr>
          <w:rFonts w:ascii="Times New Roman" w:eastAsia="仿宋_GB2312" w:cs="Times New Roman" w:hAnsi="Times New Roman"/>
          <w:vanish/>
          <w:sz w:val="28"/>
        </w:rPr>
      </w:pPr>
    </w:p>
    <w:p>
      <w:pPr>
        <w:ind w:firstLineChars="200" w:firstLine="560"/>
        <w:jc w:val="left"/>
        <w:outlineLvl w:val="1"/>
        <w:rPr>
          <w:rFonts w:ascii="Times New Roman" w:eastAsia="仿宋_GB2312" w:cs="Times New Roman" w:hAnsi="Times New Roman"/>
          <w:vanish/>
          <w:sz w:val="28"/>
        </w:rPr>
      </w:pPr>
    </w:p>
    <w:p>
      <w:pPr>
        <w:ind w:firstLineChars="200" w:firstLine="560"/>
        <w:jc w:val="left"/>
        <w:outlineLvl w:val="1"/>
        <w:rPr>
          <w:rFonts w:ascii="Times New Roman" w:eastAsia="仿宋_GB2312" w:cs="Times New Roman" w:hAnsi="Times New Roman"/>
          <w:vanish/>
          <w:sz w:val="28"/>
        </w:rPr>
      </w:pPr>
    </w:p>
    <w:p>
      <w:pPr>
        <w:ind w:firstLineChars="200" w:firstLine="560"/>
        <w:jc w:val="left"/>
        <w:outlineLvl w:val="1"/>
        <w:rPr>
          <w:rFonts w:ascii="Times New Roman" w:eastAsia="仿宋_GB2312" w:cs="Times New Roman" w:hAnsi="Times New Roman"/>
          <w:vanish/>
          <w:sz w:val="28"/>
        </w:rPr>
      </w:pPr>
    </w:p>
    <w:p>
      <w:pPr>
        <w:ind w:firstLineChars="200" w:firstLine="560"/>
        <w:jc w:val="left"/>
        <w:outlineLvl w:val="1"/>
        <w:rPr>
          <w:rFonts w:ascii="Times New Roman" w:eastAsia="仿宋_GB2312" w:cs="Times New Roman" w:hAnsi="Times New Roman"/>
          <w:vanish/>
          <w:sz w:val="28"/>
        </w:rPr>
      </w:pPr>
    </w:p>
    <w:p>
      <w:pPr>
        <w:ind w:firstLineChars="200" w:firstLine="560"/>
        <w:jc w:val="left"/>
        <w:outlineLvl w:val="1"/>
        <w:rPr>
          <w:rFonts w:ascii="Times New Roman" w:eastAsia="仿宋_GB2312" w:cs="Times New Roman" w:hAnsi="Times New Roman"/>
          <w:vanish/>
          <w:sz w:val="28"/>
        </w:rPr>
      </w:pP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vanish/>
          <w:sz w:val="28"/>
        </w:rPr>
        <w:t>{ TC 2、办公自动化（OA）和督查督办系统升级及推广费绩效目标表 \f C \l 1 }</w:t>
      </w:r>
    </w:p>
    <w:p>
      <w:pPr>
        <w:spacing w:line="14" w:lineRule="exact"/>
        <w:ind w:firstLineChars="200" w:firstLine="420"/>
        <w:jc w:val="center"/>
        <w:rPr>
          <w:rFonts w:ascii="Times New Roman" w:eastAsia="仿宋_GB2312" w:cs="Times New Roman" w:hAnsi="Times New Roman"/>
        </w:rPr>
      </w:pPr>
    </w:p>
    <w:p>
      <w:pPr>
        <w:ind w:firstLineChars="200" w:firstLine="560"/>
        <w:jc w:val="left"/>
        <w:outlineLvl w:val="1"/>
        <w:rPr>
          <w:rFonts w:ascii="Times New Roman" w:eastAsia="仿宋_GB2312" w:cs="Times New Roman" w:hAnsi="Times New Roman"/>
          <w:sz w:val="28"/>
        </w:rPr>
      </w:pPr>
    </w:p>
    <w:p>
      <w:pPr>
        <w:ind w:left="0"/>
        <w:jc w:val="left"/>
        <w:outlineLvl w:val="1"/>
        <w:rPr>
          <w:rFonts w:ascii="Times New Roman" w:eastAsia="仿宋_GB2312" w:cs="Times New Roman" w:hAnsi="Times New Roman"/>
          <w:sz w:val="28"/>
        </w:rPr>
      </w:pP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2.2022年韩庄闸维修养护项目资金绩效目标表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945"/>
        <w:gridCol w:w="4399"/>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[13102522P00927810001A]2022年韩庄闸维修养护项目资金-上级</w:t>
            </w:r>
          </w:p>
        </w:tc>
        <w:tc>
          <w:tcPr>
            <w:tcW w:w="260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40万元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用于支付韩庄闸维修养护费用</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97%</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97%</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97%</w:t>
            </w:r>
          </w:p>
        </w:tc>
      </w:tr>
      <w:tr>
        <w:trPr>
          <w:trHeight w:val="300"/>
        </w:trPr>
        <w:tc>
          <w:tcPr>
            <w:tcW w:w="1656" w:type="dxa"/>
            <w:tcBorders>
              <w:top w:val="single" w:sz="4" w:space="0" w:color="000000"/>
              <w:left w:val="single" w:sz="4" w:space="0" w:color="000000"/>
              <w:bottom w:val="nil"/>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对韩庄闸进行维修，保障工程良性运行，保障安全度汛。</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39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39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维修数量</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维修闸数量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座</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工程质量合格率</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合格工程量占工程总量的比例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完成时间</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工程完成时间</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2022年6月底前</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成本控制在预算范围内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40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生态效益指标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保障安全度汛</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保障安全度汛</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保障</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可持续影响指标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是否良性运行</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工程是否良性运行</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是</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群众满意度</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满意人数占调查总人数的比例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ind w:firstLineChars="200" w:firstLine="560"/>
        <w:jc w:val="left"/>
        <w:outlineLvl w:val="1"/>
        <w:rPr>
          <w:rFonts w:ascii="Times New Roman" w:eastAsia="仿宋_GB2312" w:cs="Times New Roman" w:hAnsi="Times New Roman"/>
          <w:sz w:val="28"/>
        </w:rPr>
      </w:pPr>
    </w:p>
    <w:p>
      <w:pPr>
        <w:ind w:firstLineChars="200" w:firstLine="560"/>
        <w:jc w:val="left"/>
        <w:outlineLvl w:val="1"/>
        <w:rPr>
          <w:rFonts w:ascii="Times New Roman" w:eastAsia="仿宋_GB2312" w:cs="Times New Roman" w:hAnsi="Times New Roman"/>
          <w:sz w:val="28"/>
        </w:rPr>
      </w:pPr>
    </w:p>
    <w:p>
      <w:pPr>
        <w:ind w:firstLineChars="200" w:firstLine="560"/>
        <w:jc w:val="left"/>
        <w:outlineLvl w:val="1"/>
        <w:rPr>
          <w:rFonts w:ascii="Times New Roman" w:eastAsia="仿宋_GB2312" w:cs="Times New Roman" w:hAnsi="Times New Roman"/>
          <w:sz w:val="28"/>
        </w:rPr>
      </w:pP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3.河渠保护和治理规划编制费绩效目标表</w:t>
      </w:r>
    </w:p>
    <w:tbl>
      <w:tblPr>
        <w:jc w:val="left"/>
        <w:tblInd w:w="96" w:type="dxa"/>
        <w:tblW w:w="14649"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318"/>
        <w:gridCol w:w="2183"/>
        <w:gridCol w:w="3636"/>
        <w:gridCol w:w="1304"/>
        <w:gridCol w:w="1304"/>
        <w:gridCol w:w="995"/>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713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i w:val="0"/>
                <w:iCs w:val="0"/>
                <w:color w:val="000000"/>
                <w:sz w:val="18"/>
                <w:szCs w:val="18"/>
                <w:u w:val="none"/>
              </w:rPr>
              <w:t>[13102522P00925510001T]河渠保护和治理规划编制费</w:t>
              <w:tab/>
              <w:tab/>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主管部门</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i w:val="0"/>
                <w:iCs w:val="0"/>
                <w:color w:val="000000"/>
                <w:sz w:val="18"/>
                <w:szCs w:val="18"/>
                <w:u w:val="none"/>
              </w:rPr>
              <w:t>[332]大城县水务局</w:t>
              <w:tab/>
              <w:tab/>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713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i w:val="0"/>
                <w:iCs w:val="0"/>
                <w:color w:val="000000"/>
                <w:sz w:val="18"/>
                <w:szCs w:val="18"/>
                <w:u w:val="none"/>
              </w:rPr>
              <w:t>[332001]大城县水务局本级</w:t>
              <w:tab/>
              <w:tab/>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年度资金总额</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i w:val="0"/>
                <w:iCs w:val="0"/>
                <w:color w:val="000000"/>
                <w:sz w:val="18"/>
                <w:szCs w:val="18"/>
                <w:u w:val="none"/>
              </w:rPr>
              <w:t>10万元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i w:val="0"/>
                <w:iCs w:val="0"/>
                <w:color w:val="000000"/>
                <w:sz w:val="18"/>
                <w:szCs w:val="18"/>
                <w:u w:val="none"/>
              </w:rPr>
            </w:pPr>
            <w:r>
              <w:rPr>
                <w:rFonts w:ascii="宋体" w:eastAsia="宋体" w:cs="宋体"/>
                <w:i w:val="0"/>
                <w:iCs w:val="0"/>
                <w:color w:val="000000"/>
                <w:sz w:val="18"/>
                <w:szCs w:val="18"/>
                <w:u w:val="none"/>
              </w:rPr>
              <w:t>用于支付河渠保护和治理规划编制费</w:t>
              <w:tab/>
              <w:tab/>
              <w:tab/>
            </w:r>
          </w:p>
          <w:p>
            <w:pPr>
              <w:keepNext w:val="0"/>
              <w:keepLines w:val="0"/>
              <w:widowControl/>
              <w:suppressLineNumbers w:val="0"/>
              <w:jc w:val="left"/>
              <w:textAlignment w:val="center"/>
              <w:rPr>
                <w:rFonts w:ascii="宋体" w:eastAsia="宋体" w:cs="宋体" w:hint="eastAsia"/>
                <w:i w:val="0"/>
                <w:iCs w:val="0"/>
                <w:color w:val="000000"/>
                <w:sz w:val="18"/>
                <w:szCs w:val="18"/>
                <w:u w:val="none"/>
              </w:rPr>
            </w:pP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350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3月底</w:t>
            </w:r>
          </w:p>
        </w:tc>
        <w:tc>
          <w:tcPr>
            <w:tcW w:w="3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6月底</w:t>
            </w:r>
          </w:p>
        </w:tc>
        <w:tc>
          <w:tcPr>
            <w:tcW w:w="360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50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p>
        </w:tc>
        <w:tc>
          <w:tcPr>
            <w:tcW w:w="360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i w:val="0"/>
                <w:iCs w:val="0"/>
                <w:color w:val="000000"/>
                <w:sz w:val="18"/>
                <w:szCs w:val="18"/>
                <w:u w:val="none"/>
              </w:rPr>
              <w:t>100%</w:t>
              <w:tab/>
              <w:tab/>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s="宋体" w:hint="eastAsia"/>
                <w:i w:val="0"/>
                <w:iCs w:val="0"/>
                <w:color w:val="000000"/>
                <w:sz w:val="18"/>
                <w:szCs w:val="18"/>
                <w:u w:val="none"/>
              </w:rPr>
            </w:pP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目标1</w:t>
            </w:r>
          </w:p>
        </w:tc>
        <w:tc>
          <w:tcPr>
            <w:tcW w:w="11674"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i w:val="0"/>
                <w:iCs w:val="0"/>
                <w:color w:val="000000"/>
                <w:sz w:val="18"/>
                <w:szCs w:val="18"/>
                <w:u w:val="none"/>
              </w:rPr>
              <w:t>完成16条河渠保护治理与利用规划编制工作。通过编制河渠保护治理与利用规划，划定岸线功能分区，加强岸线空间管控，推动岸线有效保护和合理利用，保障河势稳定和防洪安全、供水安全、航运安全、生态安全。</w:t>
              <w:tab/>
              <w:tab/>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31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二级指标</w:t>
            </w:r>
          </w:p>
        </w:tc>
        <w:tc>
          <w:tcPr>
            <w:tcW w:w="218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三级指标</w:t>
            </w:r>
          </w:p>
        </w:tc>
        <w:tc>
          <w:tcPr>
            <w:tcW w:w="36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绩效指标描述（指标内容）</w:t>
            </w:r>
          </w:p>
        </w:tc>
        <w:tc>
          <w:tcPr>
            <w:tcW w:w="360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36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值</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2183" w:type="dxa"/>
            <w:tcBorders>
              <w:top w:val="single" w:sz="4" w:space="0" w:color="000000"/>
              <w:left w:val="single" w:sz="4" w:space="0" w:color="000000"/>
              <w:bottom w:val="single" w:sz="4" w:space="0" w:color="000000"/>
              <w:right w:val="single" w:sz="4" w:space="0" w:color="000000"/>
            </w:tcBorders>
            <w:shd w:val="clear" w:color="auto" w:fill="auto"/>
            <w:noWrap/>
          </w:tcPr>
          <w:p>
            <w:r>
              <w:t>河渠测量数</w:t>
              <w:tab/>
            </w:r>
          </w:p>
        </w:tc>
        <w:tc>
          <w:tcPr>
            <w:tcW w:w="3636" w:type="dxa"/>
            <w:tcBorders>
              <w:top w:val="single" w:sz="4" w:space="0" w:color="000000"/>
              <w:left w:val="single" w:sz="4" w:space="0" w:color="000000"/>
              <w:bottom w:val="single" w:sz="4" w:space="0" w:color="000000"/>
              <w:right w:val="single" w:sz="4" w:space="0" w:color="000000"/>
            </w:tcBorders>
            <w:shd w:val="clear" w:color="auto" w:fill="auto"/>
            <w:noWrap/>
          </w:tcPr>
          <w:p>
            <w:r>
              <w:t>完成河渠数据测量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1</w:t>
            </w:r>
            <w:r>
              <w:rPr>
                <w:rFonts w:ascii="宋体" w:cs="宋体"/>
                <w:sz w:val="18"/>
                <w:szCs w:val="18"/>
              </w:rPr>
              <w:t>6</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sz w:val="18"/>
                <w:szCs w:val="18"/>
              </w:rPr>
              <w:t>条</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sz w:val="18"/>
                <w:szCs w:val="18"/>
              </w:rPr>
              <w:t>数量指标</w:t>
            </w:r>
          </w:p>
        </w:tc>
        <w:tc>
          <w:tcPr>
            <w:tcW w:w="218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sz w:val="18"/>
                <w:szCs w:val="18"/>
              </w:rPr>
              <w:t>规划编制河渠长度数</w:t>
            </w:r>
          </w:p>
        </w:tc>
        <w:tc>
          <w:tcPr>
            <w:tcW w:w="363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sz w:val="18"/>
                <w:szCs w:val="18"/>
              </w:rPr>
              <w:t>完成河渠规划编制长度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eastAsia="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sz w:val="18"/>
                <w:szCs w:val="18"/>
              </w:rPr>
              <w:t>114.7</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sz w:val="18"/>
                <w:szCs w:val="18"/>
              </w:rPr>
              <w:t>公里</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sz w:val="18"/>
                <w:szCs w:val="18"/>
              </w:rPr>
              <w:t>质量指标</w:t>
            </w:r>
          </w:p>
        </w:tc>
        <w:tc>
          <w:tcPr>
            <w:tcW w:w="218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sz w:val="18"/>
                <w:szCs w:val="18"/>
              </w:rPr>
              <w:t>方案和规划编制质量</w:t>
            </w:r>
          </w:p>
        </w:tc>
        <w:tc>
          <w:tcPr>
            <w:tcW w:w="363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sz w:val="18"/>
                <w:szCs w:val="18"/>
              </w:rPr>
              <w:t>通过专家评审</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hint="eastAsia"/>
                <w:sz w:val="18"/>
                <w:szCs w:val="18"/>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sz w:val="18"/>
                <w:szCs w:val="18"/>
              </w:rPr>
              <w:t>合格</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299"/>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sz w:val="18"/>
                <w:szCs w:val="18"/>
              </w:rPr>
            </w:pPr>
            <w:r>
              <w:rPr>
                <w:rFonts w:ascii="宋体" w:cs="宋体"/>
                <w:sz w:val="18"/>
                <w:szCs w:val="18"/>
              </w:rPr>
              <w:t>时效指标</w:t>
            </w:r>
          </w:p>
        </w:tc>
        <w:tc>
          <w:tcPr>
            <w:tcW w:w="218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sz w:val="18"/>
                <w:szCs w:val="18"/>
              </w:rPr>
            </w:pPr>
            <w:r>
              <w:rPr>
                <w:rFonts w:ascii="宋体" w:cs="宋体"/>
                <w:sz w:val="18"/>
                <w:szCs w:val="18"/>
              </w:rPr>
              <w:t>资金拨付</w:t>
            </w:r>
          </w:p>
        </w:tc>
        <w:tc>
          <w:tcPr>
            <w:tcW w:w="363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sz w:val="18"/>
                <w:szCs w:val="18"/>
              </w:rPr>
            </w:pPr>
            <w:r>
              <w:rPr>
                <w:rFonts w:ascii="宋体" w:cs="宋体"/>
                <w:sz w:val="18"/>
                <w:szCs w:val="18"/>
              </w:rPr>
              <w:t>资金拨付情况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sz w:val="18"/>
                <w:szCs w:val="18"/>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sz w:val="18"/>
                <w:szCs w:val="18"/>
              </w:rPr>
            </w:pPr>
            <w:r>
              <w:rPr>
                <w:rFonts w:ascii="宋体" w:cs="宋体"/>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成本指标</w:t>
            </w:r>
          </w:p>
        </w:tc>
        <w:tc>
          <w:tcPr>
            <w:tcW w:w="218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w:t>
            </w:r>
          </w:p>
        </w:tc>
        <w:tc>
          <w:tcPr>
            <w:tcW w:w="363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成本控制在预算范围内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sz w:val="18"/>
                <w:szCs w:val="18"/>
              </w:rPr>
              <w:t>10</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可持续影响指标</w:t>
            </w:r>
          </w:p>
        </w:tc>
        <w:tc>
          <w:tcPr>
            <w:tcW w:w="218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sz w:val="18"/>
                <w:szCs w:val="18"/>
              </w:rPr>
              <w:t>规划明确</w:t>
            </w:r>
          </w:p>
        </w:tc>
        <w:tc>
          <w:tcPr>
            <w:tcW w:w="363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sz w:val="18"/>
                <w:szCs w:val="18"/>
              </w:rPr>
              <w:t>推动河渠岸线有效保护和合理利用</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hint="eastAsia"/>
                <w:sz w:val="18"/>
                <w:szCs w:val="18"/>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218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群众满意度</w:t>
            </w:r>
          </w:p>
        </w:tc>
        <w:tc>
          <w:tcPr>
            <w:tcW w:w="363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满意人数占调查总人数的比例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90</w:t>
            </w: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问卷调查</w:t>
            </w:r>
          </w:p>
        </w:tc>
      </w:tr>
    </w:tbl>
    <w:p>
      <w:pPr>
        <w:ind w:firstLineChars="200" w:firstLine="560"/>
        <w:jc w:val="left"/>
        <w:outlineLvl w:val="1"/>
        <w:rPr>
          <w:rFonts w:ascii="Times New Roman" w:eastAsia="仿宋_GB2312" w:cs="Times New Roman" w:hAnsi="Times New Roman"/>
          <w:sz w:val="28"/>
        </w:rPr>
      </w:pPr>
    </w:p>
    <w:p>
      <w:pPr>
        <w:ind w:firstLineChars="200" w:firstLine="560"/>
        <w:jc w:val="left"/>
        <w:outlineLvl w:val="1"/>
        <w:rPr>
          <w:rFonts w:ascii="Times New Roman" w:eastAsia="仿宋_GB2312" w:cs="Times New Roman" w:hAnsi="Times New Roman"/>
          <w:sz w:val="28"/>
        </w:rPr>
      </w:pPr>
    </w:p>
    <w:p>
      <w:pPr>
        <w:ind w:firstLineChars="200" w:firstLine="560"/>
        <w:jc w:val="left"/>
        <w:outlineLvl w:val="1"/>
        <w:rPr>
          <w:rFonts w:ascii="Times New Roman" w:eastAsia="仿宋_GB2312" w:cs="Times New Roman" w:hAnsi="Times New Roman"/>
          <w:sz w:val="28"/>
        </w:rPr>
      </w:pP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4.市级河长信息公示牌维护资金绩效目标表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026"/>
        <w:gridCol w:w="1155"/>
        <w:gridCol w:w="4293"/>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i w:val="0"/>
                <w:iCs w:val="0"/>
                <w:color w:val="000000"/>
                <w:sz w:val="18"/>
                <w:szCs w:val="18"/>
                <w:u w:val="none"/>
              </w:rPr>
              <w:t>[13102522P000006100054]市级河长信息公示牌维护资金-上级</w:t>
              <w:tab/>
              <w:tab/>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i w:val="0"/>
                <w:iCs w:val="0"/>
                <w:color w:val="000000"/>
                <w:sz w:val="18"/>
                <w:szCs w:val="18"/>
                <w:u w:val="none"/>
              </w:rPr>
              <w:t>[332]大城县水务局</w:t>
              <w:tab/>
              <w:tab/>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i w:val="0"/>
                <w:iCs w:val="0"/>
                <w:color w:val="000000"/>
                <w:sz w:val="18"/>
                <w:szCs w:val="18"/>
                <w:u w:val="none"/>
              </w:rPr>
              <w:t>[332001]大城县水务局本级</w:t>
              <w:tab/>
              <w:tab/>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i w:val="0"/>
                <w:iCs w:val="0"/>
                <w:color w:val="000000"/>
                <w:sz w:val="18"/>
                <w:szCs w:val="18"/>
                <w:u w:val="none"/>
              </w:rPr>
              <w:t>0.35万元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i w:val="0"/>
                <w:iCs w:val="0"/>
                <w:color w:val="000000"/>
                <w:sz w:val="18"/>
                <w:szCs w:val="18"/>
                <w:u w:val="none"/>
              </w:rPr>
            </w:pPr>
            <w:r>
              <w:rPr>
                <w:rFonts w:ascii="宋体" w:eastAsia="宋体" w:cs="宋体"/>
                <w:i w:val="0"/>
                <w:iCs w:val="0"/>
                <w:color w:val="000000"/>
                <w:sz w:val="18"/>
                <w:szCs w:val="18"/>
                <w:u w:val="none"/>
              </w:rPr>
              <w:t>用于支付市级河长信息公示牌更新维护费</w:t>
              <w:tab/>
              <w:tab/>
              <w:tab/>
            </w:r>
          </w:p>
          <w:p>
            <w:pPr>
              <w:keepNext w:val="0"/>
              <w:keepLines w:val="0"/>
              <w:widowControl/>
              <w:suppressLineNumbers w:val="0"/>
              <w:jc w:val="left"/>
              <w:textAlignment w:val="center"/>
              <w:rPr>
                <w:rFonts w:ascii="宋体" w:eastAsia="宋体" w:cs="宋体" w:hint="eastAsia"/>
                <w:i w:val="0"/>
                <w:iCs w:val="0"/>
                <w:color w:val="000000"/>
                <w:sz w:val="18"/>
                <w:szCs w:val="18"/>
                <w:u w:val="none"/>
              </w:rPr>
            </w:pP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3月底</w:t>
            </w:r>
          </w:p>
        </w:tc>
        <w:tc>
          <w:tcPr>
            <w:tcW w:w="42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p>
        </w:tc>
        <w:tc>
          <w:tcPr>
            <w:tcW w:w="42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r>
              <w:rPr>
                <w:rFonts w:ascii="宋体" w:eastAsia="宋体" w:cs="宋体"/>
                <w:i w:val="0"/>
                <w:iCs w:val="0"/>
                <w:color w:val="000000"/>
                <w:sz w:val="18"/>
                <w:szCs w:val="18"/>
                <w:u w:val="none"/>
              </w:rPr>
              <w:t>100%</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s="宋体" w:hint="eastAsia"/>
                <w:i w:val="0"/>
                <w:iCs w:val="0"/>
                <w:color w:val="000000"/>
                <w:sz w:val="18"/>
                <w:szCs w:val="18"/>
                <w:u w:val="none"/>
              </w:rPr>
            </w:pP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目标1</w:t>
            </w:r>
          </w:p>
        </w:tc>
        <w:tc>
          <w:tcPr>
            <w:tcW w:w="1196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i w:val="0"/>
                <w:iCs w:val="0"/>
                <w:color w:val="000000"/>
                <w:sz w:val="18"/>
                <w:szCs w:val="18"/>
                <w:u w:val="none"/>
              </w:rPr>
              <w:t>完成7块市级河长信息公示牌更新维护，增强社会监督。</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二级指标</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三级指标</w:t>
            </w:r>
          </w:p>
        </w:tc>
        <w:tc>
          <w:tcPr>
            <w:tcW w:w="429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2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kern w:val="0"/>
                <w:sz w:val="18"/>
                <w:szCs w:val="18"/>
              </w:rPr>
            </w:pPr>
            <w:r>
              <w:rPr>
                <w:rFonts w:ascii="宋体" w:cs="宋体"/>
                <w:kern w:val="0"/>
                <w:sz w:val="18"/>
                <w:szCs w:val="18"/>
              </w:rPr>
              <w:t>数量指标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公示牌数量</w:t>
            </w:r>
          </w:p>
        </w:tc>
        <w:tc>
          <w:tcPr>
            <w:tcW w:w="429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完成更新维护公示牌数量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7</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color w:val="000000"/>
                <w:sz w:val="18"/>
                <w:szCs w:val="18"/>
              </w:rPr>
            </w:pPr>
            <w:r>
              <w:rPr>
                <w:rFonts w:ascii="宋体" w:cs="宋体" w:hint="eastAsia"/>
                <w:color w:val="000000"/>
                <w:sz w:val="18"/>
                <w:szCs w:val="18"/>
              </w:rPr>
              <w:t>质量指标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合格率</w:t>
            </w:r>
          </w:p>
        </w:tc>
        <w:tc>
          <w:tcPr>
            <w:tcW w:w="429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合格数量占总量的比例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100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color w:val="000000"/>
                <w:sz w:val="18"/>
                <w:szCs w:val="18"/>
              </w:rPr>
            </w:pPr>
            <w:r>
              <w:rPr>
                <w:rFonts w:ascii="宋体" w:cs="宋体" w:hint="eastAsia"/>
                <w:color w:val="000000"/>
                <w:sz w:val="18"/>
                <w:szCs w:val="18"/>
              </w:rPr>
              <w:t>时效指标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及时</w:t>
            </w:r>
          </w:p>
        </w:tc>
        <w:tc>
          <w:tcPr>
            <w:tcW w:w="429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信息更新及时</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color w:val="000000"/>
                <w:sz w:val="18"/>
                <w:szCs w:val="18"/>
              </w:rPr>
            </w:pPr>
            <w:r>
              <w:rPr>
                <w:rFonts w:ascii="宋体" w:cs="宋体" w:hint="eastAsia"/>
                <w:color w:val="000000"/>
                <w:sz w:val="18"/>
                <w:szCs w:val="18"/>
              </w:rPr>
              <w:t>成本指标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成本控制</w:t>
            </w:r>
          </w:p>
        </w:tc>
        <w:tc>
          <w:tcPr>
            <w:tcW w:w="429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成本控制在预算内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0.35</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color w:val="000000"/>
                <w:sz w:val="18"/>
                <w:szCs w:val="18"/>
              </w:rPr>
            </w:pPr>
            <w:r>
              <w:rPr>
                <w:rFonts w:ascii="宋体" w:cs="宋体" w:hint="eastAsia"/>
                <w:color w:val="000000"/>
                <w:sz w:val="18"/>
                <w:szCs w:val="18"/>
              </w:rPr>
              <w:t>社会效益指标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公开透明度</w:t>
            </w:r>
          </w:p>
        </w:tc>
        <w:tc>
          <w:tcPr>
            <w:tcW w:w="429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各级河长信息公开透明、真实</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color w:val="000000"/>
                <w:sz w:val="18"/>
                <w:szCs w:val="18"/>
              </w:rPr>
            </w:pPr>
            <w:r>
              <w:rPr>
                <w:rFonts w:ascii="宋体" w:cs="宋体" w:hint="eastAsia"/>
                <w:color w:val="000000"/>
                <w:sz w:val="18"/>
                <w:szCs w:val="18"/>
              </w:rPr>
              <w:t>服务对象满意度指标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受益群体满意度</w:t>
            </w:r>
          </w:p>
        </w:tc>
        <w:tc>
          <w:tcPr>
            <w:tcW w:w="429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受益群体调查，满意和较满意的人数占全部调查人的比率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color w:val="000000"/>
                <w:sz w:val="18"/>
                <w:szCs w:val="18"/>
              </w:rPr>
            </w:pPr>
            <w:r>
              <w:rPr>
                <w:rFonts w:ascii="宋体" w:cs="宋体" w:hint="eastAsia"/>
                <w:color w:val="000000"/>
                <w:sz w:val="18"/>
                <w:szCs w:val="18"/>
              </w:rPr>
              <w:t>问卷调查</w:t>
            </w:r>
          </w:p>
        </w:tc>
      </w:tr>
    </w:tbl>
    <w:p>
      <w:pPr>
        <w:ind w:firstLineChars="200" w:firstLine="560"/>
        <w:jc w:val="left"/>
        <w:outlineLvl w:val="1"/>
        <w:rPr>
          <w:rFonts w:ascii="Times New Roman" w:eastAsia="仿宋_GB2312" w:cs="Times New Roman" w:hAnsi="Times New Roman"/>
          <w:sz w:val="28"/>
        </w:rPr>
      </w:pPr>
    </w:p>
    <w:p>
      <w:pPr>
        <w:ind w:firstLineChars="200" w:firstLine="560"/>
        <w:jc w:val="left"/>
        <w:outlineLvl w:val="1"/>
        <w:rPr>
          <w:rFonts w:ascii="Times New Roman" w:eastAsia="仿宋_GB2312" w:cs="Times New Roman" w:hAnsi="Times New Roman"/>
          <w:sz w:val="28"/>
        </w:rPr>
      </w:pPr>
    </w:p>
    <w:p>
      <w:pPr>
        <w:ind w:firstLineChars="200" w:firstLine="560"/>
        <w:jc w:val="left"/>
        <w:outlineLvl w:val="1"/>
        <w:rPr>
          <w:rFonts w:ascii="Times New Roman" w:eastAsia="仿宋_GB2312" w:cs="Times New Roman" w:hAnsi="Times New Roman"/>
          <w:sz w:val="28"/>
        </w:rPr>
      </w:pPr>
    </w:p>
    <w:p>
      <w:pPr>
        <w:ind w:firstLineChars="200" w:firstLine="560"/>
        <w:jc w:val="left"/>
        <w:outlineLvl w:val="1"/>
        <w:rPr>
          <w:rFonts w:ascii="Times New Roman" w:eastAsia="仿宋_GB2312" w:cs="Times New Roman" w:hAnsi="Times New Roman"/>
          <w:sz w:val="28"/>
        </w:rPr>
      </w:pP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5.2020年第二批农村饮水工程维修养护项目质保金绩效目标表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656"/>
        <w:gridCol w:w="1575"/>
        <w:gridCol w:w="3243"/>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i w:val="0"/>
                <w:iCs w:val="0"/>
                <w:color w:val="000000"/>
                <w:sz w:val="18"/>
                <w:szCs w:val="18"/>
                <w:u w:val="none"/>
              </w:rPr>
              <w:t>[13102522P00926110001B]2020年第二批农村饮水工程维修养护项目质保金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i w:val="0"/>
                <w:iCs w:val="0"/>
                <w:color w:val="000000"/>
                <w:sz w:val="18"/>
                <w:szCs w:val="18"/>
                <w:u w:val="none"/>
              </w:rPr>
              <w:t>[332]大城县水务局</w:t>
              <w:tab/>
              <w:tab/>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i w:val="0"/>
                <w:iCs w:val="0"/>
                <w:color w:val="000000"/>
                <w:sz w:val="18"/>
                <w:szCs w:val="18"/>
                <w:u w:val="none"/>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i w:val="0"/>
                <w:iCs w:val="0"/>
                <w:color w:val="000000"/>
                <w:sz w:val="18"/>
                <w:szCs w:val="18"/>
                <w:u w:val="none"/>
              </w:rPr>
              <w:t>6.18万元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cs="宋体"/>
                <w:color w:val="000000"/>
                <w:sz w:val="18"/>
                <w:szCs w:val="18"/>
              </w:rPr>
              <w:t>用于支付2020年第二批农村饮水工程维修养护工程质保金</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3月底</w:t>
            </w:r>
          </w:p>
        </w:tc>
        <w:tc>
          <w:tcPr>
            <w:tcW w:w="32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i w:val="0"/>
                <w:iCs w:val="0"/>
                <w:color w:val="000000"/>
                <w:sz w:val="18"/>
                <w:szCs w:val="18"/>
                <w:u w:val="none"/>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eastAsia="宋体" w:cs="宋体" w:hint="eastAsia"/>
                <w:i w:val="0"/>
                <w:iCs w:val="0"/>
                <w:color w:val="000000"/>
                <w:sz w:val="18"/>
                <w:szCs w:val="18"/>
                <w:u w:val="none"/>
              </w:rPr>
            </w:pPr>
            <w:r>
              <w:rPr>
                <w:rFonts w:ascii="Calibri" w:eastAsia="宋体" w:cs="宋体" w:hAnsi="Calibri"/>
                <w:sz w:val="22"/>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目标1</w:t>
            </w:r>
          </w:p>
        </w:tc>
        <w:tc>
          <w:tcPr>
            <w:tcW w:w="1133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cs="宋体"/>
                <w:sz w:val="22"/>
              </w:rPr>
            </w:pPr>
            <w:r>
              <w:rPr>
                <w:rFonts w:ascii="宋体" w:cs="宋体"/>
                <w:color w:val="000000"/>
                <w:sz w:val="18"/>
                <w:szCs w:val="18"/>
              </w:rPr>
              <w:t>对刘固献等6个水厂设施设备进行更新，主要更换水泵、主要阀闸及配件设备。受益人口18.1万人。</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二级指标</w:t>
            </w:r>
          </w:p>
        </w:tc>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三级指标</w:t>
            </w:r>
          </w:p>
        </w:tc>
        <w:tc>
          <w:tcPr>
            <w:tcW w:w="324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57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324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613"/>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水厂数量</w:t>
            </w:r>
          </w:p>
        </w:tc>
        <w:tc>
          <w:tcPr>
            <w:tcW w:w="32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维修水厂的数量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6</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座</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1237"/>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成本指标</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单价是否控制在批复单价内</w:t>
            </w:r>
          </w:p>
        </w:tc>
        <w:tc>
          <w:tcPr>
            <w:tcW w:w="32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反映单价是否控制在批复单价内情况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是</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613"/>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养护处数</w:t>
            </w:r>
          </w:p>
        </w:tc>
        <w:tc>
          <w:tcPr>
            <w:tcW w:w="32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农村水厂维修养护处数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18</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处</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613"/>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质量指标</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验收合格率</w:t>
            </w:r>
          </w:p>
        </w:tc>
        <w:tc>
          <w:tcPr>
            <w:tcW w:w="324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合格数量占总数量的比例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100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19"/>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时效指标</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资金支付</w:t>
            </w:r>
          </w:p>
        </w:tc>
        <w:tc>
          <w:tcPr>
            <w:tcW w:w="324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资金支付及时</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社会效益指标</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农村饮水养护工程覆盖服务人口</w:t>
            </w:r>
          </w:p>
        </w:tc>
        <w:tc>
          <w:tcPr>
            <w:tcW w:w="32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反映农村维修养护收益人口数量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18.1</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万人</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可持续影响指标</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设备是否良性运行</w:t>
            </w:r>
          </w:p>
        </w:tc>
        <w:tc>
          <w:tcPr>
            <w:tcW w:w="32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设备是否良性运行</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是</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bl>
    <w:p>
      <w:pPr>
        <w:ind w:left="0"/>
        <w:jc w:val="left"/>
        <w:outlineLvl w:val="1"/>
        <w:rPr>
          <w:rFonts w:ascii="Times New Roman" w:eastAsia="仿宋_GB2312" w:cs="Times New Roman" w:hAnsi="Times New Roman"/>
          <w:sz w:val="28"/>
        </w:rPr>
      </w:pP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6.大城县黑龙港泵站更新改造工程项目资金绩效目标表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155"/>
        <w:gridCol w:w="3845"/>
        <w:gridCol w:w="1304"/>
        <w:gridCol w:w="1304"/>
        <w:gridCol w:w="1226"/>
        <w:gridCol w:w="3028"/>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13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[13102522P00924910001A]大城县黑龙港泵站更新改造工程项目资金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425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13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425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163.86万元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支付黑龙港泵站更新改造工程尾款</w:t>
            </w:r>
          </w:p>
        </w:tc>
      </w:tr>
      <w:tr>
        <w:trPr>
          <w:trHeight w:val="404"/>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3月底</w:t>
            </w:r>
          </w:p>
        </w:tc>
        <w:tc>
          <w:tcPr>
            <w:tcW w:w="3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6月底</w:t>
            </w:r>
          </w:p>
        </w:tc>
        <w:tc>
          <w:tcPr>
            <w:tcW w:w="383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10月底</w:t>
            </w:r>
          </w:p>
        </w:tc>
        <w:tc>
          <w:tcPr>
            <w:tcW w:w="3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Calibri" w:eastAsia="宋体" w:cs="宋体" w:hAnsi="Calibri"/>
                <w:sz w:val="22"/>
              </w:rPr>
            </w:pPr>
          </w:p>
        </w:tc>
        <w:tc>
          <w:tcPr>
            <w:tcW w:w="3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383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3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完成6座泵站的更新改造工作。完工后，工程率验收合格。通过此次工程，消除了安全隐患问题，达到设计标准，群众满意度较高。</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二级指标</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三级指标</w:t>
            </w:r>
          </w:p>
        </w:tc>
        <w:tc>
          <w:tcPr>
            <w:tcW w:w="384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绩效指标描述（指标内容）</w:t>
            </w:r>
          </w:p>
        </w:tc>
        <w:tc>
          <w:tcPr>
            <w:tcW w:w="383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指标值</w:t>
            </w:r>
          </w:p>
        </w:tc>
        <w:tc>
          <w:tcPr>
            <w:tcW w:w="30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384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值</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单位（文字描述）</w:t>
            </w:r>
          </w:p>
        </w:tc>
        <w:tc>
          <w:tcPr>
            <w:tcW w:w="302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数量指标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完成泵站更新改造数量</w:t>
            </w:r>
          </w:p>
        </w:tc>
        <w:tc>
          <w:tcPr>
            <w:tcW w:w="3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完成泵站更新改造数量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6</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个</w:t>
            </w:r>
          </w:p>
        </w:tc>
        <w:tc>
          <w:tcPr>
            <w:tcW w:w="3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设计</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质量指标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工程验收合格率</w:t>
            </w:r>
          </w:p>
        </w:tc>
        <w:tc>
          <w:tcPr>
            <w:tcW w:w="3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 xml:space="preserve"> 通过验收的工程量占建设、改造、修缮总量的比率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80</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sz w:val="18"/>
                <w:szCs w:val="18"/>
              </w:rPr>
              <w:t>百分比</w:t>
            </w:r>
          </w:p>
        </w:tc>
        <w:tc>
          <w:tcPr>
            <w:tcW w:w="3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中华人民共和国水利行业标准(SL19-2008)</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时效指标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资金支付</w:t>
            </w:r>
          </w:p>
        </w:tc>
        <w:tc>
          <w:tcPr>
            <w:tcW w:w="3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资金支付及时</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及时</w:t>
            </w:r>
          </w:p>
        </w:tc>
        <w:tc>
          <w:tcPr>
            <w:tcW w:w="3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预算成本控制</w:t>
            </w:r>
          </w:p>
        </w:tc>
        <w:tc>
          <w:tcPr>
            <w:tcW w:w="384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实际支付资金数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163.86</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万元</w:t>
            </w:r>
          </w:p>
        </w:tc>
        <w:tc>
          <w:tcPr>
            <w:tcW w:w="3028"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合同</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可持续影响指标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隐患消除情况</w:t>
            </w:r>
          </w:p>
        </w:tc>
        <w:tc>
          <w:tcPr>
            <w:tcW w:w="3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通过维护改造，消除安全隐患的项数或情况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良好</w:t>
            </w:r>
          </w:p>
        </w:tc>
        <w:tc>
          <w:tcPr>
            <w:tcW w:w="3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实际情况</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服务对象满意度指标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受益群体满意度</w:t>
            </w:r>
          </w:p>
        </w:tc>
        <w:tc>
          <w:tcPr>
            <w:tcW w:w="3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受益群体调查中，满意和较满意的人数占全部调查人的比率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sz w:val="18"/>
                <w:szCs w:val="18"/>
              </w:rPr>
              <w:t>百分比</w:t>
            </w:r>
          </w:p>
        </w:tc>
        <w:tc>
          <w:tcPr>
            <w:tcW w:w="3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ind w:left="0"/>
        <w:jc w:val="left"/>
        <w:outlineLvl w:val="1"/>
        <w:rPr>
          <w:rFonts w:ascii="Times New Roman" w:eastAsia="仿宋_GB2312" w:cs="Times New Roman" w:hAnsi="Times New Roman"/>
          <w:sz w:val="28"/>
        </w:rPr>
      </w:pPr>
    </w:p>
    <w:p>
      <w:pPr>
        <w:ind w:left="0"/>
        <w:jc w:val="left"/>
        <w:outlineLvl w:val="1"/>
        <w:rPr>
          <w:rFonts w:ascii="Times New Roman" w:eastAsia="仿宋_GB2312" w:cs="Times New Roman" w:hAnsi="Times New Roman"/>
          <w:sz w:val="28"/>
        </w:rPr>
      </w:pP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7.大城县机井服务公司人员2022年1-12月安置费绩效目标表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236"/>
        <w:gridCol w:w="1050"/>
        <w:gridCol w:w="4189"/>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[13102522P00881610001F]大城县机井服务公司人员2022年1-12月安置费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76.93万元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用于缴纳机井服务公司在职人员保险</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30%</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50%</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75%</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hint="eastAsia"/>
                <w:i w:val="0"/>
                <w:iCs w:val="0"/>
                <w:color w:val="000000"/>
                <w:kern w:val="0"/>
                <w:sz w:val="18"/>
                <w:szCs w:val="18"/>
                <w:u w:val="none"/>
                <w:lang w:val="en-US" w:eastAsia="zh-CN"/>
              </w:rPr>
              <w:t>目标1</w:t>
            </w:r>
          </w:p>
        </w:tc>
        <w:tc>
          <w:tcPr>
            <w:tcW w:w="1175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目标内容1</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二级指标</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三级指标</w:t>
            </w:r>
          </w:p>
        </w:tc>
        <w:tc>
          <w:tcPr>
            <w:tcW w:w="418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2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18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数量指标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人数</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参保人数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38</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人</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数量指标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人数</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医保一次性缴至退休人数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6</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人</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质量指标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参保人合格率</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参保合格人数占总人数的比例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299"/>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成本控制</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成本控制在预算范围内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76.93</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时效指标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缴费时间</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及时按月缴纳</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社会效益指标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提高社会稳定</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通过参保提高社会稳定性</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提高</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服务对象满意度指标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受益人口满意度</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受益对象人数占调查人数的比例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调查问卷</w:t>
            </w:r>
          </w:p>
        </w:tc>
      </w:tr>
    </w:tbl>
    <w:p>
      <w:pPr>
        <w:ind w:firstLineChars="200" w:firstLine="560"/>
        <w:jc w:val="left"/>
        <w:outlineLvl w:val="1"/>
        <w:rPr>
          <w:rFonts w:ascii="Times New Roman" w:eastAsia="仿宋_GB2312" w:cs="Times New Roman" w:hAnsi="Times New Roman"/>
          <w:sz w:val="28"/>
        </w:rPr>
      </w:pPr>
    </w:p>
    <w:p>
      <w:pPr>
        <w:ind w:firstLineChars="200" w:firstLine="560"/>
        <w:jc w:val="left"/>
        <w:outlineLvl w:val="1"/>
        <w:rPr>
          <w:rFonts w:ascii="Times New Roman" w:eastAsia="仿宋_GB2312" w:cs="Times New Roman" w:hAnsi="Times New Roman"/>
          <w:sz w:val="28"/>
        </w:rPr>
      </w:pPr>
    </w:p>
    <w:p>
      <w:pPr>
        <w:ind w:firstLineChars="200" w:firstLine="560"/>
        <w:jc w:val="left"/>
        <w:outlineLvl w:val="1"/>
        <w:rPr>
          <w:rFonts w:ascii="Times New Roman" w:eastAsia="仿宋_GB2312" w:cs="Times New Roman" w:hAnsi="Times New Roman"/>
          <w:sz w:val="28"/>
        </w:rPr>
      </w:pP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8.解决全县河流现状调查及整治方案编制经费绩效目标表</w:t>
      </w:r>
    </w:p>
    <w:tbl>
      <w:tblPr>
        <w:jc w:val="left"/>
        <w:tblInd w:w="96" w:type="dxa"/>
        <w:tblW w:w="14649"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026"/>
        <w:gridCol w:w="1260"/>
        <w:gridCol w:w="4189"/>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[13102522P00925610001G]解决全县河流现状调查及整治方案编制经费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sz w:val="18"/>
                <w:szCs w:val="18"/>
                <w:u w:val="none"/>
              </w:rPr>
              <w:t>10万元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用于支付全县河流现状调查及整治方案编制费</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96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完成对24条国有河渠开展现状调查，编制整治方案，并通过专家评审。</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18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18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数量指标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完成河渠现状调查数</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对24条国有河渠开展现状调查</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24</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条</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质量指标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通过专家评审</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整治方案通过专家评审</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通过</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时效指标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资金支付</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资金支付及时</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成本控制</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成本控制在预算内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可持续影响指标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提升能力</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提升河渠管理能力</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提升</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服务对象满意度指标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群众满意度</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满意人数占调查总人数的比例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ind w:firstLineChars="200" w:firstLine="560"/>
        <w:jc w:val="left"/>
        <w:outlineLvl w:val="1"/>
        <w:rPr>
          <w:rFonts w:ascii="Times New Roman" w:eastAsia="仿宋_GB2312" w:cs="Times New Roman" w:hAnsi="Times New Roman"/>
          <w:sz w:val="28"/>
        </w:rPr>
      </w:pPr>
    </w:p>
    <w:p>
      <w:pPr>
        <w:ind w:left="0"/>
        <w:jc w:val="left"/>
        <w:outlineLvl w:val="1"/>
        <w:rPr>
          <w:rFonts w:ascii="Times New Roman" w:eastAsia="仿宋_GB2312" w:cs="Times New Roman" w:hAnsi="Times New Roman"/>
          <w:sz w:val="28"/>
        </w:rPr>
      </w:pP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9.廊坊市大城县2020年度地下水超采综合治理城镇生活工业水量监测项目资金绩效目标表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155"/>
        <w:gridCol w:w="4189"/>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[13102522P00926310001N]廊坊市大城县2020年度地下水超采综合治理城镇生活工业水量监测项目资金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1.19</w:t>
            </w:r>
            <w:r>
              <w:rPr>
                <w:rFonts w:ascii="宋体" w:cs="宋体"/>
                <w:sz w:val="18"/>
                <w:szCs w:val="18"/>
              </w:rPr>
              <w:t>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支付项目质保金</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安装非农在线监控站点12处，实现全县实际取水量1万立方米以上的取用水户在线监控全覆盖。</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18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18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项目完工率</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实施建设农业灌溉监测点数量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12</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个</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项目验收合格率</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合格的项目数量占总项目数量的比例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资金支付</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资金支付及时</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成本是否控制在预算内</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反映成本是否控制在预算内情况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是</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可持续影响指标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提高节水意识，减少水量开采</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促进取用水户开发节水潜力，增强节水意识，减少开采水量，降低项目县总用水量，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受益群体满意度</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受益群体调查中，满意和较满意的人数占全部调查人的比率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ind w:left="0"/>
        <w:jc w:val="left"/>
        <w:outlineLvl w:val="1"/>
        <w:rPr>
          <w:rFonts w:ascii="Times New Roman" w:eastAsia="仿宋_GB2312" w:cs="Times New Roman" w:hAnsi="Times New Roman"/>
          <w:sz w:val="28"/>
        </w:rPr>
      </w:pPr>
    </w:p>
    <w:p>
      <w:pPr>
        <w:ind w:left="0"/>
        <w:jc w:val="left"/>
        <w:outlineLvl w:val="1"/>
        <w:rPr>
          <w:rFonts w:ascii="Times New Roman" w:eastAsia="仿宋_GB2312" w:cs="Times New Roman" w:hAnsi="Times New Roman"/>
          <w:sz w:val="28"/>
        </w:rPr>
      </w:pP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10.</w:t>
      </w:r>
      <w:r>
        <w:rPr>
          <w:rFonts w:ascii="Calibri" w:eastAsia="宋体" w:cs="宋体" w:hAnsi="Calibri"/>
          <w:sz w:val="22"/>
        </w:rPr>
        <w:t>大</w:t>
      </w:r>
      <w:r>
        <w:rPr>
          <w:rFonts w:ascii="Times New Roman" w:eastAsia="仿宋_GB2312" w:cs="Times New Roman" w:hAnsi="Times New Roman"/>
          <w:sz w:val="28"/>
        </w:rPr>
        <w:t>城县2022年县域节水型社会达标建设资金绩效目标表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155"/>
        <w:gridCol w:w="4189"/>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[13102522P009275100019]大城县2022年县域节水型社会达标建设资金-上级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130万元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用于支付节水型社会达标建设项目支出</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i w:val="0"/>
                <w:iCs w:val="0"/>
                <w:color w:val="000000"/>
                <w:sz w:val="18"/>
                <w:szCs w:val="18"/>
                <w:u w:val="none"/>
              </w:rPr>
            </w:pPr>
            <w:r>
              <w:rPr>
                <w:rFonts w:ascii="宋体" w:cs="宋体" w:hint="eastAsia"/>
                <w:sz w:val="18"/>
                <w:szCs w:val="18"/>
              </w:rPr>
              <w:t>97%</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通过项目的开展，2022年底，达到水利部《节水型社会评价标准》及《河北省水型社会评价标准》目标要求。</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18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18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新建在线监测点</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新建在线监测点</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个</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实施方案</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验收合格率</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合格的工程数据占工程总数量的比例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行业标准</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完工时间</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项目按时完工时间</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2022年12月底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实施方案</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成本控制在预算范围内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130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项目预算</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经济效益指标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提高水资源开发利用率</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提高水资源开发利用率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95</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实施方案</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社会效益指标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为落实最严格水资源管理制度提供分析数据</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为落实最严格水资源管理制度提供分析数据</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95</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实施方案</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项目区受益群众满意度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ind w:firstLineChars="200" w:firstLine="560"/>
        <w:jc w:val="left"/>
        <w:outlineLvl w:val="1"/>
        <w:rPr>
          <w:rFonts w:ascii="Times New Roman" w:eastAsia="仿宋_GB2312" w:cs="Times New Roman" w:hAnsi="Times New Roman"/>
          <w:sz w:val="28"/>
        </w:rPr>
      </w:pPr>
    </w:p>
    <w:p>
      <w:pPr>
        <w:ind w:left="0"/>
        <w:jc w:val="left"/>
        <w:outlineLvl w:val="1"/>
        <w:rPr>
          <w:rFonts w:ascii="Times New Roman" w:eastAsia="仿宋_GB2312" w:cs="Times New Roman" w:hAnsi="Times New Roman"/>
          <w:sz w:val="28"/>
        </w:rPr>
      </w:pP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11.大城县2022年取水井关停补助资金绩效目标表</w:t>
      </w:r>
    </w:p>
    <w:tbl>
      <w:tblPr>
        <w:jc w:val="left"/>
        <w:tblInd w:w="96" w:type="dxa"/>
        <w:tblW w:w="14649"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026"/>
        <w:gridCol w:w="1050"/>
        <w:gridCol w:w="4399"/>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[13102522P00926610001P]大城县2022年取水井关停补助资金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20万元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用于取水井关停支出</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50%</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96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关停农村生活及灌溉取水井100眼，有效压减地下水开采。</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39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39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关停数量</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按照方案要求关停</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眼</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成本指标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补助标准</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每眼井的补助标准</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2000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验收合格率</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合格的工程数量占总工程数量的比例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时效指标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资金拨付</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资金拨付情况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可持续影响指标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压减地下水资源</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通过取水井关停，减少地下水开采，有效保护地下水资源。</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服务对象满意人数占调查人数的比例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ind w:left="0"/>
        <w:jc w:val="left"/>
        <w:outlineLvl w:val="1"/>
        <w:rPr>
          <w:rFonts w:ascii="Times New Roman" w:eastAsia="仿宋_GB2312" w:cs="Times New Roman" w:hAnsi="Times New Roman"/>
          <w:sz w:val="28"/>
        </w:rPr>
      </w:pPr>
    </w:p>
    <w:p>
      <w:pPr>
        <w:ind w:left="0"/>
        <w:jc w:val="left"/>
        <w:outlineLvl w:val="1"/>
        <w:rPr>
          <w:rFonts w:ascii="Times New Roman" w:eastAsia="仿宋_GB2312" w:cs="Times New Roman" w:hAnsi="Times New Roman"/>
          <w:sz w:val="28"/>
        </w:rPr>
      </w:pPr>
    </w:p>
    <w:p>
      <w:pPr>
        <w:ind w:left="0"/>
        <w:jc w:val="left"/>
        <w:outlineLvl w:val="1"/>
        <w:rPr>
          <w:rFonts w:ascii="Times New Roman" w:eastAsia="仿宋_GB2312" w:cs="Times New Roman" w:hAnsi="Times New Roman"/>
          <w:sz w:val="28"/>
        </w:rPr>
      </w:pP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12.2022年农村饮水项目资金绩效目标表</w:t>
      </w:r>
    </w:p>
    <w:tbl>
      <w:tblPr>
        <w:jc w:val="left"/>
        <w:tblInd w:w="96" w:type="dxa"/>
        <w:tblW w:w="14649"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236"/>
        <w:gridCol w:w="1050"/>
        <w:gridCol w:w="4189"/>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[13102522P00927410001K]2022年农村饮水项目资金-上级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63万元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用于支付农村饮水工程维修养护支出</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50%</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90%</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90%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7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完成28处农村饮水工程维修养护，受益人口13万人</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18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2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18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维修处数</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完成农村饮水工程维修处数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28</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处</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合格率</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验收合格数占总数的比重</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完成时间</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维养完成时间</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2022年10月底前完成</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成本控制在预算范围内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63</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社会效益指标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受益人口数</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受益人口总数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13</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万人</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群众满意度</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满意人数占调查人数的比例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ind w:firstLineChars="200" w:firstLine="560"/>
        <w:jc w:val="left"/>
        <w:outlineLvl w:val="1"/>
        <w:rPr>
          <w:rFonts w:ascii="Times New Roman" w:eastAsia="仿宋_GB2312" w:cs="Times New Roman" w:hAnsi="Times New Roman"/>
          <w:sz w:val="28"/>
        </w:rPr>
      </w:pPr>
    </w:p>
    <w:p>
      <w:pPr>
        <w:ind w:firstLineChars="200" w:firstLine="560"/>
        <w:jc w:val="left"/>
        <w:outlineLvl w:val="1"/>
        <w:rPr>
          <w:rFonts w:ascii="Times New Roman" w:eastAsia="仿宋_GB2312" w:cs="Times New Roman" w:hAnsi="Times New Roman"/>
          <w:sz w:val="28"/>
        </w:rPr>
      </w:pPr>
    </w:p>
    <w:p>
      <w:pPr>
        <w:ind w:firstLineChars="200" w:firstLine="560"/>
        <w:jc w:val="left"/>
        <w:outlineLvl w:val="1"/>
        <w:rPr>
          <w:rFonts w:ascii="Times New Roman" w:eastAsia="仿宋_GB2312" w:cs="Times New Roman" w:hAnsi="Times New Roman"/>
          <w:sz w:val="28"/>
        </w:rPr>
      </w:pPr>
    </w:p>
    <w:p>
      <w:pPr>
        <w:keepNext w:val="0"/>
        <w:widowControl w:val="0"/>
        <w:ind w:left="0"/>
        <w:jc w:val="left"/>
        <w:outlineLvl w:val="1"/>
      </w:pP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13.2022年扬水站及蓄水闸日常维修养护项目资金绩效目标表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050"/>
        <w:gridCol w:w="4294"/>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[13102522P00926710001D]2022年扬水站及蓄水闸日常维修养护项目资金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5万元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用于支付扬水站及蓄水闸日常维修养护费用</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对6座扬水站及3座蓄水闸进行了日常维修养护，包括站、闸消防器材维养，县管河渠拦河闸和扬水站站前闸启闭机维养及扬水站、闸日常维养,通过日常维修养护，保障了扬水站、闸的正常运行。</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29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29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维养闸所数量</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反映维养闸所情况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座</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成本指标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成本控制数</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成本控制在预算范围内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5</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资金支付</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反映资金支付情况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质量指标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验收合格率</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反映验收合格率情况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社会效益指标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保障全县安全度汛</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保障全县安全度汛</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保障</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可持续影响指标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是否良性运行</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工程是否良性运行</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是</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群众满意度</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满意人数占总调查人数的比例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keepNext w:val="0"/>
        <w:widowControl w:val="0"/>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br w:type="page"/>
      </w: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14.防汛会商系统预警体系建设专线使用费绩效目标表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260"/>
        <w:gridCol w:w="4084"/>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[13102522P009268100013]防汛会商系统预警体系建设专线使用费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8.52万元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用于支付防汛会商系统预警体系建设专线使用费</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239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39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4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确保系统会商系统安全运行，政令畅通。</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08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08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网络运维数量</w:t>
            </w:r>
          </w:p>
        </w:tc>
        <w:tc>
          <w:tcPr>
            <w:tcW w:w="4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防汛视频会商光纤专线数量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13</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条</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视频会商系统网络正常运行情况</w:t>
            </w:r>
          </w:p>
        </w:tc>
        <w:tc>
          <w:tcPr>
            <w:tcW w:w="4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视频会商系统网络是否正常运行</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正常</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网络连通率</w:t>
            </w:r>
          </w:p>
        </w:tc>
        <w:tc>
          <w:tcPr>
            <w:tcW w:w="4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网络连通率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运行费用</w:t>
            </w:r>
          </w:p>
        </w:tc>
        <w:tc>
          <w:tcPr>
            <w:tcW w:w="408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网络服务费用</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8.52</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生态效益指标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洪水风险预警信息发布时间</w:t>
            </w:r>
          </w:p>
        </w:tc>
        <w:tc>
          <w:tcPr>
            <w:tcW w:w="4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洪水风险预警信息发布时间</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w:t>
            </w:r>
          </w:p>
        </w:tc>
        <w:tc>
          <w:tcPr>
            <w:tcW w:w="4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满意</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keepNext w:val="0"/>
        <w:widowControl w:val="0"/>
        <w:ind w:firstLineChars="200" w:firstLine="420"/>
        <w:jc w:val="left"/>
        <w:outlineLvl w:val="1"/>
      </w:pPr>
    </w:p>
    <w:p>
      <w:pPr>
        <w:keepNext w:val="0"/>
        <w:widowControl w:val="0"/>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br w:type="page"/>
      </w: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15.因公致残人员抚恤金（李世信）绩效目标表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026"/>
        <w:gridCol w:w="1260"/>
        <w:gridCol w:w="4189"/>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项目编码及名称</w:t>
            </w:r>
          </w:p>
        </w:tc>
        <w:tc>
          <w:tcPr>
            <w:tcW w:w="647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[13102522P00881510001R]因公致残人员抚恤金（李世信）</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项目单位</w:t>
            </w:r>
          </w:p>
        </w:tc>
        <w:tc>
          <w:tcPr>
            <w:tcW w:w="647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3.52万元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用于发放因公致残人员抚恤金</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cs="宋体" w:hint="eastAsia"/>
                <w:b/>
                <w:bCs/>
                <w:i w:val="0"/>
                <w:iCs w:val="0"/>
                <w:color w:val="000000"/>
                <w:kern w:val="0"/>
                <w:sz w:val="18"/>
                <w:szCs w:val="18"/>
                <w:u w:val="none"/>
                <w:lang w:val="en-US" w:eastAsia="zh-CN"/>
              </w:rPr>
            </w:pPr>
            <w:r>
              <w:rPr>
                <w:rFonts w:ascii="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（累计支出比例）</w:t>
            </w: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25%</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50%</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75%</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年度绩效目标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96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sz w:val="18"/>
                <w:szCs w:val="18"/>
              </w:rPr>
              <w:t xml:space="preserve"> 提高补贴人员的生活质量，提升残疾人的获得感和幸福感</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一级指标</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18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18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产出指标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人数</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补贴发放人数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人</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补贴发放率</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实际发放数占计划数的比例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发放及时</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年度发放及时</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补贴金额</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实际年发放补贴金额</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3.52</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冀退役军人厅[2020]14号文、冀退役军人厅[2021]11号文号</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效益指标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社会效益指标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提高幸福感</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体现政府关爱，提高残疾人获得感幸福感</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提高</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可持续影响指标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补助人群生活改善情况</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补助人群在生活方面有所改善</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改善</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满意度指标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受益对象满意度</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通过询问受益对象是否满意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满意</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keepNext w:val="0"/>
        <w:widowControl w:val="0"/>
        <w:ind w:firstLineChars="200" w:firstLine="360"/>
        <w:jc w:val="left"/>
        <w:outlineLvl w:val="1"/>
        <w:rPr>
          <w:rFonts w:ascii="宋体" w:hint="eastAsia"/>
          <w:sz w:val="18"/>
          <w:szCs w:val="18"/>
        </w:rPr>
      </w:pPr>
    </w:p>
    <w:p>
      <w:pPr>
        <w:keepNext w:val="0"/>
        <w:widowControl w:val="0"/>
        <w:ind w:firstLineChars="200" w:firstLine="360"/>
        <w:jc w:val="left"/>
        <w:outlineLvl w:val="1"/>
        <w:rPr>
          <w:rFonts w:ascii="宋体" w:cs="Times New Roman" w:hint="eastAsia"/>
          <w:sz w:val="18"/>
          <w:szCs w:val="18"/>
        </w:rPr>
      </w:pPr>
      <w:r>
        <w:rPr>
          <w:rFonts w:ascii="宋体" w:cs="Times New Roman" w:hint="eastAsia"/>
          <w:sz w:val="18"/>
          <w:szCs w:val="18"/>
        </w:rPr>
        <w:br w:type="page"/>
      </w: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16.大城农村基层防汛预报预警体系建设项目资金绩效目标表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026"/>
        <w:gridCol w:w="945"/>
        <w:gridCol w:w="4504"/>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[13102522P00925810001U]大城农村基层防汛预报预警体系建设项目资金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用于支付基层预警体系建设项目尾款</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96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通过对预警信息展播系统和防汛视频会商系统进行全面维护和值守，确保系统安全运行</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50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展播系统维护</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展播系统维护数量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12</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资金支付</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资金支付及时</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视频会商系统状态</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正常联通使用</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合格</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成本控制在预算内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3</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可持续影响指标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基层预警能力</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村街防汛预警及遇险转移能力</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受益村街群众</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走访群总满意人数占调查人数的比例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95</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keepNext w:val="0"/>
        <w:widowControl w:val="0"/>
        <w:ind w:firstLineChars="200" w:firstLine="420"/>
        <w:jc w:val="left"/>
        <w:outlineLvl w:val="1"/>
      </w:pPr>
    </w:p>
    <w:p>
      <w:pPr>
        <w:keepNext w:val="0"/>
        <w:widowControl w:val="0"/>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br w:type="page"/>
      </w: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17.河北省河湖智能视频监控系统服务费绩效目标表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945"/>
        <w:gridCol w:w="4399"/>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hint="eastAsia"/>
                <w:sz w:val="18"/>
                <w:szCs w:val="18"/>
              </w:rPr>
            </w:pPr>
            <w:r>
              <w:rPr>
                <w:rFonts w:ascii="宋体" w:cs="宋体" w:hint="eastAsia"/>
                <w:sz w:val="18"/>
                <w:szCs w:val="18"/>
              </w:rPr>
              <w:t>[13102522P009257100016]河北省河湖智能视频监控系统服务费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20万元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用于支付监控系统服务费</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通过河湖智能视频监控系统，提高河渠管理效率，保障防洪安全、生态安全、供水安全。</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39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39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视频监控点位数</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完成点位视频监控调试及应用</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128</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个</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河渠智能视频监控质量</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符合文件技术指标和要求</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合格</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资金拨付</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资金拨付情况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成本控制在预算范围内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20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可持续影响指标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规划明确</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提高河渠管理效率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提高</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服务对象满意人数占调查人数的比例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keepNext w:val="0"/>
        <w:widowControl w:val="0"/>
        <w:ind w:firstLineChars="200" w:firstLine="420"/>
        <w:jc w:val="left"/>
        <w:outlineLvl w:val="1"/>
      </w:pPr>
    </w:p>
    <w:p>
      <w:pPr>
        <w:keepNext w:val="0"/>
        <w:widowControl w:val="0"/>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br w:type="page"/>
      </w: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18.水旱灾害风险普查资金绩效目标表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945"/>
        <w:gridCol w:w="4399"/>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[13102522P00927010001W]水旱灾害风险普查资金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2万元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用于支付风险普查费用</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掌握水利工程防洪抗旱年来，防范化解水旱灾害风险。</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39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39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普查个数</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需要普查总结报告个数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个</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成本指标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预算控制数</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成本控制在预算内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2</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资金拨付及时性</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反应资金拨付情况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质量指标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通过专家评审</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反映通过专家评审情况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通过</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生态效益指标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有效提升水旱灾害预警能力</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是否有效提升水旱灾害预警能力</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提升</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生态效益指标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水利工程防洪抗旱能力掌握情况</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掌握水利工程防洪抗旱能力</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提升</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满意率</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满意率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19.2022年度省级地下水超采综合治理专项资金绩效目标表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026"/>
        <w:gridCol w:w="1050"/>
        <w:gridCol w:w="4399"/>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[13102522P00927710001L]2022年度省级地下水超采综合治理专项资金-上级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198万元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用于交纳引江水水费和取水井关停费用</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78%</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88%</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96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购买引江水水54.98万方；关停取水井300眼。减少地下水开采。</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39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39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购买引江水数量</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用于购买引江水的总量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54.98</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万方</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取水井数量</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计划关停取水井的数量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眼</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水质达标</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饮用水水质达标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达标</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水质检测报告</w:t>
            </w:r>
          </w:p>
        </w:tc>
      </w:tr>
      <w:tr>
        <w:trPr>
          <w:trHeight w:val="299"/>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质量指标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验收合格</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按照关停标准验收合格</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合格</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299"/>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成本控制在预算内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198</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时效指标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资金支出</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资金拨付及时情况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社会效益指标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减少地下水开采</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压减地下水开采量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54.98</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万方</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受益对象满意度</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满意人数占调查人数的比例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keepNext w:val="0"/>
        <w:widowControl w:val="0"/>
        <w:ind w:firstLineChars="200" w:firstLine="420"/>
        <w:jc w:val="left"/>
        <w:outlineLvl w:val="1"/>
      </w:pPr>
    </w:p>
    <w:p>
      <w:pPr>
        <w:keepNext w:val="0"/>
        <w:widowControl w:val="0"/>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br w:type="page"/>
      </w: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20.2022年中央水库移民扶持基金绩效目标表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260"/>
        <w:gridCol w:w="4084"/>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[13102522P009272100018]2022年中央水库移民扶持基金-上级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2.52万元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用于发放水库移民补助</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239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39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4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sz w:val="18"/>
                <w:szCs w:val="18"/>
              </w:rPr>
            </w:pPr>
            <w:r>
              <w:rPr>
                <w:rFonts w:ascii="宋体" w:cs="宋体" w:hint="eastAsia"/>
                <w:sz w:val="18"/>
                <w:szCs w:val="18"/>
              </w:rPr>
              <w:t>落实移民政策，增加移民收入，改善移民生产生活条件，促进移民稳定。</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08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08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资金补助受益移民</w:t>
            </w:r>
          </w:p>
        </w:tc>
        <w:tc>
          <w:tcPr>
            <w:tcW w:w="4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资金补助受益移民数量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42</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人</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移民生产生活条件改善情况</w:t>
            </w:r>
          </w:p>
        </w:tc>
        <w:tc>
          <w:tcPr>
            <w:tcW w:w="4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反应移民生产生活条件改善情况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改善</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资金按时发放</w:t>
            </w:r>
          </w:p>
        </w:tc>
        <w:tc>
          <w:tcPr>
            <w:tcW w:w="4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反应资金按时发放情况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水库移民补助标准</w:t>
            </w:r>
          </w:p>
        </w:tc>
        <w:tc>
          <w:tcPr>
            <w:tcW w:w="408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反应水库移民年补助标准情况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600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经济效益指标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 xml:space="preserve">增加移民人均可支配收入 </w:t>
            </w:r>
          </w:p>
        </w:tc>
        <w:tc>
          <w:tcPr>
            <w:tcW w:w="4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 xml:space="preserve">反应增加移民年人均可支配收入情况 </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600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社会效益指标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 xml:space="preserve">助力移民脱贫 </w:t>
            </w:r>
          </w:p>
        </w:tc>
        <w:tc>
          <w:tcPr>
            <w:tcW w:w="4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 xml:space="preserve">反应助力移民脱贫情况 </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42</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人次</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受益群体满意度</w:t>
            </w:r>
          </w:p>
        </w:tc>
        <w:tc>
          <w:tcPr>
            <w:tcW w:w="4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受益群体调查中，满意和较满意的人数占全部调查人的比率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21.2022年农业灌溉水源置换项目资金绩效目标表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656"/>
        <w:gridCol w:w="1105"/>
        <w:gridCol w:w="1496"/>
        <w:gridCol w:w="3570"/>
        <w:gridCol w:w="1304"/>
        <w:gridCol w:w="1304"/>
        <w:gridCol w:w="990"/>
        <w:gridCol w:w="322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17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[13102522P00927310001X]2022年农业灌溉水源置换项目资金-上级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42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17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42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2452万元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用于支付农业灌溉水源置换项目资金</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260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3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32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60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3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30%</w:t>
            </w:r>
          </w:p>
        </w:tc>
        <w:tc>
          <w:tcPr>
            <w:tcW w:w="32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60%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88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完成河道清淤整治工程37.6km；新（改）建渠道建筑物5座；整治河道生态环境。减少内涝灾害，改善生态环境，促进社会可持续发展。</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14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357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322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0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4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357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322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清淤长度</w:t>
            </w:r>
          </w:p>
        </w:tc>
        <w:tc>
          <w:tcPr>
            <w:tcW w:w="3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河道清淤整治长度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37.6</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km</w:t>
            </w:r>
          </w:p>
        </w:tc>
        <w:tc>
          <w:tcPr>
            <w:tcW w:w="32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实施方案</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新（改）建建筑物座数</w:t>
            </w:r>
          </w:p>
        </w:tc>
        <w:tc>
          <w:tcPr>
            <w:tcW w:w="3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新（改）建渠道建筑物座数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5</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座</w:t>
            </w:r>
          </w:p>
        </w:tc>
        <w:tc>
          <w:tcPr>
            <w:tcW w:w="32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实施方案</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工程验收合格率</w:t>
            </w:r>
          </w:p>
        </w:tc>
        <w:tc>
          <w:tcPr>
            <w:tcW w:w="3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工程验收合格率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sz w:val="18"/>
                <w:szCs w:val="18"/>
              </w:rPr>
              <w:t>百分比</w:t>
            </w:r>
          </w:p>
        </w:tc>
        <w:tc>
          <w:tcPr>
            <w:tcW w:w="32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验收报告</w:t>
            </w:r>
          </w:p>
        </w:tc>
      </w:tr>
      <w:tr>
        <w:trPr>
          <w:trHeight w:val="299"/>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0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时效指标</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项目按期完成率</w:t>
            </w:r>
          </w:p>
        </w:tc>
        <w:tc>
          <w:tcPr>
            <w:tcW w:w="3570"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项目按期完成率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sz w:val="18"/>
                <w:szCs w:val="18"/>
              </w:rPr>
              <w:t>百分比</w:t>
            </w:r>
          </w:p>
        </w:tc>
        <w:tc>
          <w:tcPr>
            <w:tcW w:w="322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合同</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0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建设成本</w:t>
            </w:r>
          </w:p>
        </w:tc>
        <w:tc>
          <w:tcPr>
            <w:tcW w:w="3570"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建设成本</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2452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万元</w:t>
            </w:r>
          </w:p>
        </w:tc>
        <w:tc>
          <w:tcPr>
            <w:tcW w:w="322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工程竣工决算报告</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社会效益指标</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整治河道生态环境</w:t>
            </w:r>
          </w:p>
        </w:tc>
        <w:tc>
          <w:tcPr>
            <w:tcW w:w="3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整治河道生态环境</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效果显著</w:t>
            </w:r>
          </w:p>
        </w:tc>
        <w:tc>
          <w:tcPr>
            <w:tcW w:w="32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实施方案</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生态效益指标</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减少内涝灾害，改善生态环境</w:t>
            </w:r>
          </w:p>
        </w:tc>
        <w:tc>
          <w:tcPr>
            <w:tcW w:w="3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减少内涝灾害，改善生态环境</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效果显著</w:t>
            </w:r>
          </w:p>
        </w:tc>
        <w:tc>
          <w:tcPr>
            <w:tcW w:w="32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实施方案</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可持续影响指标</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促进社会可持续发展</w:t>
            </w:r>
          </w:p>
        </w:tc>
        <w:tc>
          <w:tcPr>
            <w:tcW w:w="3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促进社会可持续发展</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15</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年</w:t>
            </w:r>
          </w:p>
        </w:tc>
        <w:tc>
          <w:tcPr>
            <w:tcW w:w="32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实施方案</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受益对象满意度</w:t>
            </w:r>
          </w:p>
        </w:tc>
        <w:tc>
          <w:tcPr>
            <w:tcW w:w="3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满意人数占调查人数的比例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sz w:val="18"/>
                <w:szCs w:val="18"/>
              </w:rPr>
              <w:t>百分比</w:t>
            </w:r>
          </w:p>
        </w:tc>
        <w:tc>
          <w:tcPr>
            <w:tcW w:w="32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keepNext w:val="0"/>
        <w:widowControl w:val="0"/>
        <w:ind w:firstLineChars="200" w:firstLine="420"/>
        <w:jc w:val="left"/>
        <w:outlineLvl w:val="1"/>
      </w:pPr>
    </w:p>
    <w:p>
      <w:pPr>
        <w:keepNext w:val="0"/>
        <w:widowControl w:val="0"/>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br w:type="page"/>
        <w:t>22.引调水项目资金绩效目标表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026"/>
        <w:gridCol w:w="945"/>
        <w:gridCol w:w="4504"/>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[13102522P00926910001Q]引调水项目资金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200万元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用于支付引黄河水水费</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96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保障我县河道生态环境，提升水生态环境。</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50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引调水数量</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引调黄河水数量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430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万方</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成本指标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成本控制数</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成本控制在预算范围内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200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资金拨付及时性</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反应资金拨付情况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质量指标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水质达标</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反映水质达标情况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达标</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社会效益指标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抗旱能力</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提升抗旱能力</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提升</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299"/>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生态效益指标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改善生态环境</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反映改善生态环境情况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改善</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群众满意度</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反映群众满意人数占调查人数的比例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keepNext w:val="0"/>
        <w:widowControl w:val="0"/>
        <w:ind w:firstLineChars="200" w:firstLine="420"/>
        <w:jc w:val="left"/>
        <w:outlineLvl w:val="1"/>
      </w:pPr>
    </w:p>
    <w:p>
      <w:pPr>
        <w:keepNext w:val="0"/>
        <w:widowControl w:val="0"/>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br w:type="page"/>
      </w: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23.2022年河长制公示牌维护及河渠管护经费绩效目标表</w:t>
      </w:r>
    </w:p>
    <w:tbl>
      <w:tblPr>
        <w:jc w:val="left"/>
        <w:tblInd w:w="96" w:type="dxa"/>
        <w:tblW w:w="14649"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536"/>
        <w:gridCol w:w="1316"/>
        <w:gridCol w:w="3623"/>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[13102522P00925210001R]2022年河长制公示牌维护及河渠管护经费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5万元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用于河长制公示牌更新及维护费</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85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4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完成更新维护公示牌</w:t>
            </w:r>
            <w:r>
              <w:rPr>
                <w:rFonts w:ascii="宋体" w:cs="宋体"/>
                <w:sz w:val="18"/>
                <w:szCs w:val="18"/>
              </w:rPr>
              <w:t>100块，保障</w:t>
            </w:r>
            <w:r>
              <w:rPr>
                <w:rFonts w:ascii="宋体" w:cs="宋体" w:hint="eastAsia"/>
                <w:sz w:val="18"/>
                <w:szCs w:val="18"/>
              </w:rPr>
              <w:t>各级河长信息公开透明、真实</w:t>
            </w:r>
            <w:r>
              <w:rPr>
                <w:rFonts w:ascii="宋体" w:cs="宋体"/>
                <w:sz w:val="18"/>
                <w:szCs w:val="18"/>
              </w:rPr>
              <w:t>。</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5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362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5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362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公示牌数量</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完成更新维护公示牌数量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合格率</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合格数量占总量的比例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及时</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信息更新及时</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成本控制在预算内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5</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社会效益指标</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公开透明度</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各级河长信息公开透明、真实</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受益群体满意度</w:t>
            </w:r>
          </w:p>
        </w:tc>
        <w:tc>
          <w:tcPr>
            <w:tcW w:w="36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受益群体调查，满意和较满意的人数占全部调查人的比率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keepNext w:val="0"/>
        <w:widowControl w:val="0"/>
        <w:ind w:firstLineChars="200" w:firstLine="420"/>
        <w:jc w:val="left"/>
        <w:outlineLvl w:val="1"/>
      </w:pPr>
    </w:p>
    <w:p>
      <w:pPr>
        <w:keepNext w:val="0"/>
        <w:widowControl w:val="0"/>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br w:type="page"/>
      </w: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24.大城县农村生活水源置换项目（PPP项目）资金绩效目标表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050"/>
        <w:gridCol w:w="4294"/>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[13102522P009262100011]大城县农村生活水源置换项目（PPP项目）资金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21万元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用于支付大城县生活水源置换前期咨询费</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sz w:val="18"/>
                <w:szCs w:val="18"/>
              </w:rPr>
            </w:pPr>
            <w:r>
              <w:rPr>
                <w:rFonts w:ascii="宋体" w:cs="宋体" w:hint="eastAsia"/>
                <w:sz w:val="18"/>
                <w:szCs w:val="18"/>
              </w:rPr>
              <w:t>完成农村饮用水置换（PPP项目）的立项、可研报告等工作。通过政府采购招标，聘请咨询公司，编写科研报告、立项、“两评一案”等6项工作，相关部门的审批、入库等工作。</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29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29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前期报告数量</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反映前期可研与报告</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6</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项</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评审通过率</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通过专家部门评审</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通过</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及时性</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反映各项工作完成情况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成本控制在预算范围内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21</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可持续影响指标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供水规划村街数量</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规划城乡供水一体化村级数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394</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个</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bl>
    <w:p>
      <w:pPr>
        <w:keepNext w:val="0"/>
        <w:widowControl w:val="0"/>
        <w:ind w:firstLineChars="200" w:firstLine="420"/>
        <w:jc w:val="left"/>
        <w:outlineLvl w:val="1"/>
      </w:pPr>
    </w:p>
    <w:p>
      <w:pPr>
        <w:keepNext w:val="0"/>
        <w:widowControl w:val="0"/>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br w:type="page"/>
      </w: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25.2022年度省级地下水超采综合治理专项资金绩效目标表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155"/>
        <w:gridCol w:w="4189"/>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[13102522P00927610001Y]2022年度省级地下水超采综合治理专项资金-上级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278万元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用于交纳引江水水费</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购买长江水110.76立方米，解决居民饮水安全问题。</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18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18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长江水数量</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购买长江水数量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110.76</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万立方米</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水质达标</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符合国家饮用水标准</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符合</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支付及时</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资金拨付及时</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成本控制在预算范围内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278</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生态效益指标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节约水数量</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节约地下水数量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110.76</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立方米</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受益群众满意度</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满意人数占调查人数的比例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keepNext w:val="0"/>
        <w:widowControl w:val="0"/>
        <w:ind w:firstLineChars="200" w:firstLine="420"/>
        <w:jc w:val="left"/>
        <w:outlineLvl w:val="1"/>
      </w:pPr>
    </w:p>
    <w:p>
      <w:pPr>
        <w:keepNext w:val="0"/>
        <w:widowControl w:val="0"/>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br w:type="page"/>
      </w: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26.大城县2020年应急度汛项目子牙河南赵扶扬水站三孔闸应急修复工程资金绩效目标表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050"/>
        <w:gridCol w:w="4294"/>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[13102522P009251100014]大城县2020年应急度汛项目子牙河南赵扶扬水站三孔闸应急修复工程资金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13.5万元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支付三孔闸应急修复工程尾款</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该项目已于2020年7月30日完工，及时完工。工程量完成100%，工程质量验收合格，群众满意度达到90%，进一步的完善了基础设施，实线了设计功能和使用功能。</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29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29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重建闸数量</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重建闸数量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座</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工程验收合格率</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通过验收的工程量占建设、改造、修缮总量的比率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80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中华人民共和国水利行业标准(SL19-2008)</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资金支付</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资金支付及时</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成本是否控制在预算内</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反映成本是否控制在预算内情况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是</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可持续影响指标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隐患消除情况</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通过维护改造，消除安全隐患的情况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实际情况</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受益群体满意度</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受益群体调查中，满意和较满意的人数占全部调查人的比率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keepNext w:val="0"/>
        <w:widowControl w:val="0"/>
        <w:ind w:firstLineChars="200" w:firstLine="420"/>
        <w:jc w:val="left"/>
        <w:outlineLvl w:val="1"/>
      </w:pPr>
    </w:p>
    <w:p>
      <w:pPr>
        <w:keepNext w:val="0"/>
        <w:widowControl w:val="0"/>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br w:type="page"/>
      </w: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27.</w:t>
      </w:r>
      <w:r>
        <w:rPr>
          <w:rFonts w:ascii="Times New Roman" w:eastAsia="仿宋_GB2312" w:cs="Times New Roman" w:hAnsi="Times New Roman" w:hint="eastAsia"/>
          <w:sz w:val="28"/>
        </w:rPr>
        <w:t>2022年建档立卡脱贫户生产生活补助金</w:t>
      </w:r>
      <w:r>
        <w:rPr>
          <w:rFonts w:ascii="Times New Roman" w:eastAsia="仿宋_GB2312" w:cs="Times New Roman" w:hAnsi="Times New Roman"/>
          <w:sz w:val="28"/>
        </w:rPr>
        <w:t>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026"/>
        <w:gridCol w:w="1050"/>
        <w:gridCol w:w="4399"/>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[13102522P00926010001M]2022年建档立卡脱贫户生产生活补助金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0.4万元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用于发放建档立卡贫困户补助</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25%</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50%</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75%</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96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sz w:val="18"/>
                <w:szCs w:val="18"/>
              </w:rPr>
            </w:pPr>
            <w:r>
              <w:rPr>
                <w:rFonts w:ascii="宋体" w:cs="宋体" w:hint="eastAsia"/>
                <w:sz w:val="18"/>
                <w:szCs w:val="18"/>
              </w:rPr>
              <w:t>通过对2户建档立卡贫困户及时有效发放慰问资金，使贫困户生活质量有效提高，提升贫困户家庭幸福感</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39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39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帮扶户数</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年度计划帮扶户数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2</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户</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帮扶完成率</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年度计划帮扶完成率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慰问金发放率</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年度慰问金发放率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慰问标准</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节日、日常慰问年人均标准</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2000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社会效益指标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社会稳定水平</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通过实施扶贫补助政策促进社会稳定水平逐步提高</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提高</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经济效益指标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带动增加贫困户全年总收入</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反映带动增加贫困户全年总收入情况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2000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元/年</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可持续影响指标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提高质量</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提高生活质量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提高</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bl>
    <w:p>
      <w:pPr>
        <w:keepNext w:val="0"/>
        <w:widowControl w:val="0"/>
        <w:ind w:firstLineChars="200" w:firstLine="420"/>
        <w:jc w:val="left"/>
        <w:outlineLvl w:val="1"/>
      </w:pPr>
    </w:p>
    <w:p>
      <w:pPr>
        <w:keepNext w:val="0"/>
        <w:widowControl w:val="0"/>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br w:type="page"/>
      </w: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28.廊坊市大城县2020年度地下水超采综合治理农业灌溉水量监测项目资金绩效目标表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1155"/>
        <w:gridCol w:w="4189"/>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[13102522P00926410001C]廊坊市大城县2020年度地下水超采综合治理农业灌溉水量监测项目资金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11.75万元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用于支付项目质保金和看护费</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cs="宋体" w:hint="eastAsia"/>
                <w:b/>
                <w:bCs/>
                <w:i w:val="0"/>
                <w:iCs w:val="0"/>
                <w:color w:val="000000"/>
                <w:kern w:val="0"/>
                <w:sz w:val="18"/>
                <w:szCs w:val="18"/>
                <w:u w:val="none"/>
                <w:lang w:val="en-US" w:eastAsia="zh-CN"/>
              </w:rPr>
            </w:pPr>
            <w:r>
              <w:rPr>
                <w:rFonts w:ascii="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（累计支出比例）</w:t>
            </w: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50%</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sz w:val="18"/>
                <w:szCs w:val="18"/>
              </w:rPr>
            </w:pPr>
            <w:r>
              <w:rPr>
                <w:rFonts w:ascii="宋体" w:cs="宋体" w:hint="eastAsia"/>
                <w:sz w:val="18"/>
                <w:szCs w:val="18"/>
              </w:rPr>
              <w:t>建设农业灌溉监测点43个，通过对全年灌溉过程的长系列、全过程和自动化数据跟踪，实现“以电折水”系数精准测算。</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18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18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建设农业灌溉监测点</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实际建设农业监测点数量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43</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个</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验收合格率</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合格的工程数量占总工程数量的比例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资金支付</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资金支付及时</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单价是否控制在批复概算单价内</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反映单位是否控制在批复概算单价内情况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是</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可持续影响指标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是否长期监测</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通过对全年灌溉过程的长系列、全过程和自动化数据跟踪，实现“以电折水”系数精准测算。</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是</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受益群体满意度</w:t>
            </w:r>
          </w:p>
        </w:tc>
        <w:tc>
          <w:tcPr>
            <w:tcW w:w="41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受益群众占全部调查人数的比例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keepNext w:val="0"/>
        <w:widowControl w:val="0"/>
        <w:ind w:firstLineChars="200" w:firstLine="360"/>
        <w:jc w:val="left"/>
        <w:outlineLvl w:val="1"/>
        <w:rPr>
          <w:rFonts w:ascii="宋体" w:hint="eastAsia"/>
          <w:sz w:val="18"/>
          <w:szCs w:val="18"/>
        </w:rPr>
      </w:pPr>
    </w:p>
    <w:p>
      <w:pPr>
        <w:keepNext w:val="0"/>
        <w:widowControl w:val="0"/>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br w:type="page"/>
      </w: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29.2021年生态补水项目资金绩效目标表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026"/>
        <w:gridCol w:w="1050"/>
        <w:gridCol w:w="4399"/>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[13102522P00927110001J]2021年生态补水项目资金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70万元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用于支付生态补水相关费用</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96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包括泵站电费551000度；河渠清淤及垃圾清除14440立方米；包括启闭机及闸门更新三台套，；购置垃圾打捞船一台，购置GPS测量。有效提升了我县水生态环境。</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39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39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闸门启闭机数量</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购买闸门启闭机数量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台</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成本指标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成本控制数</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成本控制在预算范围内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70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资金支付</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反映资金支付情况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质量指标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验收合格率</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反映验收合格率情况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社会效益指标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保障全县安全度汛</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保障全县安全度汛</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保障</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可持续影响指标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是否良性运行</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工程是否良性运行</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是</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群众满意度</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满意人数占总调查人数的比例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95</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keepNext w:val="0"/>
        <w:widowControl w:val="0"/>
        <w:ind w:firstLineChars="200" w:firstLine="420"/>
        <w:jc w:val="left"/>
        <w:outlineLvl w:val="1"/>
      </w:pPr>
    </w:p>
    <w:p>
      <w:pPr>
        <w:keepNext w:val="0"/>
        <w:widowControl w:val="0"/>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br w:type="page"/>
        <w:t>30.2022年河长制信息平台数据更新维护经费绩效目标表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945"/>
        <w:gridCol w:w="4399"/>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[13102522P009254100015]2022年河长制信息平台数据更新维护经费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5万元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用于支付河长制信息平台数据更新费用</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完成B/S架构河长制信息平台安全升级，完成24条国有河渠涉及12个镇（区）和沿岸村街行政区划的更新，对各级河长信息变动情况记性实时更新。</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39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39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数据更新</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对各镇区辖区界限更新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地图准确</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实景地图准确度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资金支付</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资金支付及时</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成本控制在预算内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5</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可持续影响指标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提升效率</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提升问题交办效率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提升</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群众满意度</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满意群众占调查总人数百分比</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keepNext w:val="0"/>
        <w:widowControl w:val="0"/>
        <w:ind w:firstLineChars="200" w:firstLine="420"/>
        <w:jc w:val="left"/>
        <w:outlineLvl w:val="1"/>
      </w:pPr>
    </w:p>
    <w:p>
      <w:pPr>
        <w:keepNext w:val="0"/>
        <w:widowControl w:val="0"/>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br w:type="page"/>
      </w: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31.2022年水务局下属自收自支事业单位退休人员及遗属人员经费绩效目标表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026"/>
        <w:gridCol w:w="1155"/>
        <w:gridCol w:w="4294"/>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[13102522P008817100015]2022年水务局下属自收自支事业单位退休人员及遗属人员经费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478.48万元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用于发放下属自收自支事业单位退休人员医疗补助、物业补贴、精神文明奖、取暖费及遗属人员遗属费</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cs="宋体" w:hint="eastAsia"/>
                <w:b/>
                <w:bCs/>
                <w:i w:val="0"/>
                <w:iCs w:val="0"/>
                <w:color w:val="000000"/>
                <w:kern w:val="0"/>
                <w:sz w:val="18"/>
                <w:szCs w:val="18"/>
                <w:u w:val="none"/>
                <w:lang w:val="en-US" w:eastAsia="zh-CN"/>
              </w:rPr>
            </w:pPr>
            <w:r>
              <w:rPr>
                <w:rFonts w:ascii="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（累计支出比例）</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40%</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60%</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80%</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年度绩效目标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96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目标内容1</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一级指标</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29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29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产出指标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人数</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退休人员人数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158</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人</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人数</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遗属人数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32</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人</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补贴发放率</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实际发放数占计划数的比例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299"/>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成本控制在预算范围内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478.48</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时效指标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发放及时</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年度发放及时</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效益指标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社会效益指标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提高幸福感</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体现政府关爱，提高残疾人获得感幸福感</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经济效益指标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提高退休人员待遇水平</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提高退休人员待遇水平</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提高</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满意度指标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受益对象满意度</w:t>
            </w:r>
          </w:p>
        </w:tc>
        <w:tc>
          <w:tcPr>
            <w:tcW w:w="4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受益对象满意人数占调查人数的比例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keepNext w:val="0"/>
        <w:widowControl w:val="0"/>
        <w:ind w:firstLineChars="200" w:firstLine="360"/>
        <w:jc w:val="left"/>
        <w:outlineLvl w:val="1"/>
        <w:rPr>
          <w:rFonts w:ascii="宋体" w:hint="eastAsia"/>
          <w:sz w:val="18"/>
          <w:szCs w:val="18"/>
        </w:rPr>
      </w:pPr>
    </w:p>
    <w:p>
      <w:pPr>
        <w:keepNext w:val="0"/>
        <w:widowControl w:val="0"/>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br w:type="page"/>
      </w: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32.大城县“十四五”节水规划编制项目资金绩效目标表</w:t>
      </w:r>
    </w:p>
    <w:tbl>
      <w:tblPr>
        <w:jc w:val="left"/>
        <w:tblInd w:w="96" w:type="dxa"/>
        <w:tblW w:w="14649"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236"/>
        <w:gridCol w:w="1155"/>
        <w:gridCol w:w="4084"/>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[13102522P009265100012]大城县“十四五”节水规划编制项目资金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10万元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用于支付规划编制费</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239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39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4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7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通过项目的实施摸清我县节水底数，科学制定节水目标指标，统筹谋划“十四五”大城县节水行动布局。</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08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2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08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成果报告数量</w:t>
            </w:r>
          </w:p>
        </w:tc>
        <w:tc>
          <w:tcPr>
            <w:tcW w:w="4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提供成果报告份数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本</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依据实际需求</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专家审查通过率</w:t>
            </w:r>
          </w:p>
        </w:tc>
        <w:tc>
          <w:tcPr>
            <w:tcW w:w="4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考察是否通过专家技术审查</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是</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工作方案</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规划编制完成时间</w:t>
            </w:r>
          </w:p>
        </w:tc>
        <w:tc>
          <w:tcPr>
            <w:tcW w:w="4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规划编制完成时间</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2022年10月底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工作方案</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w:t>
            </w:r>
          </w:p>
        </w:tc>
        <w:tc>
          <w:tcPr>
            <w:tcW w:w="408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成本控制在预算范围内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10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工作方案</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社会效益指标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提高“十四五”节水工作水平</w:t>
            </w:r>
          </w:p>
        </w:tc>
        <w:tc>
          <w:tcPr>
            <w:tcW w:w="4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考察全县“十四五”节水工作水平提高情况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提高</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工作方案</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生态效益指标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促进环境改善</w:t>
            </w:r>
          </w:p>
        </w:tc>
        <w:tc>
          <w:tcPr>
            <w:tcW w:w="4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考察通过节水对全市环境改善情况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改善</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工作方案</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群众满意度</w:t>
            </w:r>
          </w:p>
        </w:tc>
        <w:tc>
          <w:tcPr>
            <w:tcW w:w="40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满意人数占调查人数比例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keepNext w:val="0"/>
        <w:widowControl w:val="0"/>
        <w:ind w:firstLineChars="200" w:firstLine="420"/>
        <w:jc w:val="left"/>
        <w:outlineLvl w:val="1"/>
      </w:pPr>
    </w:p>
    <w:p>
      <w:pPr>
        <w:keepNext w:val="0"/>
        <w:widowControl w:val="0"/>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br w:type="page"/>
      </w: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33.大城县2019年抗旱应急项目杜庄子引水闸重建工程资金绩效目标表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131"/>
        <w:gridCol w:w="945"/>
        <w:gridCol w:w="4399"/>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[13102522P00925010001E]大城县2019年抗旱应急项目杜庄子引水闸重建工程资金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8.53万元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用于支付工程尾款</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i w:val="0"/>
                <w:iCs w:val="0"/>
                <w:color w:val="000000"/>
                <w:sz w:val="18"/>
                <w:szCs w:val="18"/>
                <w:u w:val="none"/>
              </w:rPr>
            </w:pP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该项目已于2020年5月15日完工，及时完工。工程量完成100%，工程质量验收合格，群众满意度达到80%，进一步的完善了基础设施，实线了设计功能和使用功能。</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39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39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重建引水闸数量</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重建引水闸数量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座</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工程验收合格率</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通过验收的工程量占建设、改造、修缮总量的比率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80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中华人民共和国水利行业标准(SL19-2008)</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资金支付</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资金支付及时</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成本是否控制在预算内</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反映成本是否控制在预算内情况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是</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可持续影响指标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隐患消除情况</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通过维护改造，消除安全隐患的项数或情况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实际情况</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受益群体满意度</w:t>
            </w:r>
          </w:p>
        </w:tc>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受益群体调查中，满意和较满意的人数占全部调查人的比率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keepNext w:val="0"/>
        <w:widowControl w:val="0"/>
        <w:ind w:firstLineChars="200" w:firstLine="420"/>
        <w:jc w:val="left"/>
        <w:outlineLvl w:val="1"/>
      </w:pPr>
    </w:p>
    <w:p>
      <w:pPr>
        <w:keepNext w:val="0"/>
        <w:widowControl w:val="0"/>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br w:type="page"/>
      </w:r>
    </w:p>
    <w:p>
      <w:pPr>
        <w:ind w:firstLineChars="200" w:firstLine="560"/>
        <w:jc w:val="left"/>
        <w:outlineLvl w:val="1"/>
        <w:rPr>
          <w:rFonts w:ascii="Times New Roman" w:eastAsia="仿宋_GB2312" w:cs="Times New Roman" w:hAnsi="Times New Roman"/>
          <w:sz w:val="28"/>
        </w:rPr>
      </w:pPr>
      <w:r>
        <w:rPr>
          <w:rFonts w:ascii="Times New Roman" w:eastAsia="仿宋_GB2312" w:cs="Times New Roman" w:hAnsi="Times New Roman"/>
          <w:sz w:val="28"/>
        </w:rPr>
        <w:t>34.2022年水务局下属自收自支事业单位退休人员及遗属人员经费绩效目标表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026"/>
        <w:gridCol w:w="945"/>
        <w:gridCol w:w="4504"/>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2022年水务局下属自收自支事业单位退休人员及遗属人员经费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eastAsia="宋体" w:cs="宋体" w:hint="eastAsia"/>
                <w:i w:val="0"/>
                <w:iCs w:val="0"/>
                <w:color w:val="000000"/>
                <w:sz w:val="18"/>
                <w:szCs w:val="18"/>
                <w:u w:val="none"/>
              </w:rPr>
            </w:pPr>
            <w:r>
              <w:rPr>
                <w:rFonts w:ascii="宋体" w:eastAsia="宋体" w:cs="宋体"/>
                <w:i w:val="0"/>
                <w:iCs w:val="0"/>
                <w:color w:val="000000"/>
                <w:sz w:val="18"/>
                <w:szCs w:val="18"/>
                <w:u w:val="none"/>
              </w:rPr>
              <w:t>211.141万元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用于发放下属自收自支事业单位退休人员医疗补助、物业补贴、精神文明奖、取暖费及遗属人员遗属费</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40%</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60%</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80%</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96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提高退休人员待遇水平</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50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人数</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发放人数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158</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人</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补贴发放率</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实际发放数占计划数的比例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100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成本指标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成本控制在预算范围内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211.14</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发放及时</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年度发放及时</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社会效益指标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提高幸福感</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体现政府关爱，提高退休人员获得感幸福感</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经济效益指标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提高退休人员待遇水平</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提高退休人员待遇水平</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提高</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受益对象满意度</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受益对象满意人数占调查人数的比例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问卷调查</w:t>
            </w:r>
          </w:p>
        </w:tc>
      </w:tr>
    </w:tbl>
    <w:p>
      <w:pPr>
        <w:keepNext w:val="0"/>
        <w:widowControl w:val="0"/>
        <w:ind w:left="0"/>
        <w:jc w:val="left"/>
        <w:outlineLvl w:val="1"/>
        <w:rPr>
          <w:rFonts w:ascii="Times New Roman" w:eastAsia="仿宋_GB2312" w:cs="Times New Roman" w:hAnsi="Times New Roman"/>
          <w:vanish w:val="0"/>
          <w:sz w:val="28"/>
        </w:rPr>
      </w:pPr>
    </w:p>
    <w:p>
      <w:pPr>
        <w:keepNext w:val="0"/>
        <w:widowControl w:val="0"/>
        <w:ind w:left="0"/>
        <w:jc w:val="left"/>
        <w:outlineLvl w:val="1"/>
        <w:rPr>
          <w:rFonts w:ascii="Times New Roman" w:eastAsia="仿宋_GB2312" w:cs="Times New Roman" w:hAnsi="Times New Roman"/>
          <w:vanish w:val="0"/>
          <w:sz w:val="28"/>
        </w:rPr>
      </w:pPr>
      <w:r>
        <w:rPr>
          <w:rFonts w:ascii="Times New Roman" w:eastAsia="仿宋_GB2312" w:cs="Times New Roman" w:hAnsi="Times New Roman"/>
          <w:vanish/>
          <w:sz w:val="28"/>
        </w:rPr>
        <w:t>{ TC 2、办公自动化（OA）和督查督办系统升级及推广费绩效目标表 \f C \l 1 }</w:t>
      </w:r>
    </w:p>
    <w:p>
      <w:pPr>
        <w:keepNext w:val="0"/>
        <w:widowControl w:val="0"/>
        <w:ind w:left="0" w:firstLineChars="200" w:firstLine="560"/>
        <w:jc w:val="left"/>
        <w:outlineLvl w:val="1"/>
        <w:rPr>
          <w:rFonts w:ascii="Times New Roman" w:eastAsia="仿宋_GB2312" w:cs="Times New Roman" w:hAnsi="Times New Roman"/>
          <w:vanish w:val="0"/>
          <w:sz w:val="28"/>
        </w:rPr>
      </w:pPr>
      <w:r>
        <w:rPr>
          <w:rFonts w:ascii="Times New Roman" w:eastAsia="仿宋_GB2312" w:cs="Times New Roman" w:hAnsi="Times New Roman"/>
          <w:vanish/>
          <w:sz w:val="28"/>
        </w:rPr>
        <w:t>{ TC 2、办公自动化（OA）和督查督办系统升级及推广费绩效目标表 \f C \l 1 }</w:t>
      </w:r>
      <w:r>
        <w:rPr>
          <w:rFonts w:ascii="Times New Roman" w:eastAsia="仿宋_GB2312" w:cs="Times New Roman" w:hAnsi="Times New Roman"/>
          <w:sz w:val="28"/>
        </w:rPr>
        <w:t>35.安监经费绩效目标表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026"/>
        <w:gridCol w:w="945"/>
        <w:gridCol w:w="4504"/>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[13102522P00925910001H]安监经费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i w:val="0"/>
                <w:iCs w:val="0"/>
                <w:color w:val="000000"/>
                <w:sz w:val="18"/>
                <w:szCs w:val="18"/>
                <w:u w:val="none"/>
              </w:rPr>
              <w:t>2</w:t>
            </w:r>
            <w:r>
              <w:rPr>
                <w:rFonts w:ascii="宋体" w:cs="宋体" w:hint="eastAsia"/>
                <w:i w:val="0"/>
                <w:iCs w:val="0"/>
                <w:color w:val="000000"/>
                <w:sz w:val="18"/>
                <w:szCs w:val="18"/>
                <w:u w:val="none"/>
              </w:rPr>
              <w:t>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用于安监经费支出</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27"/>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30%</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60%</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80%</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96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通过对水利领域安全生产的监督管理，开展宣传教育活动，增强作业人员的安全意识，防止安全事故的发生，确保全县水利建设稳步发展。</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50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督导检查</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督导检查数量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次</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299"/>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成本指标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成本控制</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成本控制在预算范围内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2</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宣传</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发放宣传资料数量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12000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份</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质量指标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培训、督导覆盖率</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考查培训督导情况</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100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时效指标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资金支付</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资金支付及时</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社会效益指标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提高安全意识</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提高安全生产意识</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提高</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群众满意度</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满意人数占调查人数比例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keepNext w:val="0"/>
        <w:widowControl w:val="0"/>
        <w:ind w:left="0"/>
        <w:jc w:val="left"/>
        <w:outlineLvl w:val="1"/>
        <w:rPr>
          <w:rFonts w:ascii="Times New Roman" w:eastAsia="仿宋_GB2312" w:cs="Times New Roman" w:hAnsi="Times New Roman"/>
          <w:vanish w:val="0"/>
          <w:sz w:val="28"/>
        </w:rPr>
      </w:pPr>
    </w:p>
    <w:p>
      <w:pPr>
        <w:keepNext w:val="0"/>
        <w:widowControl w:val="0"/>
        <w:ind w:left="0"/>
        <w:jc w:val="left"/>
        <w:outlineLvl w:val="1"/>
        <w:rPr>
          <w:rFonts w:ascii="Times New Roman" w:eastAsia="仿宋_GB2312" w:cs="Times New Roman" w:hAnsi="Times New Roman"/>
          <w:vanish w:val="0"/>
          <w:sz w:val="28"/>
        </w:rPr>
      </w:pPr>
    </w:p>
    <w:p>
      <w:pPr>
        <w:keepNext w:val="0"/>
        <w:widowControl w:val="0"/>
        <w:ind w:left="0"/>
        <w:jc w:val="left"/>
        <w:outlineLvl w:val="1"/>
        <w:rPr>
          <w:rFonts w:ascii="Times New Roman" w:eastAsia="仿宋_GB2312" w:cs="Times New Roman" w:hAnsi="Times New Roman"/>
          <w:vanish w:val="0"/>
          <w:sz w:val="28"/>
        </w:rPr>
      </w:pPr>
    </w:p>
    <w:p>
      <w:pPr>
        <w:keepNext w:val="0"/>
        <w:widowControl w:val="0"/>
        <w:ind w:left="0" w:firstLineChars="200" w:firstLine="560"/>
        <w:jc w:val="left"/>
        <w:outlineLvl w:val="1"/>
        <w:rPr>
          <w:rFonts w:ascii="Times New Roman" w:eastAsia="仿宋_GB2312" w:cs="Times New Roman" w:hAnsi="Times New Roman"/>
          <w:vanish w:val="0"/>
          <w:sz w:val="28"/>
        </w:rPr>
      </w:pPr>
      <w:r>
        <w:rPr>
          <w:rFonts w:ascii="Times New Roman" w:eastAsia="仿宋_GB2312" w:cs="Times New Roman" w:hAnsi="Times New Roman"/>
          <w:sz w:val="28"/>
        </w:rPr>
        <w:t>36.云视频会议终端服务系统保障专线使用费绩效目标表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026"/>
        <w:gridCol w:w="945"/>
        <w:gridCol w:w="4504"/>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项目编码及名称</w:t>
            </w:r>
          </w:p>
        </w:tc>
        <w:tc>
          <w:tcPr>
            <w:tcW w:w="647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[13102522P009279100010]云视频会议终端服务系统保障专线使用费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项目单位</w:t>
            </w:r>
          </w:p>
        </w:tc>
        <w:tc>
          <w:tcPr>
            <w:tcW w:w="647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i w:val="0"/>
                <w:iCs w:val="0"/>
                <w:color w:val="000000"/>
                <w:sz w:val="18"/>
                <w:szCs w:val="18"/>
                <w:u w:val="none"/>
              </w:rPr>
              <w:t>0.84</w:t>
            </w:r>
            <w:r>
              <w:rPr>
                <w:rFonts w:ascii="宋体" w:cs="宋体" w:hint="eastAsia"/>
                <w:i w:val="0"/>
                <w:iCs w:val="0"/>
                <w:color w:val="000000"/>
                <w:sz w:val="18"/>
                <w:szCs w:val="18"/>
                <w:u w:val="none"/>
              </w:rPr>
              <w:t>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用于支付云视频会议终端服务系统保障专线费用</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cs="宋体" w:hint="eastAsia"/>
                <w:b/>
                <w:bCs/>
                <w:i w:val="0"/>
                <w:iCs w:val="0"/>
                <w:color w:val="000000"/>
                <w:kern w:val="0"/>
                <w:sz w:val="18"/>
                <w:szCs w:val="18"/>
                <w:u w:val="none"/>
                <w:lang w:val="en-US" w:eastAsia="zh-CN"/>
              </w:rPr>
            </w:pPr>
            <w:r>
              <w:rPr>
                <w:rFonts w:ascii="宋体" w:eastAsia="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（累计支出比例）</w:t>
            </w: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27"/>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年度绩效目标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96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确保会商系统安全有效运行，政令畅通。</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一级指标</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50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产出指标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网络运维数量</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云视频会议光纤专线数量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条</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299"/>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云视频会议终端系统网络正常运行情况</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云视频会议网络是否正常运行</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是</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网络连通率</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网络连通率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运行费用</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网络服务费用</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0.84</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效益指标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社会效益指标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洪水风险预警信息发布时间</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洪水风险预警信息发布时间</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eastAsia="宋体" w:cs="宋体" w:hint="eastAsia"/>
                <w:b/>
                <w:bCs/>
                <w:i w:val="0"/>
                <w:iCs w:val="0"/>
                <w:color w:val="000000"/>
                <w:sz w:val="18"/>
                <w:szCs w:val="18"/>
                <w:u w:val="none"/>
              </w:rPr>
            </w:pPr>
            <w:r>
              <w:rPr>
                <w:rFonts w:ascii="宋体" w:eastAsia="宋体" w:cs="宋体" w:hint="eastAsia"/>
                <w:b/>
                <w:bCs/>
                <w:i w:val="0"/>
                <w:iCs w:val="0"/>
                <w:color w:val="000000"/>
                <w:kern w:val="0"/>
                <w:sz w:val="18"/>
                <w:szCs w:val="18"/>
                <w:u w:val="none"/>
                <w:lang w:val="en-US" w:eastAsia="zh-CN"/>
              </w:rPr>
              <w:t>满意度指标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满意人数占调查人数的比例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spacing w:line="14" w:lineRule="exact"/>
        <w:ind w:firstLineChars="200" w:firstLine="420"/>
        <w:jc w:val="center"/>
        <w:rPr>
          <w:rFonts w:ascii="Times New Roman" w:eastAsia="仿宋_GB2312" w:cs="Times New Roman" w:hAnsi="Times New Roman"/>
        </w:rPr>
      </w:pPr>
    </w:p>
    <w:p>
      <w:pPr>
        <w:keepNext w:val="0"/>
        <w:widowControl w:val="0"/>
        <w:ind w:left="0" w:firstLineChars="200" w:firstLine="560"/>
        <w:jc w:val="left"/>
        <w:outlineLvl w:val="1"/>
        <w:rPr>
          <w:rFonts w:ascii="Times New Roman" w:eastAsia="仿宋_GB2312" w:cs="Times New Roman" w:hAnsi="Times New Roman"/>
          <w:vanish w:val="0"/>
          <w:sz w:val="28"/>
        </w:rPr>
      </w:pPr>
      <w:r>
        <w:rPr>
          <w:rFonts w:ascii="Times New Roman" w:eastAsia="仿宋_GB2312" w:cs="Times New Roman" w:hAnsi="Times New Roman"/>
          <w:sz w:val="28"/>
        </w:rPr>
        <w:t>37.大城县环城水系综合治理工程项目资金绩效目标表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026"/>
        <w:gridCol w:w="945"/>
        <w:gridCol w:w="4504"/>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hint="eastAsia"/>
                <w:sz w:val="18"/>
                <w:szCs w:val="18"/>
              </w:rPr>
            </w:pPr>
            <w:r>
              <w:rPr>
                <w:rFonts w:ascii="宋体" w:cs="宋体" w:hint="eastAsia"/>
                <w:sz w:val="18"/>
                <w:szCs w:val="18"/>
              </w:rPr>
              <w:t>[13102521P00858110002K]大城县环城水系综合治理工程项目资金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sz w:val="18"/>
                <w:szCs w:val="18"/>
                <w:u w:val="none"/>
              </w:rPr>
              <w:t>30000万元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用于支付环城水系治理工程款</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cs="宋体" w:hint="eastAsia"/>
                <w:b/>
                <w:bCs/>
                <w:i w:val="0"/>
                <w:iCs w:val="0"/>
                <w:color w:val="000000"/>
                <w:kern w:val="0"/>
                <w:sz w:val="18"/>
                <w:szCs w:val="18"/>
                <w:u w:val="none"/>
                <w:lang w:val="en-US" w:eastAsia="zh-CN"/>
              </w:rPr>
            </w:pPr>
            <w:r>
              <w:rPr>
                <w:rFonts w:ascii="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（累计支出比例）</w:t>
            </w: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27"/>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年度绩效目标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96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hint="eastAsia"/>
                <w:sz w:val="18"/>
                <w:szCs w:val="18"/>
              </w:rPr>
            </w:pPr>
            <w:r>
              <w:rPr>
                <w:rFonts w:ascii="宋体" w:cs="宋体" w:hint="eastAsia"/>
                <w:sz w:val="18"/>
                <w:szCs w:val="18"/>
              </w:rPr>
              <w:t>通过水系工程、截污工程、生态工程、路桥工程4项方案对水系循环圈进行治理，使河段内生态环境和水质得到改善，打造一条水清岸绿的生态绿廊。</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一级指标</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50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产出指标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完成数量</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完成数量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项</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299"/>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工程验收合格率</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工程验收合格率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工程按期完成率（%）</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按期完成的工程量占总工程量的比率</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成本控制在预算范围内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30000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92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效益指标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经济效益指标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成果转化收益</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成果转化收益</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社会效益指标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促进地方经济发展</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促进地方经济发展</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显著</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满意度指标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群众满意度</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满意人数占调查总人数的比例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98</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社会调查统计报告</w:t>
            </w:r>
          </w:p>
        </w:tc>
      </w:tr>
    </w:tbl>
    <w:p>
      <w:pPr>
        <w:spacing w:line="14" w:lineRule="exact"/>
        <w:ind w:firstLineChars="200" w:firstLine="420"/>
        <w:jc w:val="center"/>
        <w:rPr>
          <w:rFonts w:ascii="Times New Roman" w:eastAsia="仿宋_GB2312" w:cs="Times New Roman" w:hAnsi="Times New Roman"/>
        </w:rPr>
      </w:pPr>
    </w:p>
    <w:p>
      <w:pPr>
        <w:keepNext w:val="0"/>
        <w:widowControl w:val="0"/>
        <w:ind w:left="0" w:firstLineChars="200" w:firstLine="560"/>
        <w:jc w:val="left"/>
        <w:outlineLvl w:val="1"/>
        <w:rPr>
          <w:rFonts w:ascii="Times New Roman" w:eastAsia="仿宋_GB2312" w:cs="Times New Roman" w:hAnsi="Times New Roman"/>
          <w:sz w:val="28"/>
        </w:rPr>
      </w:pPr>
    </w:p>
    <w:p>
      <w:pPr>
        <w:keepNext w:val="0"/>
        <w:widowControl w:val="0"/>
        <w:ind w:left="0" w:firstLineChars="200" w:firstLine="560"/>
        <w:jc w:val="left"/>
        <w:outlineLvl w:val="1"/>
        <w:rPr>
          <w:rFonts w:ascii="Times New Roman" w:eastAsia="仿宋_GB2312" w:cs="Times New Roman" w:hAnsi="Times New Roman"/>
          <w:vanish w:val="0"/>
          <w:sz w:val="28"/>
        </w:rPr>
      </w:pPr>
      <w:r>
        <w:rPr>
          <w:rFonts w:ascii="Times New Roman" w:eastAsia="仿宋_GB2312" w:cs="Times New Roman" w:hAnsi="Times New Roman"/>
          <w:sz w:val="28"/>
        </w:rPr>
        <w:t>38．2021年农村饮水工程维修养护项目资金绩效目标表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026"/>
        <w:gridCol w:w="945"/>
        <w:gridCol w:w="4504"/>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hint="eastAsia"/>
                <w:sz w:val="18"/>
                <w:szCs w:val="18"/>
              </w:rPr>
            </w:pPr>
            <w:r>
              <w:rPr>
                <w:rFonts w:ascii="宋体" w:cs="宋体" w:hint="eastAsia"/>
                <w:sz w:val="18"/>
                <w:szCs w:val="18"/>
              </w:rPr>
              <w:t>[13102521LM2EQ41AD6GMG]2021年农村饮水工程维修养护项目资金-上级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sz w:val="18"/>
                <w:szCs w:val="18"/>
                <w:u w:val="none"/>
              </w:rPr>
              <w:t>7.4784万元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用于维修养护6座农村饮水工程。</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cs="宋体" w:hint="eastAsia"/>
                <w:b/>
                <w:bCs/>
                <w:i w:val="0"/>
                <w:iCs w:val="0"/>
                <w:color w:val="000000"/>
                <w:kern w:val="0"/>
                <w:sz w:val="18"/>
                <w:szCs w:val="18"/>
                <w:u w:val="none"/>
                <w:lang w:val="en-US" w:eastAsia="zh-CN"/>
              </w:rPr>
            </w:pPr>
            <w:r>
              <w:rPr>
                <w:rFonts w:ascii="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（累计支出比例）</w:t>
            </w: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27"/>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年度绩效目标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96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对6座水厂18处饮水工程设备更换。</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一级指标</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50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产出指标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养护数量</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农村饮水工程维修养护数量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18</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处</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299"/>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水厂数量</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维修水厂数量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6</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座</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验收合格率</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验收合格量占总数量的比例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299"/>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时效指标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资金支付</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资金支付及时</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成本控制在预算范围内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74784</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92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效益指标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社会效益指标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受益人口</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农村饮水养护工程受益人口</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9.96</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万人</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可持续影响指标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是否良性运行</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维修设备是否良性运行</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是</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满意度指标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受益群众满意度</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满意群众占调查群众的比例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spacing w:line="14" w:lineRule="exact"/>
        <w:ind w:firstLineChars="200" w:firstLine="420"/>
        <w:jc w:val="center"/>
        <w:rPr>
          <w:rFonts w:ascii="Times New Roman" w:eastAsia="仿宋_GB2312" w:cs="Times New Roman" w:hAnsi="Times New Roman"/>
        </w:rPr>
      </w:pPr>
    </w:p>
    <w:p>
      <w:pPr>
        <w:keepNext w:val="0"/>
        <w:widowControl w:val="0"/>
        <w:ind w:left="0" w:firstLineChars="200" w:firstLine="560"/>
        <w:jc w:val="left"/>
        <w:outlineLvl w:val="1"/>
        <w:rPr>
          <w:rFonts w:ascii="Times New Roman" w:eastAsia="仿宋_GB2312" w:cs="Times New Roman" w:hAnsi="Times New Roman"/>
          <w:sz w:val="28"/>
        </w:rPr>
      </w:pPr>
    </w:p>
    <w:p>
      <w:pPr>
        <w:keepNext w:val="0"/>
        <w:widowControl w:val="0"/>
        <w:ind w:left="0" w:firstLineChars="200" w:firstLine="560"/>
        <w:jc w:val="left"/>
        <w:outlineLvl w:val="1"/>
        <w:rPr>
          <w:rFonts w:ascii="Times New Roman" w:eastAsia="仿宋_GB2312" w:cs="Times New Roman" w:hAnsi="Times New Roman"/>
          <w:vanish w:val="0"/>
          <w:sz w:val="28"/>
        </w:rPr>
      </w:pPr>
      <w:r>
        <w:rPr>
          <w:rFonts w:ascii="Times New Roman" w:eastAsia="仿宋_GB2312" w:cs="Times New Roman" w:hAnsi="Times New Roman"/>
          <w:sz w:val="28"/>
        </w:rPr>
        <w:t>39.2021年地下水超采综合治理农村生活水源置换项目资金绩效目标表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026"/>
        <w:gridCol w:w="945"/>
        <w:gridCol w:w="4504"/>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项目编码及名称</w:t>
            </w:r>
          </w:p>
        </w:tc>
        <w:tc>
          <w:tcPr>
            <w:tcW w:w="647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[1310252155UA7BPQ1A6M0]2021年地下水超采综合治理农村生活水源置换项目资金-上级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项目单位</w:t>
            </w:r>
          </w:p>
        </w:tc>
        <w:tc>
          <w:tcPr>
            <w:tcW w:w="647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sz w:val="18"/>
                <w:szCs w:val="18"/>
                <w:u w:val="none"/>
              </w:rPr>
              <w:t>1153万元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资金用途</w:t>
            </w:r>
          </w:p>
        </w:tc>
        <w:tc>
          <w:tcPr>
            <w:tcW w:w="1299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用于支付2021年农村生活水源置换项目支出</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cs="宋体" w:hint="eastAsia"/>
                <w:b/>
                <w:bCs/>
                <w:i w:val="0"/>
                <w:iCs w:val="0"/>
                <w:color w:val="000000"/>
                <w:kern w:val="0"/>
                <w:sz w:val="18"/>
                <w:szCs w:val="18"/>
                <w:u w:val="none"/>
                <w:lang w:val="en-US" w:eastAsia="zh-CN"/>
              </w:rPr>
            </w:pPr>
            <w:r>
              <w:rPr>
                <w:rFonts w:ascii="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（累计支出比例）</w:t>
            </w: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27"/>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hint="eastAsia"/>
                <w:sz w:val="18"/>
                <w:szCs w:val="18"/>
              </w:rPr>
            </w:pP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hint="eastAsia"/>
                <w:sz w:val="18"/>
                <w:szCs w:val="18"/>
              </w:rPr>
            </w:pP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97%</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年度绩效目标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96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铺设管道37.107公里，解决10.02万人饮水安全问题。</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一级指标</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50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产出指标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管道长度</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铺设地表水厂至水站管道长度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37.1</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公里</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299"/>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验收合格率</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通过验收的数量占建设总量的比例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80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资金支付</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资金支付及时</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成本控制在预算范围内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1153</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效益指标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社会效益指标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解决饮水安全人口</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农村引江水切换人口数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10.02</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万人</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满意度指标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受益群众满意度</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满意人口占调查人数的比例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spacing w:line="14" w:lineRule="exact"/>
        <w:ind w:firstLineChars="200" w:firstLine="420"/>
        <w:jc w:val="center"/>
        <w:rPr>
          <w:rFonts w:ascii="Times New Roman" w:eastAsia="仿宋_GB2312" w:cs="Times New Roman" w:hAnsi="Times New Roman"/>
        </w:rPr>
      </w:pPr>
    </w:p>
    <w:p>
      <w:pPr>
        <w:keepNext w:val="0"/>
        <w:widowControl w:val="0"/>
        <w:ind w:left="0" w:firstLineChars="200" w:firstLine="560"/>
        <w:jc w:val="left"/>
        <w:outlineLvl w:val="1"/>
        <w:rPr>
          <w:rFonts w:ascii="Times New Roman" w:eastAsia="仿宋_GB2312" w:cs="Times New Roman" w:hAnsi="Times New Roman"/>
          <w:sz w:val="28"/>
        </w:rPr>
      </w:pPr>
    </w:p>
    <w:p>
      <w:pPr>
        <w:keepNext w:val="0"/>
        <w:widowControl w:val="0"/>
        <w:ind w:left="0" w:firstLineChars="200" w:firstLine="560"/>
        <w:jc w:val="left"/>
        <w:outlineLvl w:val="1"/>
        <w:rPr>
          <w:rFonts w:ascii="Times New Roman" w:eastAsia="仿宋_GB2312" w:cs="Times New Roman" w:hAnsi="Times New Roman"/>
          <w:sz w:val="28"/>
        </w:rPr>
      </w:pPr>
    </w:p>
    <w:p>
      <w:pPr>
        <w:keepNext w:val="0"/>
        <w:widowControl w:val="0"/>
        <w:ind w:left="0" w:firstLineChars="200" w:firstLine="560"/>
        <w:jc w:val="left"/>
        <w:outlineLvl w:val="1"/>
        <w:rPr>
          <w:rFonts w:ascii="Times New Roman" w:eastAsia="仿宋_GB2312" w:cs="Times New Roman" w:hAnsi="Times New Roman"/>
          <w:sz w:val="28"/>
        </w:rPr>
      </w:pPr>
    </w:p>
    <w:p>
      <w:pPr>
        <w:keepNext w:val="0"/>
        <w:widowControl w:val="0"/>
        <w:ind w:left="0" w:firstLineChars="200" w:firstLine="560"/>
        <w:jc w:val="left"/>
        <w:outlineLvl w:val="1"/>
        <w:rPr>
          <w:rFonts w:ascii="Times New Roman" w:eastAsia="仿宋_GB2312" w:cs="Times New Roman" w:hAnsi="Times New Roman"/>
          <w:vanish w:val="0"/>
          <w:sz w:val="28"/>
        </w:rPr>
      </w:pPr>
      <w:r>
        <w:rPr>
          <w:rFonts w:ascii="Times New Roman" w:eastAsia="仿宋_GB2312" w:cs="Times New Roman" w:hAnsi="Times New Roman"/>
          <w:sz w:val="28"/>
        </w:rPr>
        <w:t>40.2021年应急度汛项目资金绩效目标表</w:t>
      </w:r>
    </w:p>
    <w:tbl>
      <w:tblPr>
        <w:jc w:val="left"/>
        <w:tblInd w:w="96" w:type="dxa"/>
        <w:tblW w:w="14648"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656"/>
        <w:gridCol w:w="1026"/>
        <w:gridCol w:w="945"/>
        <w:gridCol w:w="4504"/>
        <w:gridCol w:w="1304"/>
        <w:gridCol w:w="1304"/>
        <w:gridCol w:w="1657"/>
        <w:gridCol w:w="2253"/>
      </w:tblGrid>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[13102521TZ1CKUA1E96VY]2021年应急度汛项目资金-上级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[332]大城县水务局</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项目单位</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[332001]大城县水务局本级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sz w:val="18"/>
                <w:szCs w:val="18"/>
                <w:u w:val="none"/>
              </w:rPr>
              <w:t>11.95万元</w:t>
            </w:r>
          </w:p>
        </w:tc>
      </w:tr>
      <w:tr>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资金用途</w:t>
            </w:r>
          </w:p>
        </w:tc>
        <w:tc>
          <w:tcPr>
            <w:tcW w:w="12993"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用于支付子牙河贾村泵站闸维修费用</w:t>
            </w:r>
          </w:p>
        </w:tc>
      </w:tr>
      <w:tr>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cs="宋体" w:hint="eastAsia"/>
                <w:b/>
                <w:bCs/>
                <w:i w:val="0"/>
                <w:iCs w:val="0"/>
                <w:color w:val="000000"/>
                <w:kern w:val="0"/>
                <w:sz w:val="18"/>
                <w:szCs w:val="18"/>
                <w:u w:val="none"/>
                <w:lang w:val="en-US" w:eastAsia="zh-CN"/>
              </w:rPr>
            </w:pPr>
            <w:r>
              <w:rPr>
                <w:rFonts w:ascii="宋体" w:cs="宋体" w:hint="eastAsia"/>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（累计支出比例）</w:t>
            </w: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3月底</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6月底</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10月底</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12月底</w:t>
            </w:r>
          </w:p>
        </w:tc>
      </w:tr>
      <w:tr>
        <w:trPr>
          <w:trHeight w:val="427"/>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hint="eastAsia"/>
                <w:sz w:val="18"/>
                <w:szCs w:val="18"/>
              </w:rPr>
            </w:pP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hint="eastAsia"/>
                <w:sz w:val="18"/>
                <w:szCs w:val="18"/>
              </w:rPr>
            </w:pP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hint="eastAsia"/>
                <w:sz w:val="18"/>
                <w:szCs w:val="18"/>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jc w:val="center"/>
              <w:rPr>
                <w:rFonts w:ascii="宋体" w:cs="宋体" w:hint="eastAsia"/>
                <w:sz w:val="18"/>
                <w:szCs w:val="18"/>
              </w:rPr>
            </w:pPr>
            <w:r>
              <w:rPr>
                <w:rFonts w:ascii="宋体" w:cs="宋体" w:hint="eastAsia"/>
                <w:sz w:val="18"/>
                <w:szCs w:val="18"/>
              </w:rPr>
              <w:t>100%</w:t>
            </w:r>
          </w:p>
        </w:tc>
      </w:tr>
      <w:tr>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年度绩效目标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i w:val="0"/>
                <w:iCs w:val="0"/>
                <w:color w:val="000000"/>
                <w:kern w:val="0"/>
                <w:sz w:val="18"/>
                <w:szCs w:val="18"/>
                <w:u w:val="none"/>
                <w:lang w:val="en-US" w:eastAsia="zh-CN"/>
              </w:rPr>
              <w:t>目标1</w:t>
            </w:r>
          </w:p>
        </w:tc>
        <w:tc>
          <w:tcPr>
            <w:tcW w:w="1196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left"/>
              <w:textAlignment w:val="center"/>
              <w:rPr>
                <w:rFonts w:ascii="宋体" w:cs="宋体" w:hint="eastAsia"/>
                <w:i w:val="0"/>
                <w:iCs w:val="0"/>
                <w:color w:val="000000"/>
                <w:sz w:val="18"/>
                <w:szCs w:val="18"/>
                <w:u w:val="none"/>
              </w:rPr>
            </w:pPr>
            <w:r>
              <w:rPr>
                <w:rFonts w:ascii="宋体" w:cs="宋体" w:hint="eastAsia"/>
                <w:sz w:val="18"/>
                <w:szCs w:val="18"/>
              </w:rPr>
              <w:t>修建贾村泵站闸一座，完善基础设施，保障安全度汛。</w:t>
            </w: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一级指标</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二级指标</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三级指标</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绩效指标描述（指标内容）</w:t>
            </w:r>
          </w:p>
        </w:tc>
        <w:tc>
          <w:tcPr>
            <w:tcW w:w="42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指标值</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指标确定依据</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450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符号</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值</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单位（文字描述）</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r>
      <w:tr>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产出指标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数量指标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维修数量</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维修闸数量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1</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座</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299"/>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质量指标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验收合格率</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验收合格量占完成总量的比例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80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时效指标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资金支付</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资金支付及时</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及时</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成本控制在预算范围内</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11.95</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万元</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tcPr>
          <w:p>
            <w:pPr>
              <w:rPr>
                <w:rFonts w:ascii="宋体" w:cs="宋体" w:hint="eastAsia"/>
                <w:sz w:val="18"/>
                <w:szCs w:val="18"/>
              </w:rPr>
            </w:pPr>
            <w:r>
              <w:rPr>
                <w:rFonts w:ascii="宋体" w:cs="宋体" w:hint="eastAsia"/>
                <w:sz w:val="18"/>
                <w:szCs w:val="18"/>
              </w:rPr>
              <w:t>工作计划</w:t>
            </w:r>
          </w:p>
        </w:tc>
      </w:tr>
      <w:tr>
        <w:trPr>
          <w:trHeight w:val="92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效益指标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社会效益指标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提升度汛能力</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该闸维修后是否能提升安全度汛能力</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是</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可持续影响指标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良性运行</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工程维修后是否良性运行</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文字描述</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hint="eastAsia"/>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是</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工作计划</w:t>
            </w:r>
          </w:p>
        </w:tc>
      </w:tr>
      <w:tr>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keepNext w:val="0"/>
              <w:keepLines w:val="0"/>
              <w:widowControl/>
              <w:suppressLineNumbers w:val="0"/>
              <w:jc w:val="center"/>
              <w:textAlignment w:val="center"/>
              <w:rPr>
                <w:rFonts w:ascii="宋体" w:cs="宋体" w:hint="eastAsia"/>
                <w:b/>
                <w:bCs/>
                <w:i w:val="0"/>
                <w:iCs w:val="0"/>
                <w:color w:val="000000"/>
                <w:sz w:val="18"/>
                <w:szCs w:val="18"/>
                <w:u w:val="none"/>
              </w:rPr>
            </w:pPr>
            <w:r>
              <w:rPr>
                <w:rFonts w:ascii="宋体" w:cs="宋体" w:hint="eastAsia"/>
                <w:b/>
                <w:bCs/>
                <w:i w:val="0"/>
                <w:iCs w:val="0"/>
                <w:color w:val="000000"/>
                <w:kern w:val="0"/>
                <w:sz w:val="18"/>
                <w:szCs w:val="18"/>
                <w:u w:val="none"/>
                <w:lang w:val="en-US" w:eastAsia="zh-CN"/>
              </w:rPr>
              <w:t>满意度指标</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服务对象满意度指标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群众满意度</w:t>
            </w:r>
          </w:p>
        </w:tc>
        <w:tc>
          <w:tcPr>
            <w:tcW w:w="45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调查中满意和比较满意人数占调查总数的比例</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90</w:t>
            </w:r>
          </w:p>
        </w:tc>
        <w:tc>
          <w:tcPr>
            <w:tcW w:w="16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百分比</w:t>
            </w:r>
          </w:p>
        </w:tc>
        <w:tc>
          <w:tcPr>
            <w:tcW w:w="2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rPr>
                <w:rFonts w:ascii="宋体" w:cs="宋体" w:hint="eastAsia"/>
                <w:sz w:val="18"/>
                <w:szCs w:val="18"/>
              </w:rPr>
            </w:pPr>
            <w:r>
              <w:rPr>
                <w:rFonts w:ascii="宋体" w:cs="宋体" w:hint="eastAsia"/>
                <w:sz w:val="18"/>
                <w:szCs w:val="18"/>
              </w:rPr>
              <w:t>问卷调查</w:t>
            </w:r>
          </w:p>
        </w:tc>
      </w:tr>
    </w:tbl>
    <w:p>
      <w:pPr>
        <w:autoSpaceDE w:val="0"/>
        <w:autoSpaceDN w:val="0"/>
        <w:adjustRightInd w:val="0"/>
        <w:spacing w:line="584" w:lineRule="exact"/>
        <w:ind w:left="0" w:firstLineChars="200" w:firstLine="640"/>
        <w:jc w:val="left"/>
        <w:rPr>
          <w:rFonts w:ascii="Times New Roman" w:eastAsia="黑体" w:cs="Times New Roman" w:hAnsi="Times New Roman"/>
          <w:sz w:val="32"/>
          <w:szCs w:val="32"/>
        </w:rPr>
      </w:pPr>
    </w:p>
    <w:p>
      <w:pPr>
        <w:autoSpaceDE w:val="0"/>
        <w:autoSpaceDN w:val="0"/>
        <w:adjustRightInd w:val="0"/>
        <w:spacing w:line="584" w:lineRule="exact"/>
        <w:ind w:left="0" w:firstLineChars="200" w:firstLine="640"/>
        <w:jc w:val="left"/>
        <w:rPr>
          <w:rFonts w:ascii="Times New Roman" w:eastAsia="黑体" w:cs="Times New Roman" w:hAnsi="Times New Roman"/>
          <w:sz w:val="32"/>
          <w:szCs w:val="32"/>
        </w:rPr>
      </w:pPr>
    </w:p>
    <w:p>
      <w:pPr>
        <w:autoSpaceDE w:val="0"/>
        <w:autoSpaceDN w:val="0"/>
        <w:adjustRightInd w:val="0"/>
        <w:spacing w:line="584" w:lineRule="exact"/>
        <w:ind w:left="0" w:firstLineChars="200" w:firstLine="640"/>
        <w:jc w:val="left"/>
        <w:rPr>
          <w:rFonts w:ascii="Times New Roman" w:eastAsia="黑体" w:cs="Times New Roman" w:hAnsi="Times New Roman"/>
          <w:sz w:val="32"/>
          <w:szCs w:val="32"/>
        </w:rPr>
      </w:pPr>
      <w:r>
        <w:rPr>
          <w:rFonts w:ascii="Times New Roman" w:eastAsia="黑体" w:cs="Times New Roman" w:hAnsi="Times New Roman"/>
          <w:sz w:val="32"/>
          <w:szCs w:val="32"/>
        </w:rPr>
        <w:t>六、政府采购预算情况</w:t>
      </w:r>
    </w:p>
    <w:p>
      <w:pPr>
        <w:spacing w:line="584" w:lineRule="exact"/>
        <w:ind w:firstLineChars="200" w:firstLine="640"/>
        <w:outlineLvl w:val="0"/>
        <w:rPr>
          <w:rFonts w:ascii="Times New Roman" w:eastAsia="仿宋_GB2312" w:cs="Times New Roman" w:hAnsi="Times New Roman"/>
          <w:sz w:val="32"/>
          <w:szCs w:val="24"/>
        </w:rPr>
      </w:pPr>
      <w:bookmarkStart w:id="2" w:name="_Toc471398468"/>
      <w:r>
        <w:rPr>
          <w:rFonts w:ascii="仿宋_GB2312" w:eastAsia="仿宋_GB2312" w:cs="Times New Roman" w:hint="eastAsia"/>
          <w:sz w:val="32"/>
          <w:szCs w:val="24"/>
        </w:rPr>
        <w:t>202</w:t>
      </w:r>
      <w:r>
        <w:rPr>
          <w:rFonts w:ascii="仿宋_GB2312" w:eastAsia="仿宋_GB2312" w:cs="Times New Roman" w:hint="eastAsia"/>
          <w:sz w:val="32"/>
          <w:szCs w:val="24"/>
          <w:lang w:val="en-US" w:eastAsia="zh-CN"/>
        </w:rPr>
        <w:t>2</w:t>
      </w:r>
      <w:r>
        <w:rPr>
          <w:rFonts w:ascii="仿宋_GB2312" w:eastAsia="仿宋_GB2312" w:cs="Times New Roman" w:hint="eastAsia"/>
          <w:sz w:val="32"/>
          <w:szCs w:val="24"/>
        </w:rPr>
        <w:t>年，我部门安排政府采购预算2635.5万元。具体内容见下表。</w:t>
      </w:r>
      <w:bookmarkEnd w:id="2"/>
    </w:p>
    <w:p>
      <w:pPr>
        <w:spacing w:line="584" w:lineRule="exact"/>
        <w:ind w:firstLineChars="200" w:firstLine="640"/>
        <w:outlineLvl w:val="0"/>
        <w:rPr>
          <w:rFonts w:ascii="Times New Roman" w:eastAsia="仿宋_GB2312" w:cs="Times New Roman" w:hAnsi="Times New Roman"/>
          <w:sz w:val="32"/>
          <w:szCs w:val="24"/>
        </w:rPr>
      </w:pPr>
    </w:p>
    <w:p>
      <w:pPr>
        <w:jc w:val="center"/>
        <w:outlineLvl w:val="1"/>
        <w:rPr>
          <w:rFonts w:ascii="Times New Roman" w:cs="Times New Roman" w:hAnsi="Times New Roman"/>
          <w:sz w:val="32"/>
        </w:rPr>
      </w:pPr>
      <w:bookmarkStart w:id="3" w:name="_Toc64920910"/>
      <w:r>
        <w:rPr>
          <w:rFonts w:ascii="方正小标宋_GBK" w:eastAsia="方正小标宋_GBK" w:cs="Times New Roman" w:hint="eastAsia"/>
          <w:sz w:val="32"/>
        </w:rPr>
        <w:t>部门政府采购预算</w:t>
      </w:r>
      <w:bookmarkEnd w:id="3"/>
    </w:p>
    <w:tbl>
      <w:tblPr>
        <w:jc w:val="center"/>
        <w:tblW w:w="155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984"/>
        <w:gridCol w:w="1126"/>
        <w:gridCol w:w="8"/>
        <w:gridCol w:w="1586"/>
        <w:gridCol w:w="1572"/>
        <w:gridCol w:w="613"/>
        <w:gridCol w:w="907"/>
        <w:gridCol w:w="1030"/>
        <w:gridCol w:w="1011"/>
        <w:gridCol w:w="1134"/>
        <w:gridCol w:w="1134"/>
        <w:gridCol w:w="1134"/>
        <w:gridCol w:w="1134"/>
        <w:gridCol w:w="1134"/>
      </w:tblGrid>
      <w:tr>
        <w:trPr>
          <w:cantSplit/>
          <w:tblHeader/>
        </w:trPr>
        <w:tc>
          <w:tcPr>
            <w:tcW w:w="8826" w:type="dxa"/>
            <w:gridSpan w:val="8"/>
            <w:tcBorders>
              <w:top w:val="single" w:sz="6" w:space="0" w:color="FFFFFF"/>
              <w:left w:val="single" w:sz="6" w:space="0" w:color="FFFFFF"/>
              <w:right w:val="single" w:sz="6" w:space="0" w:color="FFFFFF"/>
            </w:tcBorders>
            <w:shd w:val="clear" w:color="auto" w:fill="auto"/>
            <w:vAlign w:val="center"/>
          </w:tcPr>
          <w:p>
            <w:pPr>
              <w:spacing w:line="300" w:lineRule="exact"/>
              <w:jc w:val="left"/>
              <w:rPr>
                <w:rFonts w:ascii="方正小标宋_GBK" w:eastAsia="方正小标宋_GBK" w:cs="Times New Roman"/>
                <w:sz w:val="24"/>
                <w:lang w:val="en-US" w:eastAsia="zh-CN"/>
              </w:rPr>
            </w:pPr>
            <w:r>
              <w:rPr>
                <w:rFonts w:ascii="方正小标宋_GBK" w:eastAsia="方正小标宋_GBK" w:cs="Times New Roman" w:hint="eastAsia"/>
                <w:sz w:val="24"/>
                <w:lang w:eastAsia="zh-CN"/>
              </w:rPr>
              <w:t>大城县</w:t>
            </w:r>
            <w:r>
              <w:rPr>
                <w:rFonts w:ascii="方正小标宋_GBK" w:eastAsia="方正小标宋_GBK" w:cs="Times New Roman"/>
                <w:sz w:val="24"/>
                <w:lang w:val="en-US" w:eastAsia="zh-CN"/>
              </w:rPr>
              <w:t>水务</w:t>
            </w:r>
            <w:r>
              <w:rPr>
                <w:rFonts w:ascii="方正小标宋_GBK" w:eastAsia="方正小标宋_GBK" w:cs="Times New Roman" w:hint="eastAsia"/>
                <w:sz w:val="24"/>
                <w:lang w:val="en-US" w:eastAsia="zh-CN"/>
              </w:rPr>
              <w:t>局</w:t>
            </w:r>
          </w:p>
        </w:tc>
        <w:tc>
          <w:tcPr>
            <w:tcW w:w="6681" w:type="dxa"/>
            <w:gridSpan w:val="6"/>
            <w:tcBorders>
              <w:top w:val="single" w:sz="6" w:space="0" w:color="FFFFFF"/>
              <w:left w:val="single" w:sz="6" w:space="0" w:color="FFFFFF"/>
              <w:right w:val="single" w:sz="6" w:space="0" w:color="FFFFFF"/>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rPr>
          <w:cantSplit/>
          <w:tblHeader/>
        </w:trPr>
        <w:tc>
          <w:tcPr>
            <w:tcW w:w="3118" w:type="dxa"/>
            <w:gridSpan w:val="3"/>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86"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72"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613"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1030"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681"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rPr>
          <w:cantSplit/>
          <w:tblHead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86" w:type="dxa"/>
            <w:vMerge/>
            <w:shd w:val="clear" w:color="auto" w:fill="auto"/>
            <w:vAlign w:val="center"/>
          </w:tcPr>
          <w:p/>
        </w:tc>
        <w:tc>
          <w:tcPr>
            <w:tcW w:w="1572" w:type="dxa"/>
            <w:vMerge/>
            <w:shd w:val="clear" w:color="auto" w:fill="auto"/>
            <w:vAlign w:val="center"/>
          </w:tcPr>
          <w:p/>
        </w:tc>
        <w:tc>
          <w:tcPr>
            <w:tcW w:w="613" w:type="dxa"/>
            <w:vMerge/>
            <w:shd w:val="clear" w:color="auto" w:fill="auto"/>
            <w:vAlign w:val="center"/>
          </w:tcPr>
          <w:p/>
        </w:tc>
        <w:tc>
          <w:tcPr>
            <w:tcW w:w="907" w:type="dxa"/>
            <w:vMerge/>
            <w:shd w:val="clear" w:color="auto" w:fill="auto"/>
            <w:vAlign w:val="center"/>
          </w:tcPr>
          <w:p/>
        </w:tc>
        <w:tc>
          <w:tcPr>
            <w:tcW w:w="1030" w:type="dxa"/>
            <w:vMerge/>
            <w:shd w:val="clear" w:color="auto" w:fill="auto"/>
            <w:vAlign w:val="center"/>
          </w:tcPr>
          <w:p/>
        </w:tc>
        <w:tc>
          <w:tcPr>
            <w:tcW w:w="1011"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rPr>
          <w:cantSplit/>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gridSpan w:val="2"/>
            <w:shd w:val="clear" w:color="auto" w:fill="auto"/>
            <w:vAlign w:val="center"/>
          </w:tcPr>
          <w:p>
            <w:pPr>
              <w:spacing w:line="300" w:lineRule="exact"/>
              <w:jc w:val="center"/>
              <w:rPr>
                <w:rFonts w:ascii="方正书宋_GBK" w:eastAsia="方正书宋_GBK" w:cs="Times New Roman"/>
                <w:b/>
                <w:lang w:val="en-US" w:eastAsia="zh-CN"/>
              </w:rPr>
            </w:pPr>
            <w:r>
              <w:rPr>
                <w:rFonts w:ascii="方正书宋_GBK" w:eastAsia="方正书宋_GBK" w:cs="Times New Roman" w:hint="eastAsia"/>
                <w:b/>
                <w:lang w:val="en-US" w:eastAsia="zh-CN"/>
              </w:rPr>
              <w:t>2635.5</w:t>
            </w:r>
          </w:p>
        </w:tc>
        <w:tc>
          <w:tcPr>
            <w:tcW w:w="1586" w:type="dxa"/>
            <w:shd w:val="clear" w:color="auto" w:fill="auto"/>
            <w:vAlign w:val="center"/>
          </w:tcPr>
          <w:p>
            <w:pPr>
              <w:spacing w:line="300" w:lineRule="exact"/>
              <w:jc w:val="left"/>
              <w:rPr>
                <w:rFonts w:ascii="方正书宋_GBK" w:eastAsia="方正书宋_GBK" w:cs="Times New Roman"/>
                <w:b/>
              </w:rPr>
            </w:pPr>
          </w:p>
        </w:tc>
        <w:tc>
          <w:tcPr>
            <w:tcW w:w="1572" w:type="dxa"/>
            <w:shd w:val="clear" w:color="auto" w:fill="auto"/>
            <w:vAlign w:val="center"/>
          </w:tcPr>
          <w:p>
            <w:pPr>
              <w:spacing w:line="300" w:lineRule="exact"/>
              <w:jc w:val="left"/>
              <w:rPr>
                <w:rFonts w:ascii="方正书宋_GBK" w:eastAsia="方正书宋_GBK" w:cs="Times New Roman"/>
                <w:b/>
              </w:rPr>
            </w:pPr>
          </w:p>
        </w:tc>
        <w:tc>
          <w:tcPr>
            <w:tcW w:w="613"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4</w:t>
            </w:r>
          </w:p>
        </w:tc>
        <w:tc>
          <w:tcPr>
            <w:tcW w:w="1030"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2635.5</w:t>
            </w:r>
          </w:p>
        </w:tc>
        <w:tc>
          <w:tcPr>
            <w:tcW w:w="1011" w:type="dxa"/>
            <w:shd w:val="clear" w:color="auto" w:fill="auto"/>
            <w:vAlign w:val="center"/>
          </w:tcPr>
          <w:p>
            <w:pPr>
              <w:jc w:val="center"/>
            </w:pPr>
            <w:r>
              <w:rPr>
                <w:rFonts w:ascii="方正书宋_GBK" w:eastAsia="方正书宋_GBK" w:cs="Times New Roman"/>
                <w:b/>
              </w:rPr>
              <w:t>2635.5</w:t>
            </w:r>
          </w:p>
        </w:tc>
        <w:tc>
          <w:tcPr>
            <w:tcW w:w="1134" w:type="dxa"/>
            <w:shd w:val="clear" w:color="auto" w:fill="auto"/>
            <w:vAlign w:val="center"/>
          </w:tcPr>
          <w:p>
            <w:pPr>
              <w:jc w:val="center"/>
            </w:pPr>
            <w:r>
              <w:rPr>
                <w:rFonts w:ascii="方正书宋_GBK" w:eastAsia="方正书宋_GBK" w:cs="Times New Roman"/>
                <w:b/>
              </w:rPr>
              <w:t>2635.5</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rPr>
          <w:cantSplit/>
        </w:trPr>
        <w:tc>
          <w:tcPr>
            <w:tcW w:w="1984" w:type="dxa"/>
            <w:shd w:val="clear" w:color="auto" w:fill="auto"/>
            <w:vAlign w:val="center"/>
          </w:tcPr>
          <w:p>
            <w:pPr>
              <w:spacing w:line="300" w:lineRule="exact"/>
              <w:jc w:val="both"/>
              <w:rPr>
                <w:rFonts w:ascii="方正书宋_GBK" w:eastAsia="方正书宋_GBK" w:cs="Times New Roman"/>
              </w:rPr>
            </w:pPr>
            <w:r>
              <w:rPr>
                <w:rFonts w:ascii="方正书宋_GBK" w:eastAsia="方正书宋_GBK" w:cs="Times New Roman"/>
              </w:rPr>
              <w:t>2022年农业灌溉水源置换项目资金</w:t>
            </w:r>
          </w:p>
        </w:tc>
        <w:tc>
          <w:tcPr>
            <w:tcW w:w="1126" w:type="dxa"/>
            <w:shd w:val="clear" w:color="auto" w:fill="auto"/>
            <w:vAlign w:val="center"/>
          </w:tcPr>
          <w:p>
            <w:pPr>
              <w:spacing w:line="300" w:lineRule="exact"/>
              <w:jc w:val="center"/>
              <w:rPr>
                <w:rFonts w:ascii="方正书宋_GBK" w:eastAsia="方正书宋_GBK" w:cs="Times New Roman"/>
                <w:lang w:val="en-US" w:eastAsia="zh-CN"/>
              </w:rPr>
            </w:pPr>
            <w:r>
              <w:rPr>
                <w:rFonts w:ascii="方正书宋_GBK" w:eastAsia="方正书宋_GBK" w:cs="Times New Roman" w:hint="eastAsia"/>
                <w:lang w:val="en-US" w:eastAsia="zh-CN"/>
              </w:rPr>
              <w:t>2452</w:t>
            </w:r>
          </w:p>
        </w:tc>
        <w:tc>
          <w:tcPr>
            <w:tcW w:w="1594" w:type="dxa"/>
            <w:gridSpan w:val="2"/>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其他水利工程施工</w:t>
            </w:r>
          </w:p>
        </w:tc>
        <w:tc>
          <w:tcPr>
            <w:tcW w:w="1572"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[B020999]</w:t>
            </w:r>
          </w:p>
        </w:tc>
        <w:tc>
          <w:tcPr>
            <w:tcW w:w="613"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项</w:t>
            </w:r>
          </w:p>
        </w:tc>
        <w:tc>
          <w:tcPr>
            <w:tcW w:w="907"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1</w:t>
            </w:r>
          </w:p>
        </w:tc>
        <w:tc>
          <w:tcPr>
            <w:tcW w:w="1030"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2452</w:t>
            </w:r>
          </w:p>
        </w:tc>
        <w:tc>
          <w:tcPr>
            <w:tcW w:w="1011"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2452</w:t>
            </w:r>
          </w:p>
        </w:tc>
        <w:tc>
          <w:tcPr>
            <w:tcW w:w="1134"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2452</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rPr>
          <w:cantSplit/>
        </w:trPr>
        <w:tc>
          <w:tcPr>
            <w:tcW w:w="198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cs="Times New Roman"/>
              </w:rPr>
              <w:t>2022年农村饮水项目资金</w:t>
            </w:r>
          </w:p>
        </w:tc>
        <w:tc>
          <w:tcPr>
            <w:tcW w:w="1134" w:type="dxa"/>
            <w:gridSpan w:val="2"/>
            <w:shd w:val="clear" w:color="auto" w:fill="auto"/>
            <w:vAlign w:val="center"/>
          </w:tcPr>
          <w:p>
            <w:pPr>
              <w:spacing w:line="300" w:lineRule="exact"/>
              <w:jc w:val="center"/>
              <w:rPr>
                <w:rFonts w:ascii="方正书宋_GBK" w:eastAsia="方正书宋_GBK" w:cs="Times New Roman"/>
                <w:lang w:val="en-US" w:eastAsia="zh-CN"/>
              </w:rPr>
            </w:pPr>
            <w:r>
              <w:rPr>
                <w:rFonts w:ascii="方正书宋_GBK" w:eastAsia="方正书宋_GBK" w:cs="Times New Roman" w:hint="eastAsia"/>
                <w:lang w:val="en-US" w:eastAsia="zh-CN"/>
              </w:rPr>
              <w:t>60</w:t>
            </w:r>
          </w:p>
        </w:tc>
        <w:tc>
          <w:tcPr>
            <w:tcW w:w="1586"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流量计量标准器具</w:t>
            </w:r>
          </w:p>
        </w:tc>
        <w:tc>
          <w:tcPr>
            <w:tcW w:w="1572"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[A02120304]</w:t>
            </w:r>
          </w:p>
        </w:tc>
        <w:tc>
          <w:tcPr>
            <w:tcW w:w="613"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批</w:t>
            </w:r>
          </w:p>
        </w:tc>
        <w:tc>
          <w:tcPr>
            <w:tcW w:w="907"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1</w:t>
            </w:r>
          </w:p>
        </w:tc>
        <w:tc>
          <w:tcPr>
            <w:tcW w:w="1030"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60</w:t>
            </w:r>
          </w:p>
        </w:tc>
        <w:tc>
          <w:tcPr>
            <w:tcW w:w="1011"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60</w:t>
            </w:r>
          </w:p>
        </w:tc>
        <w:tc>
          <w:tcPr>
            <w:tcW w:w="1134"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60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rPr>
          <w:cantSplit/>
        </w:trPr>
        <w:tc>
          <w:tcPr>
            <w:tcW w:w="198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cs="Times New Roman"/>
              </w:rPr>
              <w:t>大城县2022年县域节水型社会达标建设资金</w:t>
            </w:r>
          </w:p>
        </w:tc>
        <w:tc>
          <w:tcPr>
            <w:tcW w:w="1134" w:type="dxa"/>
            <w:gridSpan w:val="2"/>
            <w:shd w:val="clear" w:color="auto" w:fill="auto"/>
            <w:vAlign w:val="center"/>
          </w:tcPr>
          <w:p>
            <w:pPr>
              <w:spacing w:line="300" w:lineRule="exact"/>
              <w:jc w:val="center"/>
              <w:rPr>
                <w:rFonts w:ascii="方正书宋_GBK" w:eastAsia="方正书宋_GBK" w:cs="Times New Roman"/>
                <w:lang w:val="en-US" w:eastAsia="zh-CN"/>
              </w:rPr>
            </w:pPr>
            <w:r>
              <w:rPr>
                <w:rFonts w:ascii="方正书宋_GBK" w:eastAsia="方正书宋_GBK" w:cs="Times New Roman" w:hint="eastAsia"/>
                <w:lang w:val="en-US" w:eastAsia="zh-CN"/>
              </w:rPr>
              <w:t>91.5</w:t>
            </w:r>
          </w:p>
        </w:tc>
        <w:tc>
          <w:tcPr>
            <w:tcW w:w="1586"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便器</w:t>
            </w:r>
          </w:p>
        </w:tc>
        <w:tc>
          <w:tcPr>
            <w:tcW w:w="1572"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[A060805]</w:t>
            </w:r>
          </w:p>
        </w:tc>
        <w:tc>
          <w:tcPr>
            <w:tcW w:w="613"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批</w:t>
            </w:r>
          </w:p>
        </w:tc>
        <w:tc>
          <w:tcPr>
            <w:tcW w:w="907"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1</w:t>
            </w:r>
          </w:p>
        </w:tc>
        <w:tc>
          <w:tcPr>
            <w:tcW w:w="1030"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91.5</w:t>
            </w:r>
          </w:p>
        </w:tc>
        <w:tc>
          <w:tcPr>
            <w:tcW w:w="1011"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91.5</w:t>
            </w:r>
          </w:p>
        </w:tc>
        <w:tc>
          <w:tcPr>
            <w:tcW w:w="1134"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91.5</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rPr>
          <w:cantSplit/>
        </w:trPr>
        <w:tc>
          <w:tcPr>
            <w:tcW w:w="198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cs="Times New Roman"/>
              </w:rPr>
              <w:t>大城县2022年县域节水型社会达标建设资金</w:t>
            </w:r>
          </w:p>
        </w:tc>
        <w:tc>
          <w:tcPr>
            <w:tcW w:w="1134" w:type="dxa"/>
            <w:gridSpan w:val="2"/>
            <w:shd w:val="clear" w:color="auto" w:fill="auto"/>
            <w:vAlign w:val="center"/>
          </w:tcPr>
          <w:p>
            <w:pPr>
              <w:spacing w:line="300" w:lineRule="exact"/>
              <w:jc w:val="center"/>
              <w:rPr>
                <w:rFonts w:ascii="方正书宋_GBK" w:eastAsia="方正书宋_GBK" w:cs="Times New Roman"/>
                <w:lang w:val="en-US" w:eastAsia="zh-CN"/>
              </w:rPr>
            </w:pPr>
            <w:r>
              <w:rPr>
                <w:rFonts w:ascii="方正书宋_GBK" w:eastAsia="方正书宋_GBK" w:cs="Times New Roman" w:hint="eastAsia"/>
                <w:lang w:val="en-US" w:eastAsia="zh-CN"/>
              </w:rPr>
              <w:t>32</w:t>
            </w:r>
          </w:p>
        </w:tc>
        <w:tc>
          <w:tcPr>
            <w:tcW w:w="1586"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便器</w:t>
            </w:r>
          </w:p>
        </w:tc>
        <w:tc>
          <w:tcPr>
            <w:tcW w:w="1572"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[A060805]</w:t>
            </w:r>
          </w:p>
        </w:tc>
        <w:tc>
          <w:tcPr>
            <w:tcW w:w="613"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批</w:t>
            </w:r>
          </w:p>
        </w:tc>
        <w:tc>
          <w:tcPr>
            <w:tcW w:w="907"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1</w:t>
            </w:r>
          </w:p>
        </w:tc>
        <w:tc>
          <w:tcPr>
            <w:tcW w:w="1030"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32</w:t>
            </w:r>
          </w:p>
        </w:tc>
        <w:tc>
          <w:tcPr>
            <w:tcW w:w="1011"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32</w:t>
            </w:r>
          </w:p>
        </w:tc>
        <w:tc>
          <w:tcPr>
            <w:tcW w:w="1134" w:type="dxa"/>
            <w:shd w:val="clear" w:color="auto" w:fill="auto"/>
            <w:vAlign w:val="center"/>
          </w:tcPr>
          <w:p>
            <w:pPr>
              <w:spacing w:line="300" w:lineRule="exact"/>
              <w:jc w:val="center"/>
              <w:rPr>
                <w:rFonts w:ascii="方正书宋_GBK" w:eastAsia="方正书宋_GBK" w:cs="Times New Roman"/>
              </w:rPr>
            </w:pPr>
            <w:r>
              <w:rPr>
                <w:rFonts w:ascii="方正书宋_GBK" w:eastAsia="方正书宋_GBK" w:cs="Times New Roman"/>
              </w:rPr>
              <w:t>32</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eastAsia="仿宋_GB2312" w:cs="Times New Roman" w:hAnsi="Times New Roman"/>
        </w:rPr>
        <w:sectPr>
          <w:footerReference w:type="default" r:id="rId2"/>
          <w:pgSz w:w="16839" w:h="11907" w:orient="landscape"/>
          <w:pgMar w:top="1361" w:right="1020" w:bottom="1361" w:left="1020" w:header="851" w:footer="992" w:gutter="0"/>
          <w:docGrid w:type="lines" w:linePitch="312" w:charSpace="0"/>
        </w:sectPr>
      </w:pPr>
    </w:p>
    <w:p>
      <w:pPr>
        <w:autoSpaceDE w:val="0"/>
        <w:autoSpaceDN w:val="0"/>
        <w:adjustRightInd w:val="0"/>
        <w:spacing w:line="584" w:lineRule="exact"/>
        <w:ind w:firstLineChars="200" w:firstLine="640"/>
        <w:jc w:val="left"/>
        <w:rPr>
          <w:rFonts w:ascii="Times New Roman" w:eastAsia="黑体" w:cs="Times New Roman" w:hAnsi="Times New Roman"/>
          <w:sz w:val="32"/>
          <w:szCs w:val="32"/>
        </w:rPr>
      </w:pPr>
      <w:r>
        <w:rPr>
          <w:rFonts w:ascii="Times New Roman" w:eastAsia="黑体" w:cs="Times New Roman" w:hAnsi="Times New Roman"/>
          <w:sz w:val="32"/>
          <w:szCs w:val="32"/>
        </w:rPr>
        <w:t>七、国有资产信息</w:t>
      </w:r>
    </w:p>
    <w:p>
      <w:pPr>
        <w:spacing w:line="584" w:lineRule="exact"/>
        <w:ind w:firstLine="640"/>
        <w:rPr>
          <w:rFonts w:ascii="Times New Roman" w:eastAsia="仿宋_GB2312" w:cs="Times New Roman" w:hAnsi="Times New Roman"/>
          <w:sz w:val="32"/>
          <w:szCs w:val="32"/>
        </w:rPr>
      </w:pPr>
      <w:r>
        <w:rPr>
          <w:rFonts w:ascii="仿宋_GB2312" w:eastAsia="仿宋_GB2312" w:cs="Times New Roman" w:hint="eastAsia"/>
          <w:sz w:val="32"/>
          <w:szCs w:val="32"/>
          <w:lang w:eastAsia="zh-CN"/>
        </w:rPr>
        <w:t>我</w:t>
      </w:r>
      <w:r>
        <w:rPr>
          <w:rFonts w:ascii="仿宋_GB2312" w:eastAsia="仿宋_GB2312" w:cs="Times New Roman"/>
          <w:sz w:val="32"/>
          <w:szCs w:val="32"/>
          <w:lang w:eastAsia="zh-CN"/>
        </w:rPr>
        <w:t>部门</w:t>
      </w:r>
      <w:r>
        <w:rPr>
          <w:rFonts w:ascii="仿宋_GB2312" w:eastAsia="仿宋_GB2312" w:cs="Times New Roman" w:hint="eastAsia"/>
          <w:sz w:val="32"/>
          <w:szCs w:val="32"/>
        </w:rPr>
        <w:t>（含所属单位）上年末固定资产金额为1105.77万元（详见下表），本年度我部门拟购置固定资产总额为0万元。</w:t>
      </w:r>
    </w:p>
    <w:p>
      <w:pPr>
        <w:spacing w:line="584" w:lineRule="exact"/>
        <w:ind w:firstLine="640"/>
        <w:rPr>
          <w:rFonts w:ascii="Times New Roman" w:eastAsia="仿宋_GB2312" w:cs="Times New Roman" w:hAnsi="Times New Roman"/>
          <w:sz w:val="32"/>
          <w:szCs w:val="32"/>
        </w:rPr>
      </w:pPr>
    </w:p>
    <w:tbl>
      <w:tblPr>
        <w:jc w:val="left"/>
        <w:tblInd w:w="93" w:type="dxa"/>
        <w:tblW w:w="13325"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5224"/>
        <w:gridCol w:w="3155"/>
        <w:gridCol w:w="5103"/>
      </w:tblGrid>
      <w:tr>
        <w:trPr>
          <w:trHeight w:val="705"/>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eastAsia="仿宋_GB2312" w:cs="Times New Roman" w:hAnsi="Times New Roman"/>
                <w:b/>
                <w:bCs/>
                <w:kern w:val="0"/>
                <w:sz w:val="32"/>
                <w:szCs w:val="32"/>
              </w:rPr>
            </w:pPr>
            <w:r>
              <w:rPr>
                <w:rFonts w:ascii="Times New Roman" w:eastAsia="仿宋_GB2312" w:cs="Times New Roman" w:hAnsi="Times New Roman" w:hint="eastAsia"/>
                <w:b/>
                <w:bCs/>
                <w:kern w:val="0"/>
                <w:sz w:val="32"/>
                <w:szCs w:val="32"/>
                <w:lang w:eastAsia="zh-CN"/>
              </w:rPr>
              <w:t>大城县部</w:t>
            </w:r>
            <w:r>
              <w:rPr>
                <w:rFonts w:ascii="Times New Roman" w:eastAsia="仿宋_GB2312" w:cs="Times New Roman" w:hAnsi="Times New Roman"/>
                <w:b/>
                <w:bCs/>
                <w:kern w:val="0"/>
                <w:sz w:val="32"/>
                <w:szCs w:val="32"/>
              </w:rPr>
              <w:t>门固定资产占用情况表</w:t>
            </w:r>
          </w:p>
        </w:tc>
      </w:tr>
      <w:tr>
        <w:trPr>
          <w:trHeight w:val="510"/>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eastAsia="仿宋_GB2312" w:cs="Times New Roman" w:hAnsi="Times New Roman"/>
                <w:kern w:val="0"/>
                <w:sz w:val="22"/>
              </w:rPr>
            </w:pPr>
            <w:r>
              <w:rPr>
                <w:rFonts w:ascii="Times New Roman" w:eastAsia="仿宋_GB2312" w:cs="Times New Roman" w:hAnsi="Times New Roman"/>
                <w:kern w:val="0"/>
                <w:sz w:val="22"/>
              </w:rPr>
              <w:t>编制部门：</w:t>
            </w:r>
            <w:r>
              <w:rPr>
                <w:rFonts w:ascii="Times New Roman" w:eastAsia="仿宋_GB2312" w:cs="Times New Roman" w:hAnsi="Times New Roman" w:hint="eastAsia"/>
                <w:kern w:val="0"/>
                <w:sz w:val="22"/>
                <w:lang w:eastAsia="zh-CN"/>
              </w:rPr>
              <w:t>大城县</w:t>
            </w:r>
            <w:r>
              <w:rPr>
                <w:rFonts w:ascii="Times New Roman" w:eastAsia="仿宋_GB2312" w:cs="Times New Roman" w:hAnsi="Times New Roman"/>
                <w:kern w:val="0"/>
                <w:sz w:val="22"/>
              </w:rPr>
              <w:t>水务局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eastAsia="仿宋_GB2312" w:cs="Times New Roman" w:hAnsi="Times New Roman"/>
                <w:kern w:val="0"/>
                <w:sz w:val="22"/>
              </w:rPr>
            </w:pPr>
            <w:r>
              <w:rPr>
                <w:rFonts w:ascii="Times New Roman" w:eastAsia="仿宋_GB2312" w:cs="Times New Roman" w:hAnsi="Times New Roman"/>
                <w:kern w:val="0"/>
                <w:sz w:val="22"/>
              </w:rPr>
              <w:t>截止时间：20</w:t>
            </w:r>
            <w:r>
              <w:rPr>
                <w:rFonts w:ascii="Times New Roman" w:eastAsia="仿宋_GB2312" w:cs="Times New Roman" w:hAnsi="Times New Roman" w:hint="eastAsia"/>
                <w:kern w:val="0"/>
                <w:sz w:val="22"/>
              </w:rPr>
              <w:t>2</w:t>
            </w:r>
            <w:r>
              <w:rPr>
                <w:rFonts w:ascii="Times New Roman" w:eastAsia="仿宋_GB2312" w:cs="Times New Roman" w:hAnsi="Times New Roman" w:hint="eastAsia"/>
                <w:kern w:val="0"/>
                <w:sz w:val="22"/>
                <w:lang w:val="en-US" w:eastAsia="zh-CN"/>
              </w:rPr>
              <w:t>1</w:t>
            </w:r>
            <w:r>
              <w:rPr>
                <w:rFonts w:ascii="Times New Roman" w:eastAsia="仿宋_GB2312" w:cs="Times New Roman" w:hAnsi="Times New Roman"/>
                <w:kern w:val="0"/>
                <w:sz w:val="22"/>
              </w:rPr>
              <w:t xml:space="preserve">年12月31日  </w:t>
            </w:r>
          </w:p>
        </w:tc>
      </w:tr>
      <w:tr>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b/>
                <w:bCs/>
                <w:kern w:val="0"/>
                <w:sz w:val="22"/>
              </w:rPr>
            </w:pPr>
            <w:r>
              <w:rPr>
                <w:rFonts w:ascii="Times New Roman" w:eastAsia="仿宋_GB2312" w:cs="Times New Roman" w:hAnsi="Times New Roman"/>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b/>
                <w:bCs/>
                <w:kern w:val="0"/>
                <w:sz w:val="22"/>
              </w:rPr>
            </w:pPr>
            <w:r>
              <w:rPr>
                <w:rFonts w:ascii="Times New Roman" w:eastAsia="仿宋_GB2312" w:cs="Times New Roman" w:hAnsi="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b/>
                <w:bCs/>
                <w:kern w:val="0"/>
                <w:sz w:val="22"/>
              </w:rPr>
            </w:pPr>
            <w:r>
              <w:rPr>
                <w:rFonts w:ascii="Times New Roman" w:eastAsia="仿宋_GB2312" w:cs="Times New Roman" w:hAnsi="Times New Roman"/>
                <w:b/>
                <w:bCs/>
                <w:kern w:val="0"/>
                <w:sz w:val="22"/>
              </w:rPr>
              <w:t>价值（金额单位：万元）</w:t>
            </w: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kern w:val="0"/>
                <w:sz w:val="22"/>
              </w:rPr>
            </w:pPr>
            <w:r>
              <w:rPr>
                <w:rFonts w:ascii="Times New Roman" w:eastAsia="仿宋_GB2312" w:cs="Times New Roman" w:hAnsi="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1105.77</w:t>
            </w: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kern w:val="0"/>
                <w:sz w:val="22"/>
              </w:rPr>
            </w:pPr>
            <w:r>
              <w:rPr>
                <w:rFonts w:ascii="Times New Roman" w:eastAsia="仿宋_GB2312" w:cs="Times New Roman" w:hAnsi="Times New Roman"/>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10259</w:t>
            </w:r>
          </w:p>
        </w:tc>
        <w:tc>
          <w:tcPr>
            <w:tcW w:w="5103"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813.5</w:t>
            </w: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kern w:val="0"/>
                <w:sz w:val="22"/>
              </w:rPr>
            </w:pPr>
            <w:r>
              <w:rPr>
                <w:rFonts w:ascii="Times New Roman" w:eastAsia="仿宋_GB2312" w:cs="Times New Roman" w:hAnsi="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4000</w:t>
            </w:r>
          </w:p>
        </w:tc>
        <w:tc>
          <w:tcPr>
            <w:tcW w:w="5103"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340</w:t>
            </w: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kern w:val="0"/>
                <w:sz w:val="22"/>
              </w:rPr>
            </w:pPr>
            <w:r>
              <w:rPr>
                <w:rFonts w:ascii="Times New Roman" w:eastAsia="仿宋_GB2312" w:cs="Times New Roman" w:hAnsi="Times New Roman"/>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b/>
                <w:bCs/>
                <w:sz w:val="22"/>
              </w:rPr>
            </w:pPr>
            <w:r>
              <w:rPr>
                <w:rFonts w:ascii="Times New Roman" w:eastAsia="仿宋_GB2312" w:cs="Times New Roman" w:hAnsi="Times New Roman"/>
                <w:sz w:val="22"/>
              </w:rPr>
              <w:t>5</w:t>
            </w:r>
          </w:p>
        </w:tc>
        <w:tc>
          <w:tcPr>
            <w:tcW w:w="5103"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54.76</w:t>
            </w: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pPr>
              <w:widowControl/>
              <w:spacing w:line="584" w:lineRule="exact"/>
              <w:jc w:val="center"/>
              <w:rPr>
                <w:rFonts w:ascii="Times New Roman" w:eastAsia="仿宋_GB2312" w:cs="Times New Roman" w:hAnsi="Times New Roman"/>
                <w:kern w:val="0"/>
                <w:sz w:val="22"/>
              </w:rPr>
            </w:pPr>
            <w:r>
              <w:rPr>
                <w:rFonts w:ascii="Times New Roman" w:eastAsia="仿宋_GB2312" w:cs="Times New Roman" w:hAnsi="Times New Roman"/>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0</w:t>
            </w:r>
          </w:p>
        </w:tc>
        <w:tc>
          <w:tcPr>
            <w:tcW w:w="5103"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0</w:t>
            </w: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kern w:val="0"/>
                <w:sz w:val="22"/>
              </w:rPr>
            </w:pPr>
            <w:r>
              <w:rPr>
                <w:rFonts w:ascii="Times New Roman" w:eastAsia="仿宋_GB2312" w:cs="Times New Roman" w:hAnsi="Times New Roman"/>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441</w:t>
            </w:r>
          </w:p>
        </w:tc>
        <w:tc>
          <w:tcPr>
            <w:tcW w:w="5103"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237.51</w:t>
            </w:r>
          </w:p>
        </w:tc>
      </w:tr>
    </w:tbl>
    <w:p>
      <w:pPr>
        <w:autoSpaceDE w:val="0"/>
        <w:autoSpaceDN w:val="0"/>
        <w:adjustRightInd w:val="0"/>
        <w:spacing w:line="584" w:lineRule="exact"/>
        <w:ind w:firstLineChars="200" w:firstLine="640"/>
        <w:jc w:val="left"/>
        <w:rPr>
          <w:rFonts w:ascii="Times New Roman" w:eastAsia="黑体" w:cs="Times New Roman" w:hAnsi="Times New Roman"/>
          <w:sz w:val="32"/>
          <w:szCs w:val="32"/>
        </w:rPr>
      </w:pPr>
    </w:p>
    <w:p>
      <w:pPr>
        <w:autoSpaceDE w:val="0"/>
        <w:autoSpaceDN w:val="0"/>
        <w:adjustRightInd w:val="0"/>
        <w:spacing w:line="584" w:lineRule="exact"/>
        <w:ind w:firstLineChars="200" w:firstLine="640"/>
        <w:jc w:val="left"/>
        <w:rPr>
          <w:rFonts w:ascii="Times New Roman" w:eastAsia="黑体" w:cs="Times New Roman" w:hAnsi="Times New Roman"/>
          <w:sz w:val="32"/>
          <w:szCs w:val="32"/>
        </w:rPr>
      </w:pPr>
      <w:r>
        <w:rPr>
          <w:rFonts w:ascii="Times New Roman" w:eastAsia="黑体" w:cs="Times New Roman" w:hAnsi="Times New Roman"/>
          <w:sz w:val="32"/>
          <w:szCs w:val="32"/>
        </w:rPr>
        <w:t>八、名词解释</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1、一般公共预算拨款收入：</w:t>
      </w:r>
      <w:r>
        <w:rPr>
          <w:rFonts w:ascii="Times New Roman" w:eastAsia="仿宋_GB2312" w:cs="Times New Roman" w:hAnsi="Times New Roman"/>
          <w:sz w:val="32"/>
          <w:szCs w:val="32"/>
        </w:rPr>
        <w:t>指县级财政当年拨付的资金。</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2、事业收入：</w:t>
      </w:r>
      <w:r>
        <w:rPr>
          <w:rFonts w:ascii="Times New Roman" w:eastAsia="仿宋_GB2312" w:cs="Times New Roman" w:hAnsi="Times New Roman"/>
          <w:sz w:val="32"/>
          <w:szCs w:val="32"/>
        </w:rPr>
        <w:t>指事业单位开展专业业务活动及辅助活动所取得的收入。</w:t>
      </w:r>
    </w:p>
    <w:p>
      <w:pPr>
        <w:tabs>
          <w:tab w:val="left" w:pos="11490"/>
        </w:tabs>
        <w:spacing w:line="584" w:lineRule="exact"/>
        <w:ind w:firstLineChars="200" w:firstLine="640"/>
        <w:rPr>
          <w:rFonts w:ascii="Times New Roman" w:eastAsia="仿宋_GB2312" w:cs="Times New Roman" w:hAnsi="Times New Roman"/>
          <w:b/>
          <w:sz w:val="32"/>
          <w:szCs w:val="32"/>
        </w:rPr>
      </w:pPr>
      <w:r>
        <w:rPr>
          <w:rFonts w:ascii="Times New Roman" w:eastAsia="仿宋_GB2312" w:cs="Times New Roman" w:hAnsi="Times New Roman"/>
          <w:b/>
          <w:sz w:val="32"/>
          <w:szCs w:val="32"/>
        </w:rPr>
        <w:t>3、其他收入：</w:t>
      </w:r>
      <w:r>
        <w:rPr>
          <w:rFonts w:ascii="Times New Roman" w:eastAsia="仿宋_GB2312" w:cs="Times New Roman" w:hAnsi="Times New Roman"/>
          <w:sz w:val="32"/>
          <w:szCs w:val="32"/>
        </w:rPr>
        <w:t>指除“一般公共预算拨款收入”、“事业收入”等以外的收入。主要是按规定动用的租房收入、存款利息收入等。</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4、基本支出：</w:t>
      </w:r>
      <w:r>
        <w:rPr>
          <w:rFonts w:ascii="Times New Roman" w:eastAsia="仿宋_GB2312" w:cs="Times New Roman" w:hAnsi="Times New Roman"/>
          <w:sz w:val="32"/>
          <w:szCs w:val="32"/>
        </w:rPr>
        <w:t>指为保障机构正常运转、完成日常工作任务而发生的人员支出和公用支出。</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5、项目支出：</w:t>
      </w:r>
      <w:r>
        <w:rPr>
          <w:rFonts w:ascii="Times New Roman" w:eastAsia="仿宋_GB2312" w:cs="Times New Roman" w:hAnsi="Times New Roman"/>
          <w:sz w:val="32"/>
          <w:szCs w:val="32"/>
        </w:rPr>
        <w:t>指在基本支出之外为完成特定行政任务和事业发展目标所发生的支出。</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6、上缴上级支出：</w:t>
      </w:r>
      <w:r>
        <w:rPr>
          <w:rFonts w:ascii="Times New Roman" w:eastAsia="仿宋_GB2312" w:cs="Times New Roman" w:hAnsi="Times New Roman"/>
          <w:sz w:val="32"/>
          <w:szCs w:val="32"/>
        </w:rPr>
        <w:t>指下级单位上缴上级的支出。</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7、“三公”经费：</w:t>
      </w:r>
      <w:r>
        <w:rPr>
          <w:rFonts w:ascii="Times New Roman" w:eastAsia="仿宋_GB2312" w:cs="Times New Roman" w:hAnsi="Times New Roman"/>
          <w:sz w:val="32"/>
          <w:szCs w:val="32"/>
        </w:rPr>
        <w:t>纳入县级财政预算管理的“三公”经费，是指县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8、机关运行费：</w:t>
      </w:r>
      <w:r>
        <w:rPr>
          <w:rFonts w:ascii="Times New Roman" w:eastAsia="仿宋_GB2312" w:cs="Times New Roman" w:hAnsi="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9、上年结转：</w:t>
      </w:r>
      <w:r>
        <w:rPr>
          <w:rFonts w:ascii="Times New Roman" w:eastAsia="仿宋_GB2312" w:cs="Times New Roman" w:hAnsi="Times New Roman"/>
          <w:sz w:val="32"/>
          <w:szCs w:val="32"/>
        </w:rPr>
        <w:t>指以前年度尚未完成、结转到本年仍按原规定用途继续使用的资金。</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10、事业单位经营支出：</w:t>
      </w:r>
      <w:r>
        <w:rPr>
          <w:rFonts w:ascii="Times New Roman" w:eastAsia="仿宋_GB2312" w:cs="Times New Roman" w:hAnsi="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Chars="200" w:firstLine="640"/>
        <w:jc w:val="left"/>
        <w:rPr>
          <w:rFonts w:ascii="Times New Roman" w:eastAsia="黑体" w:cs="Times New Roman" w:hAnsi="Times New Roman"/>
          <w:sz w:val="32"/>
          <w:szCs w:val="32"/>
        </w:rPr>
      </w:pPr>
      <w:r>
        <w:rPr>
          <w:rFonts w:ascii="Times New Roman" w:eastAsia="黑体" w:cs="Times New Roman" w:hAnsi="Times New Roman"/>
          <w:sz w:val="32"/>
          <w:szCs w:val="32"/>
        </w:rPr>
        <w:t>九、其他需要说明的事项</w:t>
      </w:r>
    </w:p>
    <w:p>
      <w:pPr>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我部门无其他需要说明的事项。</w:t>
      </w:r>
    </w:p>
    <w:sectPr>
      <w:pgSz w:w="16838" w:h="11906" w:orient="landscape"/>
      <w:pgMar w:top="1800" w:right="1440" w:bottom="1800" w:left="1440" w:header="851" w:footer="992" w:gutter="0"/>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20007A87" w:usb1="80000000" w:usb2="00000008" w:usb3="00000000" w:csb0="000001FF" w:csb1="00000000"/>
  </w:font>
  <w:font w:name="仿宋_GB2312">
    <w:altName w:val="仿宋"/>
    <w:panose1 w:val="02010609030101010101"/>
    <w:charset w:val="86"/>
    <w:family w:val="modern"/>
    <w:pitch w:val="variable"/>
    <w:sig w:usb0="00000000" w:usb1="00000000" w:usb2="00000000" w:usb3="00000000" w:csb0="00040000" w:csb1="00000000"/>
  </w:font>
  <w:font w:name="方正小标宋简体">
    <w:altName w:val="Microsoft YaHei UI"/>
    <w:panose1 w:val="02000000000000000000"/>
    <w:charset w:val="86"/>
    <w:family w:val="auto"/>
    <w:pitch w:val="variable"/>
    <w:sig w:usb0="A00002BF" w:usb1="184F6CFA" w:usb2="00000012" w:usb3="00000000" w:csb0="00040001" w:csb1="00000000"/>
  </w:font>
  <w:font w:name="黑体">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variable"/>
    <w:sig w:usb0="00000000" w:usb1="00000000" w:usb2="00000000" w:usb3="00000000" w:csb0="00040000" w:csb1="00000000"/>
  </w:font>
  <w:font w:name="仿宋">
    <w:panose1 w:val="02010609060101010101"/>
    <w:charset w:val="86"/>
    <w:family w:val="auto"/>
    <w:pitch w:val="variable"/>
    <w:sig w:usb0="800002BF" w:usb1="38CF7CFA" w:usb2="00000016" w:usb3="00000000" w:csb0="00040001" w:csb1="00000000"/>
  </w:font>
  <w:font w:name="方正书宋_GBK">
    <w:altName w:val="微软雅黑"/>
    <w:panose1 w:val="00000000000000000000"/>
    <w:charset w:val="86"/>
    <w:family w:val="script"/>
    <w:pitch w:val="variable"/>
    <w:sig w:usb0="00000000" w:usb1="00000000" w:usb2="00000010" w:usb3="00000000" w:csb0="00040000" w:csb1="0000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00002FF" w:usb1="4000ACFF" w:usb2="00000001" w:usb3="00000000" w:csb0="2000019F" w:csb1="00000000"/>
  </w:font>
  <w:font w:name="方正小标宋_GBK">
    <w:altName w:val="微软雅黑"/>
    <w:panose1 w:val="00000000000000000000"/>
    <w:charset w:val="86"/>
    <w:family w:val="script"/>
    <w:pitch w:val="variable"/>
    <w:sig w:usb0="00000000" w:usb1="00000000" w:usb2="00000000" w:usb3="00000000" w:csb0="00040000" w:csb1="00000000"/>
  </w:font>
  <w:font w:name="Arial">
    <w:panose1 w:val="020B0604020202020204"/>
    <w:charset w:val="01"/>
    <w:family w:val="swiss"/>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jc w:val="center"/>
    </w:pPr>
    <w:r>
      <w:rPr>
        <w:rFonts w:hint="eastAsia"/>
      </w:rPr>
      <w:t>-</w:t>
    </w:r>
    <w:r>
      <w:fldChar w:fldCharType="begin"/>
    </w:r>
    <w:r>
      <w:instrText>PAGE   \* MERGEFORMAT</w:instrText>
    </w:r>
    <w:r>
      <w:fldChar w:fldCharType="separate"/>
    </w:r>
    <w:r>
      <w:rPr>
        <w:lang w:val="zh-CN"/>
      </w:rPr>
      <w:t>4</w:t>
    </w:r>
    <w:r>
      <w:rPr>
        <w:lang w:val="zh-CN"/>
      </w:rPr>
      <w:fldChar w:fldCharType="end"/>
    </w:r>
    <w:r>
      <w:rPr>
        <w:rFonts w:hint="eastAsia"/>
      </w:rPr>
      <w:t>-</w:t>
    </w:r>
  </w:p>
  <w:p>
    <w:pPr>
      <w:pStyle w:val="16"/>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EA97FD6"/>
    <w:multiLevelType w:val="singleLevel"/>
    <w:tmpl w:val="3EA97FD6"/>
    <w:lvl w:ilvl="0">
      <w:start w:val="4"/>
      <w:numFmt w:val="chineseCounting"/>
      <w:lvlRestart w:val="0"/>
      <w:suff w:val="nothing"/>
      <w:lvlText w:val="（%1）"/>
      <w:lvlJc w:val="left"/>
      <w:pPr>
        <w:tabs>
          <w:tab w:val="num" w:pos="0"/>
        </w:tabs>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docVars>
    <w:docVar w:name="commondata" w:val="eyJoZGlkIjoiMWViOGUzMzFlNzVjNDFkNWY3YWIzNWY2ZTU5ZjQxZjM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rFonts w:ascii="Times New Roman" w:cs="Times New Roman" w:hAnsi="Times New Roman"/>
      <w:sz w:val="18"/>
      <w:szCs w:val="18"/>
    </w:rPr>
  </w:style>
  <w:style w:type="paragraph" w:styleId="17">
    <w:name w:val="header"/>
    <w:basedOn w:val="0"/>
    <w:pPr>
      <w:pBdr>
        <w:bottom w:val="single" w:sz="6" w:space="1" w:color="auto"/>
      </w:pBdr>
      <w:tabs>
        <w:tab w:val="center" w:pos="4153"/>
        <w:tab w:val="right" w:pos="8306"/>
      </w:tabs>
      <w:snapToGrid w:val="0"/>
      <w:jc w:val="center"/>
    </w:pPr>
    <w:rPr>
      <w:rFonts w:ascii="Times New Roman" w:cs="Times New Roman" w:hAnsi="Times New Roman"/>
      <w:sz w:val="18"/>
      <w:szCs w:val="18"/>
    </w:rPr>
  </w:style>
  <w:style w:type="paragraph" w:styleId="18">
    <w:name w:val="toc 1"/>
    <w:basedOn w:val="0"/>
    <w:next w:val="0"/>
    <w:rPr>
      <w:rFonts w:ascii="Times New Roman" w:cs="Times New Roman" w:hAnsi="Times New Roman"/>
      <w:szCs w:val="24"/>
    </w:rPr>
  </w:style>
  <w:style w:type="paragraph" w:styleId="19">
    <w:name w:val="footnote text"/>
    <w:basedOn w:val="0"/>
    <w:pPr>
      <w:snapToGrid w:val="0"/>
      <w:jc w:val="left"/>
    </w:pPr>
    <w:rPr>
      <w:rFonts w:cs="Times New Roman"/>
      <w:sz w:val="18"/>
      <w:szCs w:val="18"/>
    </w:rPr>
  </w:style>
  <w:style w:type="paragraph" w:styleId="20">
    <w:name w:val="toc 2"/>
    <w:basedOn w:val="0"/>
    <w:next w:val="0"/>
    <w:pPr>
      <w:ind w:leftChars="200" w:left="200"/>
    </w:pPr>
    <w:rPr>
      <w:rFonts w:ascii="Times New Roman" w:cs="Times New Roman" w:hAnsi="Times New Roman"/>
      <w:szCs w:val="24"/>
    </w:rPr>
  </w:style>
  <w:style w:type="character" w:styleId="21">
    <w:name w:val="footnote reference"/>
    <w:rPr>
      <w:vertAlign w:val="superscript"/>
    </w:rPr>
  </w:style>
  <w:style w:type="paragraph" w:customStyle="1" w:styleId="22">
    <w:name w:val="Default"/>
    <w:pPr>
      <w:widowControl w:val="0"/>
      <w:autoSpaceDE w:val="0"/>
      <w:autoSpaceDN w:val="0"/>
      <w:adjustRightInd w:val="0"/>
    </w:pPr>
    <w:rPr>
      <w:rFonts w:ascii="Times New Roman" w:eastAsia="宋体" w:cs="Times New Roman" w:hAnsi="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527</TotalTime>
  <Application>Yozo_Office27021597764231179</Application>
  <Pages>56</Pages>
  <Words>23595</Words>
  <Characters>26387</Characters>
  <Lines>4128</Lines>
  <Paragraphs>3449</Paragraphs>
  <CharactersWithSpaces>26431</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guest</dc:creator>
  <cp:lastModifiedBy>ICBC</cp:lastModifiedBy>
  <cp:revision>79</cp:revision>
  <cp:lastPrinted>2022-03-28T07:13:00Z</cp:lastPrinted>
  <dcterms:created xsi:type="dcterms:W3CDTF">2020-01-13T03:27:00Z</dcterms:created>
  <dcterms:modified xsi:type="dcterms:W3CDTF">2022-07-28T02:55:12Z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2052-11.1.0.11805</vt:lpwstr>
  </property>
  <property fmtid="{D5CDD505-2E9C-101B-9397-08002B2CF9AE}" pid="3" name="ICV">
    <vt:lpwstr>E8F324BF07EC42B0B2159CBB4BE17433</vt:lpwstr>
  </property>
</Properties>
</file>