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中共大城县委县直机关工作委员会2022年部门预算信息公开情况说明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大城县县直工委</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bookmarkStart w:id="1" w:name="_GoBack"/>
      <w:bookmarkEnd w:id="1"/>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jc w:val="left"/>
      </w:pPr>
      <w:r>
        <w:rPr>
          <w:rFonts w:ascii="仿宋" w:hAnsi="仿宋" w:eastAsia="仿宋" w:cs="仿宋"/>
          <w:color w:val="000000"/>
          <w:kern w:val="0"/>
          <w:sz w:val="31"/>
          <w:szCs w:val="31"/>
        </w:rPr>
        <w:t xml:space="preserve">1、结合县直机关党建工作实际，贯彻执行党的路线、方针、政策和县委的指示、决议。 </w:t>
      </w:r>
    </w:p>
    <w:p>
      <w:pPr>
        <w:widowControl/>
        <w:jc w:val="left"/>
      </w:pPr>
      <w:r>
        <w:rPr>
          <w:rFonts w:hint="eastAsia" w:ascii="仿宋" w:hAnsi="仿宋" w:eastAsia="仿宋" w:cs="仿宋"/>
          <w:color w:val="000000"/>
          <w:kern w:val="0"/>
          <w:sz w:val="31"/>
          <w:szCs w:val="31"/>
        </w:rPr>
        <w:t xml:space="preserve">2、按照县委的要求，制定县直机关党建规划，并监督检查落实。 </w:t>
      </w:r>
    </w:p>
    <w:p>
      <w:pPr>
        <w:widowControl/>
        <w:jc w:val="left"/>
      </w:pPr>
      <w:r>
        <w:rPr>
          <w:rFonts w:hint="eastAsia" w:ascii="仿宋" w:hAnsi="仿宋" w:eastAsia="仿宋" w:cs="仿宋"/>
          <w:color w:val="000000"/>
          <w:kern w:val="0"/>
          <w:sz w:val="31"/>
          <w:szCs w:val="31"/>
        </w:rPr>
        <w:t xml:space="preserve">3、指导县直基层党组织搞好党的思想建设、组织建设、作风建设和制度建设，做好党员教育和 </w:t>
      </w:r>
    </w:p>
    <w:p>
      <w:pPr>
        <w:widowControl/>
        <w:jc w:val="left"/>
      </w:pPr>
      <w:r>
        <w:rPr>
          <w:rFonts w:hint="eastAsia" w:ascii="仿宋" w:hAnsi="仿宋" w:eastAsia="仿宋" w:cs="仿宋"/>
          <w:color w:val="000000"/>
          <w:kern w:val="0"/>
          <w:sz w:val="31"/>
          <w:szCs w:val="31"/>
        </w:rPr>
        <w:t xml:space="preserve">管理工作，为经济建设提供思想、政治和组织保证。 </w:t>
      </w:r>
    </w:p>
    <w:p>
      <w:pPr>
        <w:widowControl/>
        <w:jc w:val="left"/>
      </w:pPr>
      <w:r>
        <w:rPr>
          <w:rFonts w:hint="eastAsia" w:ascii="仿宋" w:hAnsi="仿宋" w:eastAsia="仿宋" w:cs="仿宋"/>
          <w:color w:val="000000"/>
          <w:kern w:val="0"/>
          <w:sz w:val="31"/>
          <w:szCs w:val="31"/>
        </w:rPr>
        <w:t xml:space="preserve">4、按照党章和基层党组织选举工作的有关规定，负责审批县直机关直属党组织设置及委员会组 </w:t>
      </w:r>
    </w:p>
    <w:p>
      <w:pPr>
        <w:widowControl/>
        <w:jc w:val="left"/>
      </w:pPr>
      <w:r>
        <w:rPr>
          <w:rFonts w:hint="eastAsia" w:ascii="仿宋" w:hAnsi="仿宋" w:eastAsia="仿宋" w:cs="仿宋"/>
          <w:color w:val="000000"/>
          <w:kern w:val="0"/>
          <w:sz w:val="31"/>
          <w:szCs w:val="31"/>
        </w:rPr>
        <w:t>成。</w:t>
      </w:r>
    </w:p>
    <w:p>
      <w:pPr>
        <w:widowControl/>
        <w:jc w:val="left"/>
      </w:pPr>
      <w:r>
        <w:rPr>
          <w:rFonts w:hint="eastAsia" w:ascii="仿宋" w:hAnsi="仿宋" w:eastAsia="仿宋" w:cs="仿宋"/>
          <w:color w:val="000000"/>
          <w:kern w:val="0"/>
          <w:sz w:val="31"/>
          <w:szCs w:val="31"/>
        </w:rPr>
        <w:t>5、指导县直基层党组织实施对党员特别是党员领导干部的监督。监督领导干部做好双重组织生</w:t>
      </w:r>
      <w:r>
        <w:rPr>
          <w:rFonts w:ascii="Times New Roman" w:hAnsi="Times New Roman" w:cs="Times New Roman"/>
          <w:color w:val="000000"/>
          <w:kern w:val="0"/>
          <w:sz w:val="18"/>
          <w:szCs w:val="18"/>
        </w:rPr>
        <w:t xml:space="preserve">-2- </w:t>
      </w:r>
    </w:p>
    <w:p>
      <w:pPr>
        <w:widowControl/>
        <w:jc w:val="left"/>
      </w:pPr>
      <w:r>
        <w:rPr>
          <w:rFonts w:hint="eastAsia" w:ascii="仿宋" w:hAnsi="仿宋" w:eastAsia="仿宋" w:cs="仿宋"/>
          <w:color w:val="000000"/>
          <w:kern w:val="0"/>
          <w:sz w:val="31"/>
          <w:szCs w:val="31"/>
        </w:rPr>
        <w:t>活。</w:t>
      </w:r>
    </w:p>
    <w:p>
      <w:pPr>
        <w:widowControl/>
        <w:jc w:val="left"/>
      </w:pPr>
      <w:r>
        <w:rPr>
          <w:rFonts w:hint="eastAsia" w:ascii="仿宋" w:hAnsi="仿宋" w:eastAsia="仿宋" w:cs="仿宋"/>
          <w:color w:val="000000"/>
          <w:kern w:val="0"/>
          <w:sz w:val="31"/>
          <w:szCs w:val="31"/>
        </w:rPr>
        <w:t xml:space="preserve">6、按照党章规定，做好新党员的发展工作。 </w:t>
      </w:r>
    </w:p>
    <w:p>
      <w:pPr>
        <w:widowControl/>
        <w:jc w:val="left"/>
      </w:pPr>
      <w:r>
        <w:rPr>
          <w:rFonts w:hint="eastAsia" w:ascii="仿宋" w:hAnsi="仿宋" w:eastAsia="仿宋" w:cs="仿宋"/>
          <w:color w:val="000000"/>
          <w:kern w:val="0"/>
          <w:sz w:val="31"/>
          <w:szCs w:val="31"/>
        </w:rPr>
        <w:t xml:space="preserve">7、必要时组织召开县直党的代表会议。 </w:t>
      </w:r>
    </w:p>
    <w:p>
      <w:pPr>
        <w:widowControl/>
        <w:jc w:val="left"/>
      </w:pPr>
      <w:r>
        <w:rPr>
          <w:rFonts w:hint="eastAsia" w:ascii="仿宋" w:hAnsi="仿宋" w:eastAsia="仿宋" w:cs="仿宋"/>
          <w:color w:val="000000"/>
          <w:kern w:val="0"/>
          <w:sz w:val="31"/>
          <w:szCs w:val="31"/>
        </w:rPr>
        <w:t xml:space="preserve">8、完成县委交办的其他任务。 </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c>
          <w:tcPr>
            <w:tcW w:w="1134"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c>
          <w:tcPr>
            <w:tcW w:w="1276"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c>
          <w:tcPr>
            <w:tcW w:w="2902" w:type="dxa"/>
            <w:vMerge w:val="continue"/>
            <w:shd w:val="clear" w:color="auto" w:fill="auto"/>
            <w:vAlign w:val="center"/>
          </w:tcPr>
          <w:p>
            <w:pPr>
              <w:spacing w:line="584" w:lineRule="exact"/>
              <w:jc w:val="center"/>
              <w:rPr>
                <w:rFonts w:ascii="Times New Roman" w:hAnsi="Times New Roman" w:eastAsia="仿宋_GB2312"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中共大城县委县直机关工作委员会</w:t>
            </w:r>
          </w:p>
        </w:tc>
        <w:tc>
          <w:tcPr>
            <w:tcW w:w="1134"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 xml:space="preserve">财政拨款 </w:t>
            </w:r>
            <w:r>
              <w:rPr>
                <w:rFonts w:hint="eastAsia" w:ascii="Times New Roman" w:hAnsi="Times New Roman" w:eastAsia="仿宋_GB2312" w:cs="Times New Roman"/>
                <w:b/>
                <w:szCs w:val="24"/>
              </w:rPr>
              <w:t>（行政）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widowControl/>
        <w:jc w:val="left"/>
      </w:pPr>
      <w:r>
        <w:rPr>
          <w:rFonts w:ascii="仿宋" w:hAnsi="仿宋" w:eastAsia="仿宋" w:cs="仿宋"/>
          <w:color w:val="000000"/>
          <w:kern w:val="0"/>
          <w:sz w:val="31"/>
          <w:szCs w:val="31"/>
        </w:rPr>
        <w:t xml:space="preserve">按照预算管理有关规定，目前我市部门预算的编制实行综合预算制度，即全部收入和支出都反映 </w:t>
      </w:r>
    </w:p>
    <w:p>
      <w:pPr>
        <w:widowControl/>
        <w:jc w:val="left"/>
        <w:rPr>
          <w:rFonts w:ascii="Times New Roman" w:hAnsi="Times New Roman" w:eastAsia="仿宋_GB2312" w:cs="Times New Roman"/>
          <w:sz w:val="32"/>
          <w:szCs w:val="32"/>
        </w:rPr>
      </w:pPr>
      <w:r>
        <w:rPr>
          <w:rFonts w:hint="eastAsia" w:ascii="仿宋" w:hAnsi="仿宋" w:eastAsia="仿宋" w:cs="仿宋"/>
          <w:color w:val="000000"/>
          <w:kern w:val="0"/>
          <w:sz w:val="31"/>
          <w:szCs w:val="31"/>
        </w:rPr>
        <w:t>在预算中。廊坊市县直机关及所属事业单位的收支包含在部门预算中。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138.24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138.24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138.24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133.74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124.18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138.24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2.82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2.86</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widowControl/>
        <w:jc w:val="left"/>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4.5</w:t>
      </w:r>
      <w:r>
        <w:rPr>
          <w:rFonts w:ascii="Times New Roman" w:hAnsi="Times New Roman" w:eastAsia="仿宋_GB2312" w:cs="Times New Roman"/>
          <w:sz w:val="32"/>
          <w:szCs w:val="32"/>
        </w:rPr>
        <w:t>万元，</w:t>
      </w:r>
      <w:r>
        <w:rPr>
          <w:rFonts w:ascii="仿宋" w:hAnsi="仿宋" w:eastAsia="仿宋" w:cs="仿宋"/>
          <w:color w:val="000000"/>
          <w:kern w:val="0"/>
          <w:sz w:val="31"/>
          <w:szCs w:val="31"/>
        </w:rPr>
        <w:t xml:space="preserve">主要用于我部门的日常维修、办公用房水电费、 </w:t>
      </w:r>
    </w:p>
    <w:p>
      <w:pPr>
        <w:widowControl/>
        <w:jc w:val="left"/>
        <w:rPr>
          <w:rFonts w:ascii="Times New Roman" w:hAnsi="Times New Roman" w:eastAsia="仿宋_GB2312" w:cs="Times New Roman"/>
          <w:sz w:val="32"/>
          <w:szCs w:val="32"/>
        </w:rPr>
      </w:pPr>
      <w:r>
        <w:rPr>
          <w:rFonts w:hint="eastAsia" w:ascii="仿宋" w:hAnsi="仿宋" w:eastAsia="仿宋" w:cs="仿宋"/>
          <w:color w:val="000000"/>
          <w:kern w:val="0"/>
          <w:sz w:val="31"/>
          <w:szCs w:val="31"/>
        </w:rPr>
        <w:t>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widowControl/>
        <w:jc w:val="left"/>
      </w:pPr>
      <w:r>
        <w:rPr>
          <w:rFonts w:ascii="Times New Roman" w:hAnsi="Times New Roman" w:cs="Times New Roman"/>
          <w:color w:val="000000"/>
          <w:kern w:val="0"/>
          <w:sz w:val="31"/>
          <w:szCs w:val="31"/>
        </w:rPr>
        <w:t>202</w:t>
      </w:r>
      <w:r>
        <w:rPr>
          <w:rFonts w:hint="eastAsia" w:ascii="Times New Roman" w:hAnsi="Times New Roman" w:cs="Times New Roman"/>
          <w:color w:val="000000"/>
          <w:kern w:val="0"/>
          <w:sz w:val="31"/>
          <w:szCs w:val="31"/>
        </w:rPr>
        <w:t>2</w:t>
      </w:r>
      <w:r>
        <w:rPr>
          <w:rFonts w:ascii="仿宋" w:hAnsi="仿宋" w:eastAsia="仿宋" w:cs="仿宋"/>
          <w:color w:val="000000"/>
          <w:kern w:val="0"/>
          <w:sz w:val="31"/>
          <w:szCs w:val="31"/>
        </w:rPr>
        <w:t>年，我部门财政拨款</w:t>
      </w:r>
      <w:r>
        <w:rPr>
          <w:rFonts w:ascii="Times New Roman" w:hAnsi="Times New Roman" w:cs="Times New Roman"/>
          <w:color w:val="000000"/>
          <w:kern w:val="0"/>
          <w:sz w:val="31"/>
          <w:szCs w:val="31"/>
        </w:rPr>
        <w:t>“</w:t>
      </w:r>
      <w:r>
        <w:rPr>
          <w:rFonts w:hint="eastAsia" w:ascii="仿宋" w:hAnsi="仿宋" w:eastAsia="仿宋" w:cs="仿宋"/>
          <w:color w:val="000000"/>
          <w:kern w:val="0"/>
          <w:sz w:val="31"/>
          <w:szCs w:val="31"/>
        </w:rPr>
        <w:t>三公</w:t>
      </w:r>
      <w:r>
        <w:rPr>
          <w:rFonts w:ascii="Times New Roman" w:hAnsi="Times New Roman" w:cs="Times New Roman"/>
          <w:color w:val="000000"/>
          <w:kern w:val="0"/>
          <w:sz w:val="31"/>
          <w:szCs w:val="31"/>
        </w:rPr>
        <w:t>”</w:t>
      </w:r>
      <w:r>
        <w:rPr>
          <w:rFonts w:hint="eastAsia" w:ascii="仿宋" w:hAnsi="仿宋" w:eastAsia="仿宋" w:cs="仿宋"/>
          <w:color w:val="000000"/>
          <w:kern w:val="0"/>
          <w:sz w:val="31"/>
          <w:szCs w:val="31"/>
        </w:rPr>
        <w:t xml:space="preserve">经费预算安排 </w:t>
      </w:r>
      <w:r>
        <w:rPr>
          <w:rFonts w:ascii="Times New Roman" w:hAnsi="Times New Roman" w:cs="Times New Roman"/>
          <w:color w:val="000000"/>
          <w:kern w:val="0"/>
          <w:sz w:val="31"/>
          <w:szCs w:val="31"/>
        </w:rPr>
        <w:t xml:space="preserve">1 </w:t>
      </w:r>
      <w:r>
        <w:rPr>
          <w:rFonts w:hint="eastAsia" w:ascii="仿宋" w:hAnsi="仿宋" w:eastAsia="仿宋" w:cs="仿宋"/>
          <w:color w:val="000000"/>
          <w:kern w:val="0"/>
          <w:sz w:val="31"/>
          <w:szCs w:val="31"/>
        </w:rPr>
        <w:t xml:space="preserve">万元。其中，因公出国（境）费 </w:t>
      </w:r>
      <w:r>
        <w:rPr>
          <w:rFonts w:ascii="Times New Roman" w:hAnsi="Times New Roman" w:cs="Times New Roman"/>
          <w:color w:val="000000"/>
          <w:kern w:val="0"/>
          <w:sz w:val="31"/>
          <w:szCs w:val="31"/>
        </w:rPr>
        <w:t xml:space="preserve">0 </w:t>
      </w:r>
      <w:r>
        <w:rPr>
          <w:rFonts w:hint="eastAsia" w:ascii="仿宋" w:hAnsi="仿宋" w:eastAsia="仿宋" w:cs="仿宋"/>
          <w:color w:val="000000"/>
          <w:kern w:val="0"/>
          <w:sz w:val="31"/>
          <w:szCs w:val="31"/>
        </w:rPr>
        <w:t xml:space="preserve">万元；公务 </w:t>
      </w:r>
    </w:p>
    <w:p>
      <w:pPr>
        <w:widowControl/>
        <w:jc w:val="left"/>
      </w:pPr>
      <w:r>
        <w:rPr>
          <w:rFonts w:hint="eastAsia" w:ascii="仿宋" w:hAnsi="仿宋" w:eastAsia="仿宋" w:cs="仿宋"/>
          <w:color w:val="000000"/>
          <w:kern w:val="0"/>
          <w:sz w:val="31"/>
          <w:szCs w:val="31"/>
        </w:rPr>
        <w:t xml:space="preserve">用车购置及运维费 </w:t>
      </w:r>
      <w:r>
        <w:rPr>
          <w:rFonts w:ascii="Times New Roman" w:hAnsi="Times New Roman" w:cs="Times New Roman"/>
          <w:color w:val="000000"/>
          <w:kern w:val="0"/>
          <w:sz w:val="31"/>
          <w:szCs w:val="31"/>
        </w:rPr>
        <w:t xml:space="preserve">1 </w:t>
      </w:r>
      <w:r>
        <w:rPr>
          <w:rFonts w:hint="eastAsia" w:ascii="仿宋" w:hAnsi="仿宋" w:eastAsia="仿宋" w:cs="仿宋"/>
          <w:color w:val="000000"/>
          <w:kern w:val="0"/>
          <w:sz w:val="31"/>
          <w:szCs w:val="31"/>
        </w:rPr>
        <w:t xml:space="preserve">万元（其中：公务用车购置费为 </w:t>
      </w:r>
      <w:r>
        <w:rPr>
          <w:rFonts w:ascii="Times New Roman" w:hAnsi="Times New Roman" w:cs="Times New Roman"/>
          <w:color w:val="000000"/>
          <w:kern w:val="0"/>
          <w:sz w:val="31"/>
          <w:szCs w:val="31"/>
        </w:rPr>
        <w:t xml:space="preserve">0 </w:t>
      </w:r>
      <w:r>
        <w:rPr>
          <w:rFonts w:hint="eastAsia" w:ascii="仿宋" w:hAnsi="仿宋" w:eastAsia="仿宋" w:cs="仿宋"/>
          <w:color w:val="000000"/>
          <w:kern w:val="0"/>
          <w:sz w:val="31"/>
          <w:szCs w:val="31"/>
        </w:rPr>
        <w:t xml:space="preserve">万元，公务用车运维费 </w:t>
      </w:r>
      <w:r>
        <w:rPr>
          <w:rFonts w:ascii="Times New Roman" w:hAnsi="Times New Roman" w:cs="Times New Roman"/>
          <w:color w:val="000000"/>
          <w:kern w:val="0"/>
          <w:sz w:val="31"/>
          <w:szCs w:val="31"/>
        </w:rPr>
        <w:t xml:space="preserve">1 </w:t>
      </w:r>
      <w:r>
        <w:rPr>
          <w:rFonts w:hint="eastAsia" w:ascii="仿宋" w:hAnsi="仿宋" w:eastAsia="仿宋" w:cs="仿宋"/>
          <w:color w:val="000000"/>
          <w:kern w:val="0"/>
          <w:sz w:val="31"/>
          <w:szCs w:val="31"/>
        </w:rPr>
        <w:t>万元</w:t>
      </w:r>
      <w:r>
        <w:rPr>
          <w:rFonts w:ascii="Times New Roman" w:hAnsi="Times New Roman" w:cs="Times New Roman"/>
          <w:color w:val="000000"/>
          <w:kern w:val="0"/>
          <w:sz w:val="31"/>
          <w:szCs w:val="31"/>
        </w:rPr>
        <w:t>)</w:t>
      </w:r>
      <w:r>
        <w:rPr>
          <w:rFonts w:hint="eastAsia" w:ascii="仿宋" w:hAnsi="仿宋" w:eastAsia="仿宋" w:cs="仿宋"/>
          <w:color w:val="000000"/>
          <w:kern w:val="0"/>
          <w:sz w:val="31"/>
          <w:szCs w:val="31"/>
        </w:rPr>
        <w:t xml:space="preserve">；公务接待费 </w:t>
      </w:r>
      <w:r>
        <w:rPr>
          <w:rFonts w:ascii="Times New Roman" w:hAnsi="Times New Roman" w:cs="Times New Roman"/>
          <w:color w:val="000000"/>
          <w:kern w:val="0"/>
          <w:sz w:val="31"/>
          <w:szCs w:val="31"/>
        </w:rPr>
        <w:t xml:space="preserve">0 </w:t>
      </w:r>
    </w:p>
    <w:p>
      <w:pPr>
        <w:widowControl/>
        <w:jc w:val="left"/>
      </w:pPr>
      <w:r>
        <w:rPr>
          <w:rFonts w:hint="eastAsia" w:ascii="仿宋" w:hAnsi="仿宋" w:eastAsia="仿宋" w:cs="仿宋"/>
          <w:color w:val="000000"/>
          <w:kern w:val="0"/>
          <w:sz w:val="31"/>
          <w:szCs w:val="31"/>
        </w:rPr>
        <w:t xml:space="preserve">万元。与 </w:t>
      </w:r>
      <w:r>
        <w:rPr>
          <w:rFonts w:ascii="Times New Roman" w:hAnsi="Times New Roman" w:cs="Times New Roman"/>
          <w:color w:val="000000"/>
          <w:kern w:val="0"/>
          <w:sz w:val="31"/>
          <w:szCs w:val="31"/>
        </w:rPr>
        <w:t>20</w:t>
      </w:r>
      <w:r>
        <w:rPr>
          <w:rFonts w:hint="eastAsia" w:ascii="Times New Roman" w:hAnsi="Times New Roman" w:cs="Times New Roman"/>
          <w:color w:val="000000"/>
          <w:kern w:val="0"/>
          <w:sz w:val="31"/>
          <w:szCs w:val="31"/>
        </w:rPr>
        <w:t>21</w:t>
      </w:r>
      <w:r>
        <w:rPr>
          <w:rFonts w:hint="eastAsia" w:ascii="仿宋" w:hAnsi="仿宋" w:eastAsia="仿宋" w:cs="仿宋"/>
          <w:color w:val="000000"/>
          <w:kern w:val="0"/>
          <w:sz w:val="31"/>
          <w:szCs w:val="31"/>
        </w:rPr>
        <w:t>年相比无增减变化。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jc w:val="left"/>
      </w:pPr>
      <w:r>
        <w:rPr>
          <w:rFonts w:ascii="仿宋" w:hAnsi="仿宋" w:eastAsia="仿宋" w:cs="仿宋"/>
          <w:color w:val="000000"/>
          <w:kern w:val="0"/>
          <w:sz w:val="31"/>
          <w:szCs w:val="31"/>
        </w:rPr>
        <w:t>202</w:t>
      </w:r>
      <w:r>
        <w:rPr>
          <w:rFonts w:hint="eastAsia" w:ascii="仿宋" w:hAnsi="仿宋" w:eastAsia="仿宋" w:cs="仿宋"/>
          <w:color w:val="000000"/>
          <w:kern w:val="0"/>
          <w:sz w:val="31"/>
          <w:szCs w:val="31"/>
        </w:rPr>
        <w:t>2</w:t>
      </w:r>
      <w:r>
        <w:rPr>
          <w:rFonts w:ascii="仿宋" w:hAnsi="仿宋" w:eastAsia="仿宋" w:cs="仿宋"/>
          <w:color w:val="000000"/>
          <w:kern w:val="0"/>
          <w:sz w:val="31"/>
          <w:szCs w:val="31"/>
        </w:rPr>
        <w:t xml:space="preserve">年，县直机关党建工作将立足党的建设与大城经济和社会各项事业发展的有机结合、相互 </w:t>
      </w:r>
    </w:p>
    <w:p>
      <w:pPr>
        <w:widowControl/>
        <w:jc w:val="left"/>
      </w:pPr>
      <w:r>
        <w:rPr>
          <w:rFonts w:hint="eastAsia" w:ascii="仿宋" w:hAnsi="仿宋" w:eastAsia="仿宋" w:cs="仿宋"/>
          <w:color w:val="000000"/>
          <w:kern w:val="0"/>
          <w:sz w:val="31"/>
          <w:szCs w:val="31"/>
        </w:rPr>
        <w:t xml:space="preserve">促进，着眼于推动科学发展，着眼于促进社会和谐，着眼于推动改革创新，着眼于建设“六型机关” </w:t>
      </w:r>
    </w:p>
    <w:p>
      <w:pPr>
        <w:widowControl/>
        <w:jc w:val="left"/>
      </w:pPr>
      <w:r>
        <w:rPr>
          <w:rFonts w:hint="eastAsia" w:ascii="仿宋" w:hAnsi="仿宋" w:eastAsia="仿宋" w:cs="仿宋"/>
          <w:color w:val="000000"/>
          <w:kern w:val="0"/>
          <w:sz w:val="31"/>
          <w:szCs w:val="31"/>
        </w:rPr>
        <w:t xml:space="preserve">（学习型、服务型、创新型、效能型、廉政型、和谐型），以十九大会议精神为指导，深入推进党的 </w:t>
      </w:r>
    </w:p>
    <w:p>
      <w:pPr>
        <w:widowControl/>
        <w:jc w:val="left"/>
      </w:pPr>
      <w:r>
        <w:rPr>
          <w:rFonts w:hint="eastAsia" w:ascii="仿宋" w:hAnsi="仿宋" w:eastAsia="仿宋" w:cs="仿宋"/>
          <w:color w:val="000000"/>
          <w:kern w:val="0"/>
          <w:sz w:val="31"/>
          <w:szCs w:val="31"/>
        </w:rPr>
        <w:t xml:space="preserve">群众路线建设为重点，不断活化活动载体，使县直机关在大城又好又快发展的过程中做出新的更大的 </w:t>
      </w:r>
    </w:p>
    <w:p>
      <w:pPr>
        <w:widowControl/>
        <w:jc w:val="left"/>
      </w:pPr>
      <w:r>
        <w:rPr>
          <w:rFonts w:hint="eastAsia" w:ascii="仿宋" w:hAnsi="仿宋" w:eastAsia="仿宋" w:cs="仿宋"/>
          <w:color w:val="000000"/>
          <w:kern w:val="0"/>
          <w:sz w:val="31"/>
          <w:szCs w:val="31"/>
        </w:rPr>
        <w:t>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jc w:val="left"/>
      </w:pPr>
      <w:r>
        <w:rPr>
          <w:rFonts w:ascii="仿宋" w:hAnsi="仿宋" w:eastAsia="仿宋" w:cs="仿宋"/>
          <w:color w:val="000000"/>
          <w:kern w:val="0"/>
          <w:sz w:val="31"/>
          <w:szCs w:val="31"/>
        </w:rPr>
        <w:t xml:space="preserve">1.绩效目标：学习制度得到普遍落实，各项活动普遍参加。 </w:t>
      </w:r>
    </w:p>
    <w:p>
      <w:pPr>
        <w:widowControl/>
        <w:jc w:val="left"/>
      </w:pPr>
      <w:r>
        <w:rPr>
          <w:rFonts w:hint="eastAsia" w:ascii="仿宋" w:hAnsi="仿宋" w:eastAsia="仿宋" w:cs="仿宋"/>
          <w:color w:val="000000"/>
          <w:kern w:val="0"/>
          <w:sz w:val="31"/>
          <w:szCs w:val="31"/>
        </w:rPr>
        <w:t xml:space="preserve">绩效指标：党组织战斗堡垒作用和党员先锋模范作用进一步增强。 </w:t>
      </w:r>
    </w:p>
    <w:p>
      <w:pPr>
        <w:widowControl/>
        <w:jc w:val="left"/>
      </w:pPr>
      <w:r>
        <w:rPr>
          <w:rFonts w:hint="eastAsia" w:ascii="仿宋" w:hAnsi="仿宋" w:eastAsia="仿宋" w:cs="仿宋"/>
          <w:color w:val="000000"/>
          <w:kern w:val="0"/>
          <w:sz w:val="31"/>
          <w:szCs w:val="31"/>
        </w:rPr>
        <w:t xml:space="preserve">2.绩效目标：加强基层党组织建设，严格组织生活制度，丰富党建活动内容。 </w:t>
      </w:r>
    </w:p>
    <w:p>
      <w:pPr>
        <w:widowControl/>
        <w:jc w:val="left"/>
      </w:pPr>
      <w:r>
        <w:rPr>
          <w:rFonts w:hint="eastAsia" w:ascii="仿宋" w:hAnsi="仿宋" w:eastAsia="仿宋" w:cs="仿宋"/>
          <w:color w:val="000000"/>
          <w:kern w:val="0"/>
          <w:sz w:val="31"/>
          <w:szCs w:val="31"/>
        </w:rPr>
        <w:t xml:space="preserve">绩效指标：充分发挥党组织的战斗堡垒作用和党员的先锋模范作用。 </w:t>
      </w:r>
    </w:p>
    <w:p>
      <w:pPr>
        <w:widowControl/>
        <w:jc w:val="left"/>
      </w:pPr>
      <w:r>
        <w:rPr>
          <w:rFonts w:hint="eastAsia" w:ascii="仿宋" w:hAnsi="仿宋" w:eastAsia="仿宋" w:cs="仿宋"/>
          <w:color w:val="000000"/>
          <w:kern w:val="0"/>
          <w:sz w:val="31"/>
          <w:szCs w:val="31"/>
        </w:rPr>
        <w:t xml:space="preserve">3.绩效目标：利用各种有效载体开展宣传教育活动,效果明显。 </w:t>
      </w:r>
    </w:p>
    <w:p>
      <w:pPr>
        <w:widowControl/>
        <w:jc w:val="left"/>
      </w:pPr>
      <w:r>
        <w:rPr>
          <w:rFonts w:hint="eastAsia" w:ascii="仿宋" w:hAnsi="仿宋" w:eastAsia="仿宋" w:cs="仿宋"/>
          <w:color w:val="000000"/>
          <w:kern w:val="0"/>
          <w:sz w:val="31"/>
          <w:szCs w:val="31"/>
        </w:rPr>
        <w:t xml:space="preserve">绩效指标：精神文明创建活动参与广泛，公民道德素质、各项活动满意率明显提高。 </w:t>
      </w:r>
    </w:p>
    <w:p>
      <w:pPr>
        <w:widowControl/>
        <w:jc w:val="left"/>
      </w:pPr>
      <w:r>
        <w:rPr>
          <w:rFonts w:hint="eastAsia" w:ascii="仿宋" w:hAnsi="仿宋" w:eastAsia="仿宋" w:cs="仿宋"/>
          <w:color w:val="000000"/>
          <w:kern w:val="0"/>
          <w:sz w:val="31"/>
          <w:szCs w:val="31"/>
        </w:rPr>
        <w:t xml:space="preserve">4.绩效目标：政治觉悟和思想道德素质明显提高。 </w:t>
      </w:r>
    </w:p>
    <w:p>
      <w:pPr>
        <w:widowControl/>
        <w:jc w:val="left"/>
      </w:pPr>
      <w:r>
        <w:rPr>
          <w:rFonts w:hint="eastAsia" w:ascii="仿宋" w:hAnsi="仿宋" w:eastAsia="仿宋" w:cs="仿宋"/>
          <w:color w:val="000000"/>
          <w:kern w:val="0"/>
          <w:sz w:val="31"/>
          <w:szCs w:val="31"/>
        </w:rPr>
        <w:t>绩效指标：党组织战斗堡垒作用和党员先锋模范作用进一步增强。</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jc w:val="left"/>
      </w:pPr>
      <w:r>
        <w:rPr>
          <w:rFonts w:ascii="仿宋" w:hAnsi="仿宋" w:eastAsia="仿宋" w:cs="仿宋"/>
          <w:color w:val="000000"/>
          <w:kern w:val="0"/>
          <w:sz w:val="31"/>
          <w:szCs w:val="31"/>
        </w:rPr>
        <w:t xml:space="preserve">1.加强队伍建设。加强党员干部队伍建设，加强入党积极分子培训及联文化建设，不断提高队 </w:t>
      </w:r>
    </w:p>
    <w:p>
      <w:pPr>
        <w:widowControl/>
        <w:jc w:val="left"/>
      </w:pPr>
      <w:r>
        <w:rPr>
          <w:rFonts w:hint="eastAsia" w:ascii="仿宋" w:hAnsi="仿宋" w:eastAsia="仿宋" w:cs="仿宋"/>
          <w:color w:val="000000"/>
          <w:kern w:val="0"/>
          <w:sz w:val="31"/>
          <w:szCs w:val="31"/>
        </w:rPr>
        <w:t xml:space="preserve">伍素质和服务能力，加大宣传力度，强化预算绩效管理意识，推进信息公开，提升维权服务效率， </w:t>
      </w:r>
    </w:p>
    <w:p>
      <w:pPr>
        <w:widowControl/>
        <w:jc w:val="left"/>
      </w:pPr>
      <w:r>
        <w:rPr>
          <w:rFonts w:hint="eastAsia" w:ascii="仿宋" w:hAnsi="仿宋" w:eastAsia="仿宋" w:cs="仿宋"/>
          <w:color w:val="000000"/>
          <w:kern w:val="0"/>
          <w:sz w:val="31"/>
          <w:szCs w:val="31"/>
        </w:rPr>
        <w:t xml:space="preserve">改进县直工委工作作风，树立县直工委良好形象。 </w:t>
      </w:r>
    </w:p>
    <w:p>
      <w:pPr>
        <w:widowControl/>
        <w:jc w:val="left"/>
      </w:pPr>
      <w:r>
        <w:rPr>
          <w:rFonts w:hint="eastAsia" w:ascii="仿宋" w:hAnsi="仿宋" w:eastAsia="仿宋" w:cs="仿宋"/>
          <w:color w:val="000000"/>
          <w:kern w:val="0"/>
          <w:sz w:val="31"/>
          <w:szCs w:val="31"/>
        </w:rPr>
        <w:t xml:space="preserve">2.完善制度建设。完善预算绩效管理制度、资金管理办法、工作保障制度，做好会议组织管理、 </w:t>
      </w:r>
    </w:p>
    <w:p>
      <w:pPr>
        <w:widowControl/>
        <w:jc w:val="left"/>
      </w:pPr>
      <w:r>
        <w:rPr>
          <w:rFonts w:hint="eastAsia" w:ascii="仿宋" w:hAnsi="仿宋" w:eastAsia="仿宋" w:cs="仿宋"/>
          <w:color w:val="000000"/>
          <w:kern w:val="0"/>
          <w:sz w:val="31"/>
          <w:szCs w:val="31"/>
        </w:rPr>
        <w:t xml:space="preserve">信息化建设与维护、机关财务和资产管理、人事管理、党务管理工作等。 </w:t>
      </w:r>
    </w:p>
    <w:p>
      <w:pPr>
        <w:widowControl/>
        <w:jc w:val="left"/>
      </w:pPr>
      <w:r>
        <w:rPr>
          <w:rFonts w:hint="eastAsia" w:ascii="仿宋" w:hAnsi="仿宋" w:eastAsia="仿宋" w:cs="仿宋"/>
          <w:color w:val="000000"/>
          <w:kern w:val="0"/>
          <w:sz w:val="31"/>
          <w:szCs w:val="31"/>
        </w:rPr>
        <w:t xml:space="preserve">3.规范财务资产管理。完善财务管理制度，严格审批程序，加强固定资产登记、使用和报废处 </w:t>
      </w:r>
    </w:p>
    <w:p>
      <w:pPr>
        <w:widowControl/>
        <w:jc w:val="left"/>
      </w:pPr>
      <w:r>
        <w:rPr>
          <w:rFonts w:hint="eastAsia" w:ascii="仿宋" w:hAnsi="仿宋" w:eastAsia="仿宋" w:cs="仿宋"/>
          <w:color w:val="000000"/>
          <w:kern w:val="0"/>
          <w:sz w:val="31"/>
          <w:szCs w:val="31"/>
        </w:rPr>
        <w:t xml:space="preserve">置管理，做到支出合理，物尽其用。 </w:t>
      </w:r>
    </w:p>
    <w:p>
      <w:pPr>
        <w:widowControl/>
        <w:jc w:val="left"/>
      </w:pPr>
      <w:r>
        <w:rPr>
          <w:rFonts w:ascii="Times New Roman" w:hAnsi="Times New Roman" w:cs="Times New Roman"/>
          <w:color w:val="000000"/>
          <w:kern w:val="0"/>
          <w:sz w:val="18"/>
          <w:szCs w:val="18"/>
        </w:rPr>
        <w:t>-5-</w:t>
      </w:r>
      <w:r>
        <w:rPr>
          <w:rFonts w:hint="eastAsia" w:ascii="仿宋" w:hAnsi="仿宋" w:eastAsia="仿宋" w:cs="仿宋"/>
          <w:color w:val="000000"/>
          <w:kern w:val="0"/>
          <w:sz w:val="31"/>
          <w:szCs w:val="31"/>
        </w:rPr>
        <w:t xml:space="preserve">4.加强绩效运行监控。配合财政部门作好预算绩效运行跟踪监控管理相关工作。办公室财务统 </w:t>
      </w:r>
    </w:p>
    <w:p>
      <w:pPr>
        <w:widowControl/>
        <w:jc w:val="left"/>
      </w:pPr>
      <w:r>
        <w:rPr>
          <w:rFonts w:hint="eastAsia" w:ascii="仿宋" w:hAnsi="仿宋" w:eastAsia="仿宋" w:cs="仿宋"/>
          <w:color w:val="000000"/>
          <w:kern w:val="0"/>
          <w:sz w:val="31"/>
          <w:szCs w:val="31"/>
        </w:rPr>
        <w:t xml:space="preserve">计人员负责对本单位的项目绩效进行跟踪监控，并根据项目预期进度和绩效目标预期完成情况进行 </w:t>
      </w:r>
    </w:p>
    <w:p>
      <w:pPr>
        <w:widowControl/>
        <w:jc w:val="left"/>
      </w:pPr>
      <w:r>
        <w:rPr>
          <w:rFonts w:hint="eastAsia" w:ascii="仿宋" w:hAnsi="仿宋" w:eastAsia="仿宋" w:cs="仿宋"/>
          <w:color w:val="000000"/>
          <w:kern w:val="0"/>
          <w:sz w:val="31"/>
          <w:szCs w:val="31"/>
        </w:rPr>
        <w:t>分析。</w:t>
      </w:r>
    </w:p>
    <w:p>
      <w:pPr>
        <w:widowControl/>
        <w:jc w:val="left"/>
      </w:pPr>
      <w:r>
        <w:rPr>
          <w:rFonts w:hint="eastAsia" w:ascii="仿宋" w:hAnsi="仿宋" w:eastAsia="仿宋" w:cs="仿宋"/>
          <w:color w:val="000000"/>
          <w:kern w:val="0"/>
          <w:sz w:val="31"/>
          <w:szCs w:val="31"/>
        </w:rPr>
        <w:t xml:space="preserve">5.做好绩效自评。按要求开展部门预算绩效自评和重点评价工作，对评价中发现的问题及时整 </w:t>
      </w:r>
    </w:p>
    <w:p>
      <w:pPr>
        <w:widowControl/>
        <w:jc w:val="left"/>
      </w:pPr>
      <w:r>
        <w:rPr>
          <w:rFonts w:hint="eastAsia" w:ascii="仿宋" w:hAnsi="仿宋" w:eastAsia="仿宋" w:cs="仿宋"/>
          <w:color w:val="000000"/>
          <w:kern w:val="0"/>
          <w:sz w:val="31"/>
          <w:szCs w:val="31"/>
        </w:rPr>
        <w:t xml:space="preserve">改，调整优化支出结构， 提高财政资金使用效益。 </w:t>
      </w:r>
    </w:p>
    <w:p>
      <w:pPr>
        <w:widowControl/>
        <w:jc w:val="left"/>
      </w:pPr>
      <w:r>
        <w:rPr>
          <w:rFonts w:hint="eastAsia" w:ascii="仿宋" w:hAnsi="仿宋" w:eastAsia="仿宋" w:cs="仿宋"/>
          <w:color w:val="000000"/>
          <w:kern w:val="0"/>
          <w:sz w:val="31"/>
          <w:szCs w:val="31"/>
        </w:rPr>
        <w:t xml:space="preserve">6.加强内部监督。加强内部监督制度建设，对绩效运行情况、重大支出决策、资产处置及其他 </w:t>
      </w:r>
    </w:p>
    <w:p>
      <w:pPr>
        <w:widowControl/>
        <w:jc w:val="left"/>
      </w:pPr>
      <w:r>
        <w:rPr>
          <w:rFonts w:hint="eastAsia" w:ascii="仿宋" w:hAnsi="仿宋" w:eastAsia="仿宋" w:cs="仿宋"/>
          <w:color w:val="000000"/>
          <w:kern w:val="0"/>
          <w:sz w:val="31"/>
          <w:szCs w:val="31"/>
        </w:rPr>
        <w:t xml:space="preserve">重要经济业务事项的决策和执行进行督导，对会计资料进行内部审计，并配合做好审计、财政监督 </w:t>
      </w:r>
    </w:p>
    <w:p>
      <w:pPr>
        <w:widowControl/>
        <w:jc w:val="left"/>
      </w:pPr>
      <w:r>
        <w:rPr>
          <w:rFonts w:hint="eastAsia" w:ascii="仿宋" w:hAnsi="仿宋" w:eastAsia="仿宋" w:cs="仿宋"/>
          <w:color w:val="000000"/>
          <w:kern w:val="0"/>
          <w:sz w:val="31"/>
          <w:szCs w:val="31"/>
        </w:rPr>
        <w:t xml:space="preserve">等外部监督工作，确保财政资金安全有效。 </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部门产出</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数量</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数量达标率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项目完成情况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质量</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质量达标率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项目质量情况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时效</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完成及时率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完成时限</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月</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成本</w:t>
            </w:r>
          </w:p>
        </w:tc>
        <w:tc>
          <w:tcPr>
            <w:tcW w:w="897" w:type="dxa"/>
            <w:tcBorders>
              <w:tl2br w:val="nil"/>
              <w:tr2bl w:val="nil"/>
            </w:tcBorders>
            <w:vAlign w:val="center"/>
          </w:tcPr>
          <w:p>
            <w:pPr>
              <w:widowControl/>
              <w:jc w:val="center"/>
              <w:rPr>
                <w:rFonts w:asciiTheme="minorEastAsia" w:hAnsiTheme="minorEastAsia" w:eastAsiaTheme="minorEastAsia"/>
                <w:sz w:val="18"/>
                <w:szCs w:val="18"/>
              </w:rPr>
            </w:pPr>
            <w:r>
              <w:rPr>
                <w:rFonts w:hint="eastAsia" w:asciiTheme="minorEastAsia" w:hAnsiTheme="minorEastAsia" w:eastAsiaTheme="minorEastAsia"/>
                <w:color w:val="000000"/>
                <w:kern w:val="0"/>
                <w:sz w:val="18"/>
                <w:szCs w:val="18"/>
              </w:rPr>
              <w:t>成本使用率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资金使用情况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部门</w:t>
            </w:r>
            <w:r>
              <w:rPr>
                <w:rFonts w:hint="eastAsia" w:asciiTheme="minorEastAsia" w:hAnsiTheme="minorEastAsia" w:eastAsiaTheme="minorEastAsia"/>
                <w:sz w:val="18"/>
                <w:szCs w:val="18"/>
              </w:rPr>
              <w:t>效果</w:t>
            </w: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社会效益</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受益人群</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群众知晓率</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可持续影响</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长效机制健全性</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机制健全情况</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服务对象满意度指标</w:t>
            </w:r>
          </w:p>
        </w:tc>
        <w:tc>
          <w:tcPr>
            <w:tcW w:w="2172"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反映群众满意度</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asciiTheme="minorEastAsia" w:hAnsiTheme="minorEastAsia" w:eastAsiaTheme="minorEastAsia"/>
                <w:sz w:val="18"/>
                <w:szCs w:val="18"/>
              </w:rPr>
            </w:pPr>
          </w:p>
        </w:tc>
        <w:tc>
          <w:tcPr>
            <w:tcW w:w="825" w:type="dxa"/>
            <w:tcBorders>
              <w:tl2br w:val="nil"/>
              <w:tr2bl w:val="nil"/>
            </w:tcBorders>
            <w:vAlign w:val="center"/>
          </w:tcPr>
          <w:p>
            <w:pPr>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满意度</w:t>
            </w:r>
          </w:p>
        </w:tc>
        <w:tc>
          <w:tcPr>
            <w:tcW w:w="897"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服务对象满意度指标</w:t>
            </w:r>
          </w:p>
        </w:tc>
        <w:tc>
          <w:tcPr>
            <w:tcW w:w="2172"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按实际完成情况</w:t>
            </w:r>
          </w:p>
        </w:tc>
        <w:tc>
          <w:tcPr>
            <w:tcW w:w="1483" w:type="dxa"/>
            <w:tcBorders>
              <w:tl2br w:val="nil"/>
              <w:tr2bl w:val="nil"/>
            </w:tcBorders>
            <w:noWrap/>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反映基层翻译度</w:t>
            </w:r>
          </w:p>
        </w:tc>
        <w:tc>
          <w:tcPr>
            <w:tcW w:w="54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488"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95</w:t>
            </w:r>
          </w:p>
        </w:tc>
        <w:tc>
          <w:tcPr>
            <w:tcW w:w="573"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1277" w:type="dxa"/>
            <w:tcBorders>
              <w:tl2br w:val="nil"/>
              <w:tr2bl w:val="nil"/>
            </w:tcBorders>
            <w:vAlign w:val="center"/>
          </w:tcPr>
          <w:p>
            <w:pPr>
              <w:widowControl/>
              <w:adjustRightInd w:val="0"/>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Times New Roman" w:hAnsi="Times New Roman" w:eastAsia="仿宋_GB2312" w:cs="Times New Roman"/>
          <w:sz w:val="28"/>
        </w:rPr>
        <w:t>党建活动及会议经费</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2418"/>
        <w:gridCol w:w="1551"/>
        <w:gridCol w:w="2506"/>
        <w:gridCol w:w="720"/>
        <w:gridCol w:w="1888"/>
        <w:gridCol w:w="1735"/>
        <w:gridCol w:w="217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[13102522P00002810001F]党建活动及会议经费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[286001]大城县直属机关工作委员会本级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开展党性会议</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次</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根据统计</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资金拨付率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依据拨付完成情况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资金支付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依据支付时间</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召开党建活动次数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2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受益群众数量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50</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全县人口数</w:t>
            </w:r>
          </w:p>
        </w:tc>
      </w:tr>
      <w:tr>
        <w:tblPrEx>
          <w:tblCellMar>
            <w:top w:w="0" w:type="dxa"/>
            <w:left w:w="108" w:type="dxa"/>
            <w:bottom w:w="0" w:type="dxa"/>
            <w:right w:w="108" w:type="dxa"/>
          </w:tblCellMar>
        </w:tblPrEx>
        <w:trPr>
          <w:trHeight w:val="2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党员干部满意度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党员干部满意度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问卷调查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党建机关建设党报党刊资料费</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2090"/>
        <w:gridCol w:w="1680"/>
        <w:gridCol w:w="2705"/>
        <w:gridCol w:w="1415"/>
        <w:gridCol w:w="1193"/>
        <w:gridCol w:w="1955"/>
        <w:gridCol w:w="1955"/>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[13102522P000029100015]</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[286001]大城县直属机关工作委员会本级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通过开展本项目,使广大干部深入学习贯彻习近平书记新时代中国特色社会主义思想</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依据拨付完成情况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资金拨付率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依据拨付完成情况</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依据支付时间</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订购数量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订购党报党刊数量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依据统计</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干部人数</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群众满意度测评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党员干部满意度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问卷调查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建档立卡脱贫户生产生活补助金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649" w:type="dxa"/>
        <w:tblInd w:w="96" w:type="dxa"/>
        <w:tblLayout w:type="autofit"/>
        <w:tblCellMar>
          <w:top w:w="0" w:type="dxa"/>
          <w:left w:w="108" w:type="dxa"/>
          <w:bottom w:w="0" w:type="dxa"/>
          <w:right w:w="108" w:type="dxa"/>
        </w:tblCellMar>
      </w:tblPr>
      <w:tblGrid>
        <w:gridCol w:w="1653"/>
        <w:gridCol w:w="1833"/>
        <w:gridCol w:w="1294"/>
        <w:gridCol w:w="3630"/>
        <w:gridCol w:w="1233"/>
        <w:gridCol w:w="1371"/>
        <w:gridCol w:w="1658"/>
        <w:gridCol w:w="2247"/>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[13102522P00003110001Y]</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[286001]大城县直属机关工作委员会本级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0.6万元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为贫困户做到两节慰问,经济补贴等</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扶贫家庭数量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贫困户每户金额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资金拨付及时率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工作计划</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保证扶贫时间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保障2020年全年扶贫</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受益贫困户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县政府要求</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贫困户满意度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群众对当年农村公益电影放映的整体满意度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走访调查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5"/>
                <w:szCs w:val="15"/>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4.网络平台维护费绩效目标表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919" w:type="dxa"/>
        <w:tblInd w:w="96" w:type="dxa"/>
        <w:tblLayout w:type="autofit"/>
        <w:tblCellMar>
          <w:top w:w="0" w:type="dxa"/>
          <w:left w:w="108" w:type="dxa"/>
          <w:bottom w:w="0" w:type="dxa"/>
          <w:right w:w="108" w:type="dxa"/>
        </w:tblCellMar>
      </w:tblPr>
      <w:tblGrid>
        <w:gridCol w:w="1630"/>
        <w:gridCol w:w="1805"/>
        <w:gridCol w:w="1275"/>
        <w:gridCol w:w="3571"/>
        <w:gridCol w:w="1393"/>
        <w:gridCol w:w="1177"/>
        <w:gridCol w:w="1632"/>
        <w:gridCol w:w="2436"/>
      </w:tblGrid>
      <w:tr>
        <w:tblPrEx>
          <w:tblCellMar>
            <w:top w:w="0" w:type="dxa"/>
            <w:left w:w="108" w:type="dxa"/>
            <w:bottom w:w="0" w:type="dxa"/>
            <w:right w:w="108" w:type="dxa"/>
          </w:tblCellMar>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[13102522P0000330100019]</w:t>
            </w: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主管部门</w:t>
            </w:r>
          </w:p>
        </w:tc>
        <w:tc>
          <w:tcPr>
            <w:tcW w:w="39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[286001]大城县直属机关工作委员会本级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0.4万元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工资系统所需连接网路</w:t>
            </w:r>
          </w:p>
        </w:tc>
      </w:tr>
      <w:tr>
        <w:tblPrEx>
          <w:tblCellMar>
            <w:top w:w="0" w:type="dxa"/>
            <w:left w:w="108" w:type="dxa"/>
            <w:bottom w:w="0" w:type="dxa"/>
            <w:right w:w="108" w:type="dxa"/>
          </w:tblCellMar>
        </w:tblPrEx>
        <w:trPr>
          <w:trHeight w:val="405" w:hRule="atLeast"/>
        </w:trPr>
        <w:tc>
          <w:tcPr>
            <w:tcW w:w="1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12月底</w:t>
            </w:r>
          </w:p>
        </w:tc>
      </w:tr>
      <w:tr>
        <w:tblPrEx>
          <w:tblCellMar>
            <w:top w:w="0" w:type="dxa"/>
            <w:left w:w="108" w:type="dxa"/>
            <w:bottom w:w="0" w:type="dxa"/>
            <w:right w:w="108" w:type="dxa"/>
          </w:tblCellMar>
        </w:tblPrEx>
        <w:trPr>
          <w:trHeight w:val="405" w:hRule="atLeast"/>
        </w:trPr>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5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数量指标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数量达标率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维护系统完成度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合格率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维护合格率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验收报告</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维护期间</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网络维护期间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18"/>
                <w:szCs w:val="18"/>
              </w:rPr>
            </w:pPr>
            <w:r>
              <w:rPr>
                <w:rFonts w:hint="eastAsia" w:ascii="宋体" w:hAnsi="宋体" w:cs="宋体"/>
                <w:color w:val="00000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月</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保障2022年全年维护</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经费支出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宋体" w:hAnsi="宋体" w:cs="宋体"/>
                <w:color w:val="000000"/>
                <w:sz w:val="18"/>
                <w:szCs w:val="18"/>
              </w:rPr>
            </w:pPr>
            <w:r>
              <w:rPr>
                <w:rFonts w:hint="eastAsia" w:ascii="宋体" w:hAnsi="宋体" w:cs="宋体"/>
                <w:color w:val="000000"/>
                <w:sz w:val="18"/>
                <w:szCs w:val="18"/>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万元</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年初预算</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社会效益指标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受益人数</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受益群众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jc w:val="both"/>
              <w:rPr>
                <w:rFonts w:ascii="宋体" w:hAnsi="宋体" w:eastAsia="宋体" w:cs="宋体"/>
                <w:color w:val="000000"/>
                <w:sz w:val="18"/>
                <w:szCs w:val="18"/>
              </w:rPr>
            </w:pPr>
            <w:r>
              <w:rPr>
                <w:rFonts w:hint="eastAsia" w:ascii="宋体" w:hAnsi="宋体" w:eastAsia="宋体" w:cs="宋体"/>
                <w:color w:val="000000"/>
                <w:sz w:val="18"/>
                <w:szCs w:val="18"/>
              </w:rPr>
              <w:t>全县人口</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群众满意度测评</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问卷调查</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群众满意度测评</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机关服务对象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2"/>
              <w:rPr>
                <w:rFonts w:ascii="宋体" w:hAnsi="宋体" w:eastAsia="宋体" w:cs="宋体"/>
                <w:color w:val="000000"/>
                <w:sz w:val="18"/>
                <w:szCs w:val="18"/>
              </w:rPr>
            </w:pPr>
            <w:r>
              <w:rPr>
                <w:rFonts w:hint="eastAsia" w:ascii="宋体" w:hAnsi="宋体" w:eastAsia="宋体" w:cs="宋体"/>
                <w:color w:val="000000"/>
                <w:sz w:val="18"/>
                <w:szCs w:val="18"/>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5.县直机关党务干部和入党积极分子党性教育培训费绩效目标表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919" w:type="dxa"/>
        <w:tblInd w:w="96" w:type="dxa"/>
        <w:tblLayout w:type="autofit"/>
        <w:tblCellMar>
          <w:top w:w="0" w:type="dxa"/>
          <w:left w:w="108" w:type="dxa"/>
          <w:bottom w:w="0" w:type="dxa"/>
          <w:right w:w="108" w:type="dxa"/>
        </w:tblCellMar>
      </w:tblPr>
      <w:tblGrid>
        <w:gridCol w:w="1654"/>
        <w:gridCol w:w="1832"/>
        <w:gridCol w:w="1293"/>
        <w:gridCol w:w="3627"/>
        <w:gridCol w:w="1345"/>
        <w:gridCol w:w="1261"/>
        <w:gridCol w:w="1421"/>
        <w:gridCol w:w="2486"/>
      </w:tblGrid>
      <w:tr>
        <w:tblPrEx>
          <w:tblCellMar>
            <w:top w:w="0" w:type="dxa"/>
            <w:left w:w="108" w:type="dxa"/>
            <w:bottom w:w="0" w:type="dxa"/>
            <w:right w:w="108" w:type="dxa"/>
          </w:tblCellMar>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7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[13102522P00002710001R]</w:t>
            </w:r>
          </w:p>
        </w:tc>
        <w:tc>
          <w:tcPr>
            <w:tcW w:w="26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[286]中共大城县委县直机关工作委员会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8"/>
                <w:szCs w:val="18"/>
              </w:rPr>
              <w:t>[286001]大城县直属机关工作委员会本级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1万元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通过培训提升县直机关党务干部和入党积极分子工作能力</w:t>
            </w:r>
          </w:p>
        </w:tc>
      </w:tr>
      <w:tr>
        <w:tblPrEx>
          <w:tblCellMar>
            <w:top w:w="0" w:type="dxa"/>
            <w:left w:w="108" w:type="dxa"/>
            <w:bottom w:w="0" w:type="dxa"/>
            <w:right w:w="108" w:type="dxa"/>
          </w:tblCellMar>
        </w:tblPrEx>
        <w:trPr>
          <w:trHeight w:val="405" w:hRule="atLeast"/>
        </w:trPr>
        <w:tc>
          <w:tcPr>
            <w:tcW w:w="1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5"/>
                <w:szCs w:val="15"/>
              </w:rPr>
            </w:pPr>
            <w:r>
              <w:rPr>
                <w:rFonts w:hint="eastAsia" w:ascii="宋体" w:hAnsi="宋体" w:cs="宋体"/>
                <w:b/>
                <w:bCs/>
                <w:color w:val="000000"/>
                <w:kern w:val="0"/>
                <w:sz w:val="15"/>
                <w:szCs w:val="15"/>
              </w:rPr>
              <w:t>资金支出计划</w:t>
            </w:r>
          </w:p>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培训人数</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该项目培训人数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该项目经费资金支付率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年初预算</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培训质量</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依据支付时间</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时效指标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资金支付</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培训完成度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成本指标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经费支付完成率</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该项目经费的支付完成情况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万元</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工作计划</w:t>
            </w:r>
          </w:p>
        </w:tc>
      </w:tr>
      <w:tr>
        <w:tblPrEx>
          <w:tblCellMar>
            <w:top w:w="0" w:type="dxa"/>
            <w:left w:w="108" w:type="dxa"/>
            <w:bottom w:w="0" w:type="dxa"/>
            <w:right w:w="108" w:type="dxa"/>
          </w:tblCellMar>
        </w:tblPrEx>
        <w:trPr>
          <w:trHeight w:val="300" w:hRule="atLeast"/>
        </w:trPr>
        <w:tc>
          <w:tcPr>
            <w:tcW w:w="165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可持续影响指标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长效健全机制</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受益党务干部和积极分子人数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工作安排</w:t>
            </w:r>
          </w:p>
        </w:tc>
      </w:tr>
      <w:tr>
        <w:tblPrEx>
          <w:tblCellMar>
            <w:top w:w="0" w:type="dxa"/>
            <w:left w:w="108" w:type="dxa"/>
            <w:bottom w:w="0" w:type="dxa"/>
            <w:right w:w="108" w:type="dxa"/>
          </w:tblCellMar>
        </w:tblPrEx>
        <w:trPr>
          <w:trHeight w:val="300" w:hRule="atLeast"/>
        </w:trPr>
        <w:tc>
          <w:tcPr>
            <w:tcW w:w="165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5"/>
                <w:szCs w:val="15"/>
              </w:rPr>
            </w:pP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受益人数</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反映该项目机制情况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工作要求</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服务对象满意度指标</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满意度测评</w:t>
            </w:r>
          </w:p>
        </w:tc>
        <w:tc>
          <w:tcPr>
            <w:tcW w:w="3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参与培训人员满意度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2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widowControl/>
        <w:jc w:val="left"/>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ascii="仿宋" w:hAnsi="仿宋" w:eastAsia="仿宋" w:cs="仿宋"/>
          <w:color w:val="000000"/>
          <w:kern w:val="0"/>
          <w:sz w:val="31"/>
          <w:szCs w:val="31"/>
        </w:rPr>
        <w:t>202</w:t>
      </w:r>
      <w:r>
        <w:rPr>
          <w:rFonts w:hint="eastAsia" w:ascii="仿宋" w:hAnsi="仿宋" w:eastAsia="仿宋" w:cs="仿宋"/>
          <w:color w:val="000000"/>
          <w:kern w:val="0"/>
          <w:sz w:val="31"/>
          <w:szCs w:val="31"/>
        </w:rPr>
        <w:t>2</w:t>
      </w:r>
      <w:r>
        <w:rPr>
          <w:rFonts w:ascii="仿宋" w:hAnsi="仿宋" w:eastAsia="仿宋" w:cs="仿宋"/>
          <w:color w:val="000000"/>
          <w:kern w:val="0"/>
          <w:sz w:val="31"/>
          <w:szCs w:val="31"/>
        </w:rPr>
        <w:t xml:space="preserve"> 年，我部门没有安排政府采购内容</w:t>
      </w:r>
      <w:r>
        <w:rPr>
          <w:rFonts w:hint="eastAsia" w:ascii="仿宋" w:hAnsi="仿宋" w:eastAsia="仿宋" w:cs="仿宋"/>
          <w:color w:val="000000"/>
          <w:kern w:val="0"/>
          <w:sz w:val="31"/>
          <w:szCs w:val="31"/>
        </w:rPr>
        <w:t>。</w:t>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widowControl/>
        <w:spacing w:line="52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中共大城县委县直机关工作委员会上年末固定资产金额为8万元，详见下表。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中共大城县委县直机关工作委员会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中共大城县委县直机关工作委员会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F5013"/>
    <w:multiLevelType w:val="singleLevel"/>
    <w:tmpl w:val="9B0F5013"/>
    <w:lvl w:ilvl="0" w:tentative="0">
      <w:start w:val="5"/>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g4YmRkZWYxMmEyMjk4NWNhMTNmODEyZWRjNjQyMDMifQ=="/>
  </w:docVars>
  <w:rsids>
    <w:rsidRoot w:val="00D347CC"/>
    <w:rsid w:val="004A54AA"/>
    <w:rsid w:val="005B652D"/>
    <w:rsid w:val="00874E55"/>
    <w:rsid w:val="009457B7"/>
    <w:rsid w:val="00B80935"/>
    <w:rsid w:val="00D347CC"/>
    <w:rsid w:val="00D42CF0"/>
    <w:rsid w:val="01514167"/>
    <w:rsid w:val="02732F88"/>
    <w:rsid w:val="05C9102A"/>
    <w:rsid w:val="0C0209AA"/>
    <w:rsid w:val="194C0D5A"/>
    <w:rsid w:val="199F37FE"/>
    <w:rsid w:val="1E0C278A"/>
    <w:rsid w:val="2D7D6ED0"/>
    <w:rsid w:val="318D62AA"/>
    <w:rsid w:val="3F8A033F"/>
    <w:rsid w:val="422640CB"/>
    <w:rsid w:val="46E71798"/>
    <w:rsid w:val="4C3F541A"/>
    <w:rsid w:val="510528FF"/>
    <w:rsid w:val="55E73D2F"/>
    <w:rsid w:val="56334374"/>
    <w:rsid w:val="56860193"/>
    <w:rsid w:val="570B4419"/>
    <w:rsid w:val="5B3F50BC"/>
    <w:rsid w:val="5C33449F"/>
    <w:rsid w:val="5D421117"/>
    <w:rsid w:val="6094298D"/>
    <w:rsid w:val="63FC658A"/>
    <w:rsid w:val="644450D9"/>
    <w:rsid w:val="6A744C8A"/>
    <w:rsid w:val="6B5110F9"/>
    <w:rsid w:val="6D0D4676"/>
    <w:rsid w:val="6E3F33D9"/>
    <w:rsid w:val="730C06B7"/>
    <w:rsid w:val="74D0167A"/>
    <w:rsid w:val="758807E9"/>
    <w:rsid w:val="79451CCE"/>
    <w:rsid w:val="7A411B9B"/>
    <w:rsid w:val="7DBC10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jc w:val="lef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4929</Words>
  <Characters>5326</Characters>
  <Lines>45</Lines>
  <Paragraphs>12</Paragraphs>
  <TotalTime>5</TotalTime>
  <ScaleCrop>false</ScaleCrop>
  <LinksUpToDate>false</LinksUpToDate>
  <CharactersWithSpaces>5386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2022-06-20T09:35:47Z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93A1AEF744994F298329521680E4B226</vt:lpwstr>
  </property>
</Properties>
</file>