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  <w:t>大城县“真抓实干转作风、加快廊坊高质量发展”大讨论活动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6"/>
          <w:lang w:val="en-US" w:eastAsia="zh-CN"/>
        </w:rPr>
        <w:t>中共大城县委常委会意见建议征集表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CESI楷体-GB2312" w:hAnsi="CESI楷体-GB2312" w:eastAsia="CESI楷体-GB2312" w:cs="CESI楷体-GB2312"/>
          <w:b/>
          <w:bCs/>
          <w:spacing w:val="-2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CESI楷体-GB2312" w:hAnsi="CESI楷体-GB2312" w:eastAsia="CESI楷体-GB2312" w:cs="CESI楷体-GB2312"/>
          <w:b/>
          <w:bCs/>
          <w:spacing w:val="-2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CESI楷体-GB2312" w:hAnsi="CESI楷体-GB2312" w:eastAsia="CESI楷体-GB2312" w:cs="CESI楷体-GB2312"/>
          <w:b/>
          <w:bCs/>
          <w:spacing w:val="-2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CESI楷体-GB2312" w:hAnsi="CESI楷体-GB2312" w:eastAsia="CESI楷体-GB2312" w:cs="CESI楷体-GB2312"/>
          <w:b/>
          <w:bCs/>
          <w:spacing w:val="-2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4" w:firstLineChars="1500"/>
        <w:jc w:val="left"/>
        <w:textAlignment w:val="auto"/>
        <w:rPr>
          <w:rFonts w:hint="default" w:ascii="CESI楷体-GB2312" w:hAnsi="CESI楷体-GB2312" w:eastAsia="CESI楷体-GB2312" w:cs="CESI楷体-GB2312"/>
          <w:b/>
          <w:bCs/>
          <w:spacing w:val="0"/>
          <w:sz w:val="32"/>
          <w:u w:val="single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lang w:val="en-US" w:eastAsia="zh-CN"/>
        </w:rPr>
        <w:t>填写人：</w:t>
      </w:r>
      <w:r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u w:val="single"/>
          <w:lang w:val="en-US" w:eastAsia="zh-CN"/>
        </w:rPr>
        <w:t xml:space="preserve">           </w:t>
      </w:r>
      <w:r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u w:val="none"/>
          <w:lang w:val="en-US" w:eastAsia="zh-CN"/>
        </w:rPr>
        <w:t>职业：</w:t>
      </w:r>
      <w:r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4" w:firstLineChars="1500"/>
        <w:jc w:val="left"/>
        <w:textAlignment w:val="auto"/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u w:val="single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u w:val="none"/>
          <w:lang w:val="en-US" w:eastAsia="zh-CN"/>
        </w:rPr>
        <w:t>电  话：</w:t>
      </w:r>
      <w:r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4" w:firstLineChars="1500"/>
        <w:jc w:val="left"/>
        <w:textAlignment w:val="auto"/>
        <w:rPr>
          <w:rFonts w:hint="eastAsia" w:ascii="CESI楷体-GB2312" w:hAnsi="CESI楷体-GB2312" w:eastAsia="CESI楷体-GB2312" w:cs="CESI楷体-GB2312"/>
          <w:b/>
          <w:bCs/>
          <w:spacing w:val="0"/>
          <w:sz w:val="32"/>
          <w:u w:val="single"/>
          <w:lang w:val="en-US" w:eastAsia="zh-CN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" w:firstLineChars="200"/>
        <w:jc w:val="righ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sz w:val="24"/>
          <w:szCs w:val="24"/>
          <w:lang w:val="en-US" w:eastAsia="zh-CN"/>
        </w:rPr>
        <w:t>注：请在“是”、“否”或“一定程度存在”上划√。单项选择，多选无效</w:t>
      </w: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33"/>
        <w:gridCol w:w="8074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（一）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</w:t>
            </w:r>
            <w:bookmarkStart w:id="0" w:name="_GoBack"/>
            <w:bookmarkEnd w:id="0"/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发展方    面</w:t>
            </w:r>
          </w:p>
        </w:tc>
        <w:tc>
          <w:tcPr>
            <w:tcW w:w="8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在解放思想上，是否存在对国家政策研究不够、工作重点存在偏差等问题，是否存在勇于创新、勇于改革意识不强问题，是否存在站位不高、视野不宽和画地为牢、坐井观天、安于现状、因循守旧等问题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在创新驱动上，是否存在心气不高、能力不强、指导帮扶作用发挥不够、政策宣传不到位、企业知晓率低、氛围不浓等问题，是否存在企业创新动力不强、投入不够、人才匮乏等问题。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在协同创新上，是否存在办法不多、合力不强和人才引进不足、京津科技成果孵化、转化效果不明显等问题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在品牌+智能制造“双轮驱动”上，是否存在创新力度不大、政策不聚焦、龙头企业引领作用不强等问题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pStyle w:val="2"/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08"/>
        <w:gridCol w:w="7999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协调发展方    面</w:t>
            </w:r>
          </w:p>
        </w:tc>
        <w:tc>
          <w:tcPr>
            <w:tcW w:w="7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在协同发展上，是否存在定位不准、眼界不宽、思路不清、目标不明，工作魄力不够大、功能承接不到位、潜力挖掘不充分、承接北京外迁产业成果少、与雄安新区联动发展成效不明显等问题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在区域发展上，是否存在产业结构不合理、产业特色不鲜明、产业集群规模小、实体经济支撑不足、产业链不完整、优势没用好、发展不平衡等问题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在城乡发展上，是否存在对标京津意识不强、公共服务欠账明显、基础设施不够完善、对农村建设投入不足、城乡环境面貌差距大等问题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23"/>
        <w:gridCol w:w="7984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绿色发展方    面</w:t>
            </w: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在优化产业结构上，是否存在转型升级不快、对房地产依赖过重等问题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在培育新动能上，是否存在谋划长远不够、区域布局不优、新兴产业发展缓慢等问题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在绿色产业发展上，是否存在规模不大、层次不高支持力度不够、政策落实不到位等问题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在生态共建上，是否存在对接京津雄安不紧、政策接轨不够、污染防治不到位、联合执法力度小等问题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pStyle w:val="2"/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63"/>
        <w:gridCol w:w="8044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四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开放发展方    面</w:t>
            </w: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在开发区扩大开放上，是否存在园区平台不优、承载能力不强、招商力度不够大、不精准、大项目好项目不多、引资效果不明显等问题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在充分发挥“廊洽会”</w:t>
            </w: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“一带一路”·长城国际民间文化艺术节等平台作用上，是否存在后续跟进不够、签约项目不实等问题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在引进物流企业总部、打造物流基地品牌、培育壮大物流产业上，是否存在规划布局不合理、抢抓机遇不够、服务支持不足等问题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在优化营商环境上，是否存在帮办代办落实不到位、违反“宁静日”制度开展检查等问题，是否存在问题教训汲取不够、深化改革力度不大、惠企措施落实不力、追责问责措施不严等问题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38"/>
        <w:gridCol w:w="7969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五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共享发展方    面</w:t>
            </w: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在释放国家政策红利、增进民生福祉上，是否存在措施落实不到位、群众获得感不明显等问题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在推进社会治理现代化上，是否存在路径不明确、社会事业改革发展滞后等问题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在推进民生工程、补齐民生短板上，是否存在工作实效性不强、群众满意度不高等问题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在关注企业反映、回应群众诉求上，是否存在领导包联责任落实不到位、问题解决不及时甚至损害企业合法利益和漠视群众合法权益等问题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pStyle w:val="2"/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38"/>
        <w:gridCol w:w="7969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六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安全发展方    面</w:t>
            </w: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在高效统筹疫情防控和经济社会发展上，是否存在一手轻、一手重问题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在本地疫情防控和支持首都防疫上，是否存在认识不足、准备不够、处置不力等问题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在守好“三道防线”、抓好重大活动安保上，是否存在薄弱环节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在信访维稳、安全生产、社会治安上，是否存在风险隐患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78"/>
        <w:gridCol w:w="8029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七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工作机制方    面</w:t>
            </w:r>
          </w:p>
        </w:tc>
        <w:tc>
          <w:tcPr>
            <w:tcW w:w="8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在创新创业、产业发展、招商引资上，是否存在政策不完善、落实不到位等问题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在项目建设和指标提升上，是否存在督导落实不力、调度晾晒不够等问题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在发挥考核“指挥棒”作用上，是否存在指标设置不科学、结果运用不够好、奖惩激励不明显等问题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pStyle w:val="2"/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23"/>
        <w:gridCol w:w="7984"/>
        <w:gridCol w:w="785"/>
        <w:gridCol w:w="82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问 题 表 现</w:t>
            </w:r>
          </w:p>
        </w:tc>
        <w:tc>
          <w:tcPr>
            <w:tcW w:w="3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tblHeader/>
          <w:jc w:val="center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6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一定程度存在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八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干部作风方    面</w:t>
            </w: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在推进经济社会发展上，是否存在小进即满、小富即安和沾沾自喜、自我陶醉等问题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在思想状态上，是否存在萎靡懈怠、悲观侥幸、不思进取等问题，是否存在躺平观念，工作没有压力、没有动力、麻木不仁，缺少激情和热情等问题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在推动工作落实上，是否存在反复提醒不动、明确目标不干、限定时限不理等问题，是否存在争先意识不强，惯于当“太平官”和慵懒散漫、四平八稳、坐而论道等问题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在协调配合上，是否存在不愿牵头、拈轻怕重、沟通时抹不开面子、放不下架子、配合时推诿扯皮、打太极拳等问题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在坚持问题导向上，是否存在不想直面问题、不敢直面问题和查找不全面、分析不深入、解决不精准等问题，是否存在屡错屡改、屡改屡犯等问题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东文宋体" w:hAnsi="东文宋体" w:eastAsia="东文宋体" w:cs="东文宋体"/>
                <w:i w:val="0"/>
                <w:color w:val="000000"/>
                <w:sz w:val="21"/>
                <w:szCs w:val="21"/>
                <w:u w:val="none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其他问题：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cs="CESI仿宋-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改进建议：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OTIyZGY2YzAwYzZlYWI3ZDEwYTQ0Yzk4YTNlOGUifQ=="/>
  </w:docVars>
  <w:rsids>
    <w:rsidRoot w:val="2A6F12E2"/>
    <w:rsid w:val="2A6F12E2"/>
    <w:rsid w:val="7DF1B253"/>
    <w:rsid w:val="BD7B1BFD"/>
    <w:rsid w:val="F73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ind w:left="1600" w:leftChars="16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2022-06-14T17:49:00Z</dcterms:created>
  <dc:creator>理想广告</dc:creator>
  <cp:lastModifiedBy>uos</cp:lastModifiedBy>
  <dcterms:modified xsi:type="dcterms:W3CDTF">2022-06-14T18:10:05Z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DCD583E6DB0F4B91B8CB8B103469FF81</vt:lpwstr>
  </property>
</Properties>
</file>