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大城县河北大城经济开发区管理委员会202</w:t>
      </w:r>
      <w:r>
        <w:rPr>
          <w:rFonts w:hint="eastAsia" w:ascii="方正小标宋简体" w:eastAsia="方正小标宋简体" w:cs="方正小标宋简体"/>
          <w:sz w:val="44"/>
          <w:szCs w:val="44"/>
          <w:lang w:val="en-US" w:eastAsia="zh-CN"/>
        </w:rPr>
        <w:t>2</w:t>
      </w:r>
      <w:r>
        <w:rPr>
          <w:rFonts w:hint="eastAsia" w:ascii="方正小标宋简体" w:eastAsia="方正小标宋简体" w:cs="方正小标宋简体"/>
          <w:sz w:val="44"/>
          <w:szCs w:val="44"/>
        </w:rPr>
        <w:t>年部门</w:t>
      </w:r>
    </w:p>
    <w:p>
      <w:pPr>
        <w:spacing w:line="584" w:lineRule="exact"/>
        <w:ind w:firstLine="880" w:firstLineChars="200"/>
        <w:jc w:val="center"/>
        <w:rPr>
          <w:rFonts w:ascii="方正小标宋简体" w:eastAsia="方正小标宋简体" w:cs="方正小标宋简体"/>
          <w:sz w:val="44"/>
          <w:szCs w:val="44"/>
        </w:rPr>
      </w:pPr>
      <w:r>
        <w:rPr>
          <w:rFonts w:hint="eastAsia" w:ascii="方正小标宋简体" w:eastAsia="方正小标宋简体" w:cs="方正小标宋简体"/>
          <w:sz w:val="44"/>
          <w:szCs w:val="44"/>
        </w:rPr>
        <w:t>预算信息公开情况说明</w:t>
      </w:r>
    </w:p>
    <w:p>
      <w:pPr>
        <w:spacing w:line="584" w:lineRule="exact"/>
        <w:ind w:firstLine="880" w:firstLineChars="200"/>
        <w:jc w:val="center"/>
        <w:rPr>
          <w:rFonts w:ascii="Times New Roman" w:hAnsi="Times New Roman" w:eastAsia="仿宋_GB2312"/>
          <w:sz w:val="44"/>
          <w:szCs w:val="44"/>
        </w:rPr>
      </w:pP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w:t>
      </w:r>
      <w:r>
        <w:rPr>
          <w:rFonts w:hint="eastAsia" w:ascii="仿宋_GB2312" w:eastAsia="仿宋_GB2312" w:cs="仿宋_GB2312"/>
          <w:sz w:val="32"/>
          <w:szCs w:val="32"/>
        </w:rPr>
        <w:t>，现将河北大城经济开发区管理委员会202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年部门预算公开如下：</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一、部门职责及机构设置情况</w:t>
      </w:r>
    </w:p>
    <w:p>
      <w:pPr>
        <w:spacing w:line="580"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部门职责：</w:t>
      </w:r>
    </w:p>
    <w:p>
      <w:pPr>
        <w:spacing w:line="58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（一）中共河北大城经济开发区工委的主要职责：</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1、贯彻落实党的路线、方针、政策和县委的决议、指示，研究开发区经济和社会发展的重大问题。</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 xml:space="preserve">2、按照县委授权负责开发区内干部管理工作。           </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3、负责开发区内组织、宣传、党风廉政建设、武装、统战、工会、共青团、妇联和其他党务、群团工作。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4、组织协调开发区内政法、社会治安综合治理工作。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5、承办县委交办的其他事项。</w:t>
      </w:r>
    </w:p>
    <w:p>
      <w:pPr>
        <w:spacing w:line="540" w:lineRule="exact"/>
        <w:ind w:firstLine="643" w:firstLineChars="200"/>
        <w:rPr>
          <w:rFonts w:ascii="仿宋_GB2312" w:eastAsia="仿宋_GB2312" w:cs="仿宋_GB2312"/>
          <w:b/>
          <w:bCs/>
          <w:sz w:val="32"/>
          <w:szCs w:val="32"/>
        </w:rPr>
      </w:pPr>
      <w:r>
        <w:rPr>
          <w:rFonts w:hint="eastAsia" w:ascii="仿宋_GB2312" w:eastAsia="仿宋_GB2312" w:cs="仿宋_GB2312"/>
          <w:b/>
          <w:bCs/>
          <w:sz w:val="32"/>
          <w:szCs w:val="32"/>
        </w:rPr>
        <w:t>（二）河北大城经济开发区管委会主要职责：</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1、负责开发区经济社会发展规划和区域性城市发展规划的编制，经批准后组织实施。</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2、对固定资产投资项目进行审核或审批。</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3、负责开发区基础设施、公用设施的建设与管理。</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4、负责开发区内财政管理，实施区内财政预算、决算、国有资产管理和财政监督工作。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5、负责招商引资、进出口贸易和国内外经济技术合作工作。</w:t>
      </w:r>
    </w:p>
    <w:p>
      <w:pPr>
        <w:spacing w:line="58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6、负责开发区内企业管理、环境保护和安全生产监督管理及突发事件应急管理工作。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7、负责开发区人力资源、社会保障和机构编制管理工作。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8、负责协调开发区内上级有关派驻机构的工作。</w:t>
      </w:r>
    </w:p>
    <w:p>
      <w:pPr>
        <w:spacing w:line="540" w:lineRule="exact"/>
        <w:ind w:firstLine="640" w:firstLineChars="200"/>
        <w:rPr>
          <w:rFonts w:ascii="仿宋_GB2312" w:eastAsia="仿宋_GB2312" w:cs="仿宋_GB2312"/>
          <w:sz w:val="32"/>
          <w:szCs w:val="32"/>
        </w:rPr>
      </w:pPr>
      <w:r>
        <w:rPr>
          <w:rFonts w:hint="eastAsia" w:ascii="仿宋_GB2312" w:eastAsia="仿宋_GB2312" w:cs="仿宋_GB2312"/>
          <w:sz w:val="32"/>
          <w:szCs w:val="32"/>
        </w:rPr>
        <w:t>9、承办县政府交办的其他事项。</w:t>
      </w: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0" w:firstLineChars="200"/>
        <w:rPr>
          <w:rFonts w:ascii="黑体" w:eastAsia="黑体" w:cs="黑体"/>
          <w:sz w:val="32"/>
          <w:szCs w:val="32"/>
        </w:rPr>
      </w:pPr>
    </w:p>
    <w:p>
      <w:pPr>
        <w:ind w:firstLine="643" w:firstLineChars="200"/>
        <w:rPr>
          <w:rFonts w:ascii="Times New Roman" w:hAnsi="Times New Roman" w:eastAsia="仿宋"/>
          <w:color w:val="FF0000"/>
          <w:sz w:val="32"/>
          <w:szCs w:val="32"/>
        </w:rPr>
      </w:pPr>
      <w:r>
        <w:rPr>
          <w:rFonts w:ascii="Times New Roman" w:hAnsi="Times New Roman" w:eastAsia="楷体_GB2312"/>
          <w:b/>
          <w:sz w:val="32"/>
          <w:szCs w:val="32"/>
        </w:rPr>
        <w:t>机构设置：</w:t>
      </w:r>
    </w:p>
    <w:p>
      <w:pPr>
        <w:jc w:val="center"/>
        <w:outlineLvl w:val="0"/>
        <w:rPr>
          <w:rFonts w:ascii="仿宋_GB2312" w:eastAsia="仿宋_GB2312" w:cs="仿宋_GB2312"/>
          <w:b/>
          <w:bCs/>
          <w:sz w:val="32"/>
          <w:szCs w:val="24"/>
        </w:rPr>
      </w:pPr>
      <w:r>
        <w:rPr>
          <w:rFonts w:hint="eastAsia" w:ascii="仿宋_GB2312" w:eastAsia="仿宋_GB2312" w:cs="仿宋_GB2312"/>
          <w:b/>
          <w:bCs/>
          <w:sz w:val="32"/>
          <w:szCs w:val="24"/>
        </w:rPr>
        <w:t>部门机构设置情况</w:t>
      </w:r>
    </w:p>
    <w:tbl>
      <w:tblPr>
        <w:tblStyle w:val="6"/>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00" w:hRule="atLeast"/>
          <w:tblHeader/>
          <w:jc w:val="center"/>
        </w:trPr>
        <w:tc>
          <w:tcPr>
            <w:tcW w:w="4443"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单位名称</w:t>
            </w:r>
          </w:p>
        </w:tc>
        <w:tc>
          <w:tcPr>
            <w:tcW w:w="1134"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单位性质</w:t>
            </w:r>
          </w:p>
        </w:tc>
        <w:tc>
          <w:tcPr>
            <w:tcW w:w="1276"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单位规格</w:t>
            </w:r>
          </w:p>
        </w:tc>
        <w:tc>
          <w:tcPr>
            <w:tcW w:w="2902" w:type="dxa"/>
            <w:vMerge w:val="restart"/>
            <w:vAlign w:val="center"/>
          </w:tcPr>
          <w:p>
            <w:pPr>
              <w:spacing w:line="300" w:lineRule="exact"/>
              <w:jc w:val="center"/>
              <w:rPr>
                <w:rFonts w:ascii="Times New Roman" w:hAnsi="Times New Roman" w:eastAsia="方正书宋_GBK"/>
                <w:b/>
                <w:szCs w:val="24"/>
              </w:rPr>
            </w:pPr>
            <w:r>
              <w:rPr>
                <w:rFonts w:hint="eastAsia" w:ascii="Times New Roman" w:hAnsi="Times New Roman" w:eastAsia="方正书宋_GBK"/>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12" w:hRule="atLeast"/>
          <w:tblHeader/>
          <w:jc w:val="center"/>
        </w:trPr>
        <w:tc>
          <w:tcPr>
            <w:tcW w:w="4443" w:type="dxa"/>
            <w:vMerge w:val="continue"/>
            <w:vAlign w:val="center"/>
          </w:tcPr>
          <w:p/>
        </w:tc>
        <w:tc>
          <w:tcPr>
            <w:tcW w:w="1134" w:type="dxa"/>
            <w:vMerge w:val="continue"/>
            <w:vAlign w:val="center"/>
          </w:tcPr>
          <w:p/>
        </w:tc>
        <w:tc>
          <w:tcPr>
            <w:tcW w:w="1276" w:type="dxa"/>
            <w:vMerge w:val="continue"/>
            <w:vAlign w:val="center"/>
          </w:tcPr>
          <w:p/>
        </w:tc>
        <w:tc>
          <w:tcPr>
            <w:tcW w:w="2902" w:type="dxa"/>
            <w:vMerge w:val="continue"/>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党政综合办公室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45"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招商投资促进局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规划建设局</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现代制造业工业园管理办公室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新能源车产业园管理办公室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cs="宋体"/>
              </w:rPr>
            </w:pPr>
            <w:r>
              <w:rPr>
                <w:rFonts w:hint="eastAsia" w:ascii="仿宋" w:eastAsia="仿宋" w:cs="宋体"/>
              </w:rPr>
              <w:t>气雾剂产业园管理办公室</w:t>
            </w:r>
          </w:p>
        </w:tc>
        <w:tc>
          <w:tcPr>
            <w:tcW w:w="1134" w:type="dxa"/>
            <w:vAlign w:val="center"/>
          </w:tcPr>
          <w:p>
            <w:pPr>
              <w:spacing w:line="300" w:lineRule="exact"/>
              <w:jc w:val="center"/>
              <w:rPr>
                <w:rFonts w:ascii="仿宋" w:eastAsia="仿宋"/>
                <w:szCs w:val="24"/>
              </w:rPr>
            </w:pPr>
            <w:r>
              <w:rPr>
                <w:rFonts w:hint="eastAsia" w:ascii="仿宋" w:eastAsia="仿宋" w:cs="宋体"/>
              </w:rPr>
              <w:t>行政</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行政审批服务中心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vAlign w:val="center"/>
          </w:tcPr>
          <w:p>
            <w:pPr>
              <w:spacing w:line="300" w:lineRule="exact"/>
              <w:jc w:val="center"/>
              <w:rPr>
                <w:rFonts w:ascii="仿宋" w:eastAsia="仿宋"/>
                <w:szCs w:val="24"/>
              </w:rPr>
            </w:pPr>
            <w:r>
              <w:rPr>
                <w:rFonts w:ascii="仿宋" w:eastAsia="仿宋" w:cs="宋体"/>
                <w:szCs w:val="24"/>
              </w:rPr>
              <w:t>资产运营管理中心</w:t>
            </w:r>
          </w:p>
        </w:tc>
        <w:tc>
          <w:tcPr>
            <w:tcW w:w="1134" w:type="dxa"/>
            <w:vAlign w:val="center"/>
          </w:tcPr>
          <w:p>
            <w:pPr>
              <w:spacing w:line="300" w:lineRule="exact"/>
              <w:jc w:val="center"/>
              <w:rPr>
                <w:rFonts w:ascii="仿宋" w:eastAsia="仿宋"/>
                <w:szCs w:val="24"/>
              </w:rPr>
            </w:pPr>
            <w:r>
              <w:rPr>
                <w:rFonts w:ascii="仿宋" w:eastAsia="仿宋" w:cs="宋体"/>
                <w:szCs w:val="24"/>
              </w:rPr>
              <w:t>事业</w:t>
            </w:r>
          </w:p>
        </w:tc>
        <w:tc>
          <w:tcPr>
            <w:tcW w:w="1276" w:type="dxa"/>
            <w:vAlign w:val="center"/>
          </w:tcPr>
          <w:p>
            <w:pPr>
              <w:spacing w:line="300" w:lineRule="exact"/>
              <w:jc w:val="center"/>
              <w:rPr>
                <w:rFonts w:ascii="仿宋" w:eastAsia="仿宋"/>
                <w:szCs w:val="24"/>
              </w:rPr>
            </w:pPr>
            <w:r>
              <w:rPr>
                <w:rFonts w:ascii="仿宋" w:eastAsia="仿宋" w:cs="宋体"/>
                <w:szCs w:val="24"/>
              </w:rPr>
              <w:t>正科级</w:t>
            </w:r>
          </w:p>
        </w:tc>
        <w:tc>
          <w:tcPr>
            <w:tcW w:w="2902" w:type="dxa"/>
            <w:vAlign w:val="center"/>
          </w:tcPr>
          <w:p>
            <w:pPr>
              <w:spacing w:line="300" w:lineRule="exact"/>
              <w:jc w:val="center"/>
              <w:rPr>
                <w:rFonts w:ascii="仿宋" w:eastAsia="仿宋"/>
                <w:szCs w:val="24"/>
              </w:rPr>
            </w:pPr>
            <w:r>
              <w:rPr>
                <w:rFonts w:hint="eastAsia" w:ascii="仿宋" w:eastAsia="仿宋" w:cs="宋体"/>
              </w:rPr>
              <w:t>财政性资金基本保证</w:t>
            </w:r>
          </w:p>
        </w:tc>
      </w:tr>
    </w:tbl>
    <w:p>
      <w:pPr>
        <w:outlineLvl w:val="0"/>
        <w:rPr>
          <w:rFonts w:ascii="仿宋_GB2312" w:eastAsia="仿宋_GB2312" w:cs="仿宋_GB2312"/>
          <w:b/>
          <w:bCs/>
          <w:sz w:val="32"/>
          <w:szCs w:val="24"/>
        </w:rPr>
      </w:pP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二、部门预算安排的总体情况</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按照预算管理有关规定，目前我</w:t>
      </w:r>
      <w:r>
        <w:rPr>
          <w:rFonts w:hint="eastAsia" w:ascii="Times New Roman" w:hAnsi="Times New Roman" w:eastAsia="仿宋_GB2312"/>
          <w:sz w:val="32"/>
          <w:szCs w:val="32"/>
        </w:rPr>
        <w:t>县</w:t>
      </w:r>
      <w:r>
        <w:rPr>
          <w:rFonts w:ascii="Times New Roman" w:hAnsi="Times New Roman" w:eastAsia="仿宋_GB2312"/>
          <w:sz w:val="32"/>
          <w:szCs w:val="32"/>
        </w:rPr>
        <w:t>部门预算的编制实行综合预算制度，即全部收入和支出都反映在预算中。</w:t>
      </w:r>
      <w:r>
        <w:rPr>
          <w:rFonts w:hint="eastAsia" w:ascii="仿宋_GB2312" w:eastAsia="仿宋_GB2312" w:cs="仿宋_GB2312"/>
          <w:sz w:val="32"/>
          <w:szCs w:val="32"/>
        </w:rPr>
        <w:t>河北大城经济</w:t>
      </w:r>
      <w:r>
        <w:rPr>
          <w:rFonts w:hint="eastAsia" w:ascii="仿宋" w:eastAsia="仿宋" w:cs="仿宋_GB2312"/>
          <w:sz w:val="32"/>
          <w:szCs w:val="32"/>
        </w:rPr>
        <w:t>开发</w:t>
      </w:r>
      <w:r>
        <w:rPr>
          <w:rFonts w:hint="eastAsia" w:ascii="仿宋_GB2312" w:eastAsia="仿宋_GB2312" w:cs="仿宋_GB2312"/>
          <w:sz w:val="32"/>
          <w:szCs w:val="32"/>
        </w:rPr>
        <w:t>区管理委员会机关及所属事业单位</w:t>
      </w:r>
      <w:r>
        <w:rPr>
          <w:rFonts w:ascii="Times New Roman" w:hAnsi="Times New Roman" w:eastAsia="仿宋_GB2312"/>
          <w:sz w:val="32"/>
          <w:szCs w:val="32"/>
        </w:rPr>
        <w:t>的收支包含在部门预算中。</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1、收入说明</w:t>
      </w:r>
    </w:p>
    <w:p>
      <w:pPr>
        <w:spacing w:line="584" w:lineRule="exact"/>
        <w:ind w:firstLine="640"/>
        <w:rPr>
          <w:rFonts w:ascii="Times New Roman" w:hAnsi="Times New Roman" w:eastAsia="仿宋_GB2312"/>
          <w:sz w:val="32"/>
          <w:szCs w:val="32"/>
        </w:rPr>
      </w:pPr>
      <w:r>
        <w:rPr>
          <w:rFonts w:hint="eastAsia" w:ascii="仿宋_GB2312" w:eastAsia="仿宋_GB2312" w:cs="仿宋_GB2312"/>
          <w:sz w:val="32"/>
          <w:szCs w:val="32"/>
        </w:rPr>
        <w:t>反映本部门当年全部收入。202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年预算收入</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万元，其中：一般公共预算收入</w:t>
      </w:r>
      <w:r>
        <w:rPr>
          <w:rFonts w:hint="eastAsia" w:ascii="仿宋_GB2312" w:eastAsia="仿宋_GB2312" w:cs="仿宋_GB2312"/>
          <w:sz w:val="32"/>
          <w:szCs w:val="32"/>
          <w:lang w:val="en-US" w:eastAsia="zh-CN"/>
        </w:rPr>
        <w:t>904.91</w:t>
      </w:r>
      <w:r>
        <w:rPr>
          <w:rFonts w:hint="eastAsia" w:ascii="仿宋_GB2312" w:eastAsia="仿宋_GB2312" w:cs="仿宋_GB2312"/>
          <w:sz w:val="32"/>
          <w:szCs w:val="32"/>
        </w:rPr>
        <w:t>万元，基金预算收入</w:t>
      </w:r>
      <w:r>
        <w:rPr>
          <w:rFonts w:hint="eastAsia" w:ascii="仿宋_GB2312" w:eastAsia="仿宋_GB2312" w:cs="仿宋_GB2312"/>
          <w:sz w:val="32"/>
          <w:szCs w:val="32"/>
          <w:lang w:val="en-US" w:eastAsia="zh-CN"/>
        </w:rPr>
        <w:t>1860.06</w:t>
      </w:r>
      <w:r>
        <w:rPr>
          <w:rFonts w:hint="eastAsia" w:ascii="仿宋_GB2312" w:eastAsia="仿宋_GB2312" w:cs="仿宋_GB2312"/>
          <w:sz w:val="32"/>
          <w:szCs w:val="32"/>
        </w:rPr>
        <w:t>万元，财政专户核拨收入0万元，其他来源收入0万元</w:t>
      </w:r>
      <w:r>
        <w:rPr>
          <w:rFonts w:hint="eastAsia" w:ascii="仿宋_GB2312" w:eastAsia="仿宋_GB2312" w:cs="仿宋_GB2312"/>
          <w:sz w:val="32"/>
          <w:szCs w:val="32"/>
          <w:lang w:eastAsia="zh-CN"/>
        </w:rPr>
        <w:t>，上年结转</w:t>
      </w:r>
      <w:r>
        <w:rPr>
          <w:rFonts w:hint="eastAsia" w:ascii="仿宋_GB2312" w:eastAsia="仿宋_GB2312" w:cs="仿宋_GB2312"/>
          <w:sz w:val="32"/>
          <w:szCs w:val="32"/>
          <w:lang w:val="en-US" w:eastAsia="zh-CN"/>
        </w:rPr>
        <w:t>0万元</w:t>
      </w:r>
      <w:r>
        <w:rPr>
          <w:rFonts w:hint="eastAsia" w:ascii="仿宋_GB2312" w:eastAsia="仿宋_GB2312" w:cs="仿宋_GB2312"/>
          <w:sz w:val="32"/>
          <w:szCs w:val="32"/>
        </w:rPr>
        <w:t>。</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2、支出说明</w:t>
      </w:r>
    </w:p>
    <w:p>
      <w:pPr>
        <w:spacing w:line="584" w:lineRule="exact"/>
        <w:ind w:firstLine="640"/>
        <w:rPr>
          <w:rFonts w:ascii="仿宋_GB2312" w:eastAsia="仿宋_GB2312" w:cs="仿宋_GB2312"/>
          <w:sz w:val="32"/>
          <w:szCs w:val="32"/>
        </w:rPr>
      </w:pPr>
      <w:r>
        <w:rPr>
          <w:rFonts w:hint="eastAsia" w:ascii="仿宋_GB2312" w:eastAsia="仿宋_GB2312" w:cs="仿宋_GB2312"/>
          <w:sz w:val="32"/>
          <w:szCs w:val="32"/>
        </w:rPr>
        <w:t>收支预算总表支出栏、基本支出表、项目支出表按经济分类和支出功能分类科目编制，反映</w:t>
      </w:r>
      <w:r>
        <w:rPr>
          <w:rFonts w:hint="eastAsia" w:ascii="仿宋_GB2312" w:eastAsia="仿宋_GB2312" w:cs="仿宋_GB2312"/>
          <w:sz w:val="32"/>
          <w:szCs w:val="32"/>
          <w:lang w:eastAsia="zh-CN"/>
        </w:rPr>
        <w:t>我单位</w:t>
      </w:r>
      <w:r>
        <w:rPr>
          <w:rFonts w:hint="eastAsia" w:ascii="仿宋_GB2312" w:eastAsia="仿宋_GB2312" w:cs="仿宋_GB2312"/>
          <w:sz w:val="32"/>
          <w:szCs w:val="32"/>
          <w:lang w:val="en-US" w:eastAsia="zh-CN"/>
        </w:rPr>
        <w:t>2022</w:t>
      </w:r>
      <w:r>
        <w:rPr>
          <w:rFonts w:hint="eastAsia" w:ascii="仿宋_GB2312" w:eastAsia="仿宋_GB2312" w:cs="仿宋_GB2312"/>
          <w:sz w:val="32"/>
          <w:szCs w:val="32"/>
        </w:rPr>
        <w:t>年度部门预算中支出预算的总体情况。202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年支出预算</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903.71</w:t>
      </w:r>
      <w:r>
        <w:rPr>
          <w:rFonts w:hint="eastAsia" w:ascii="仿宋_GB2312" w:eastAsia="仿宋_GB2312" w:cs="仿宋_GB2312"/>
          <w:sz w:val="32"/>
          <w:szCs w:val="32"/>
        </w:rPr>
        <w:t>万元，包括人员</w:t>
      </w:r>
      <w:r>
        <w:rPr>
          <w:rFonts w:hint="eastAsia" w:ascii="仿宋_GB2312" w:eastAsia="仿宋_GB2312" w:cs="仿宋_GB2312"/>
          <w:sz w:val="32"/>
          <w:szCs w:val="32"/>
          <w:lang w:eastAsia="zh-CN"/>
        </w:rPr>
        <w:t>类项目经费</w:t>
      </w:r>
      <w:r>
        <w:rPr>
          <w:rFonts w:hint="eastAsia" w:ascii="仿宋_GB2312" w:eastAsia="仿宋_GB2312" w:cs="仿宋_GB2312"/>
          <w:sz w:val="32"/>
          <w:szCs w:val="32"/>
          <w:lang w:val="en-US" w:eastAsia="zh-CN"/>
        </w:rPr>
        <w:t>708.91</w:t>
      </w:r>
      <w:r>
        <w:rPr>
          <w:rFonts w:hint="eastAsia" w:ascii="仿宋_GB2312" w:eastAsia="仿宋_GB2312" w:cs="仿宋_GB2312"/>
          <w:sz w:val="32"/>
          <w:szCs w:val="32"/>
        </w:rPr>
        <w:t>万元和</w:t>
      </w:r>
      <w:r>
        <w:rPr>
          <w:rFonts w:hint="eastAsia" w:ascii="仿宋_GB2312" w:eastAsia="仿宋_GB2312" w:cs="仿宋_GB2312"/>
          <w:sz w:val="32"/>
          <w:szCs w:val="32"/>
          <w:lang w:eastAsia="zh-CN"/>
        </w:rPr>
        <w:t>运转类</w:t>
      </w:r>
      <w:r>
        <w:rPr>
          <w:rFonts w:hint="eastAsia" w:ascii="仿宋_GB2312" w:eastAsia="仿宋_GB2312" w:cs="仿宋_GB2312"/>
          <w:sz w:val="32"/>
          <w:szCs w:val="32"/>
        </w:rPr>
        <w:t>公用经费</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w:t>
      </w:r>
      <w:r>
        <w:rPr>
          <w:rFonts w:hint="eastAsia" w:ascii="仿宋_GB2312" w:eastAsia="仿宋_GB2312" w:cs="仿宋_GB2312"/>
          <w:sz w:val="32"/>
          <w:szCs w:val="32"/>
          <w:lang w:eastAsia="zh-CN"/>
        </w:rPr>
        <w:t>运转类其他及特定目标类</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1861.26</w:t>
      </w:r>
      <w:r>
        <w:rPr>
          <w:rFonts w:hint="eastAsia" w:ascii="仿宋_GB2312" w:eastAsia="仿宋_GB2312" w:cs="仿宋_GB2312"/>
          <w:sz w:val="32"/>
          <w:szCs w:val="32"/>
        </w:rPr>
        <w:t>万元，全部为本级支出，主要为招商经费、信访维稳经费、安监经费、征地资金、流转资金、农村环境整治经费等项目支出。</w:t>
      </w:r>
    </w:p>
    <w:p>
      <w:pPr>
        <w:spacing w:line="584" w:lineRule="exact"/>
        <w:ind w:firstLine="640"/>
        <w:rPr>
          <w:rFonts w:ascii="Times New Roman" w:hAnsi="Times New Roman" w:eastAsia="仿宋_GB2312"/>
          <w:b/>
          <w:sz w:val="32"/>
          <w:szCs w:val="32"/>
        </w:rPr>
      </w:pPr>
      <w:r>
        <w:rPr>
          <w:rFonts w:ascii="Times New Roman" w:hAnsi="Times New Roman" w:eastAsia="仿宋_GB2312"/>
          <w:b/>
          <w:sz w:val="32"/>
          <w:szCs w:val="32"/>
        </w:rPr>
        <w:t>3、比上年增减情况</w:t>
      </w:r>
    </w:p>
    <w:p>
      <w:pPr>
        <w:rPr>
          <w:rFonts w:ascii="仿宋_GB2312" w:eastAsia="仿宋_GB2312" w:cs="仿宋_GB2312"/>
          <w:sz w:val="32"/>
          <w:szCs w:val="32"/>
        </w:rPr>
      </w:pPr>
      <w:r>
        <w:rPr>
          <w:rFonts w:hint="eastAsia" w:ascii="仿宋_GB2312" w:eastAsia="仿宋_GB2312" w:cs="仿宋_GB2312"/>
          <w:sz w:val="32"/>
          <w:szCs w:val="32"/>
          <w:lang w:val="en-US" w:eastAsia="zh-CN"/>
        </w:rPr>
        <w:t xml:space="preserve">    </w:t>
      </w: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年预算收支安排</w:t>
      </w:r>
      <w:r>
        <w:rPr>
          <w:rFonts w:hint="eastAsia" w:ascii="仿宋_GB2312" w:eastAsia="仿宋_GB2312" w:cs="仿宋_GB2312"/>
          <w:bCs/>
          <w:sz w:val="32"/>
          <w:szCs w:val="32"/>
          <w:lang w:val="en-US" w:eastAsia="zh-CN"/>
        </w:rPr>
        <w:t>2764.97</w:t>
      </w:r>
      <w:r>
        <w:rPr>
          <w:rFonts w:hint="eastAsia" w:ascii="仿宋_GB2312" w:eastAsia="仿宋_GB2312" w:cs="仿宋_GB2312"/>
          <w:sz w:val="32"/>
          <w:szCs w:val="32"/>
        </w:rPr>
        <w:t>万元，较20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年预算</w:t>
      </w:r>
      <w:r>
        <w:rPr>
          <w:rFonts w:hint="eastAsia" w:ascii="仿宋_GB2312" w:eastAsia="仿宋_GB2312" w:cs="仿宋_GB2312"/>
          <w:sz w:val="32"/>
          <w:szCs w:val="32"/>
          <w:lang w:val="en-US" w:eastAsia="zh-CN"/>
        </w:rPr>
        <w:t>减少5137</w:t>
      </w:r>
      <w:r>
        <w:rPr>
          <w:rFonts w:hint="eastAsia" w:ascii="仿宋_GB2312" w:eastAsia="仿宋_GB2312" w:cs="仿宋_GB2312"/>
          <w:sz w:val="32"/>
          <w:szCs w:val="32"/>
        </w:rPr>
        <w:t>万元，其中：基本支出</w:t>
      </w:r>
      <w:r>
        <w:rPr>
          <w:rFonts w:hint="eastAsia" w:ascii="仿宋_GB2312" w:eastAsia="仿宋_GB2312" w:cs="仿宋_GB2312"/>
          <w:sz w:val="32"/>
          <w:szCs w:val="32"/>
          <w:lang w:val="en-US" w:eastAsia="zh-CN"/>
        </w:rPr>
        <w:t>减少21.38</w:t>
      </w:r>
      <w:r>
        <w:rPr>
          <w:rFonts w:hint="eastAsia" w:ascii="仿宋_GB2312" w:eastAsia="仿宋_GB2312" w:cs="仿宋_GB2312"/>
          <w:sz w:val="32"/>
          <w:szCs w:val="32"/>
        </w:rPr>
        <w:t>万元，主要为人员经费支出</w:t>
      </w:r>
      <w:r>
        <w:rPr>
          <w:rFonts w:hint="eastAsia" w:ascii="仿宋_GB2312" w:eastAsia="仿宋_GB2312" w:cs="仿宋_GB2312"/>
          <w:sz w:val="32"/>
          <w:szCs w:val="32"/>
          <w:lang w:eastAsia="zh-CN"/>
        </w:rPr>
        <w:t>和</w:t>
      </w:r>
      <w:r>
        <w:rPr>
          <w:rFonts w:hint="eastAsia" w:ascii="仿宋_GB2312" w:eastAsia="仿宋_GB2312" w:cs="仿宋_GB2312"/>
          <w:sz w:val="32"/>
          <w:szCs w:val="32"/>
        </w:rPr>
        <w:t>日常公用</w:t>
      </w:r>
      <w:r>
        <w:rPr>
          <w:rFonts w:hint="eastAsia" w:ascii="仿宋_GB2312" w:eastAsia="仿宋_GB2312" w:cs="仿宋_GB2312"/>
          <w:sz w:val="32"/>
          <w:szCs w:val="32"/>
          <w:lang w:eastAsia="zh-CN"/>
        </w:rPr>
        <w:t>支出</w:t>
      </w:r>
      <w:r>
        <w:rPr>
          <w:rFonts w:hint="eastAsia" w:ascii="仿宋_GB2312" w:eastAsia="仿宋_GB2312" w:cs="仿宋_GB2312"/>
          <w:sz w:val="32"/>
          <w:szCs w:val="32"/>
        </w:rPr>
        <w:t>；项目支出</w:t>
      </w:r>
      <w:r>
        <w:rPr>
          <w:rFonts w:hint="eastAsia" w:ascii="仿宋_GB2312" w:eastAsia="仿宋_GB2312" w:cs="仿宋_GB2312"/>
          <w:sz w:val="32"/>
          <w:szCs w:val="32"/>
          <w:lang w:val="en-US" w:eastAsia="zh-CN"/>
        </w:rPr>
        <w:t>减少5158.38</w:t>
      </w:r>
      <w:r>
        <w:rPr>
          <w:rFonts w:hint="eastAsia" w:ascii="仿宋_GB2312" w:eastAsia="仿宋_GB2312" w:cs="仿宋_GB2312"/>
          <w:sz w:val="32"/>
          <w:szCs w:val="32"/>
        </w:rPr>
        <w:t>万元，主要为</w:t>
      </w:r>
      <w:r>
        <w:rPr>
          <w:rFonts w:hint="eastAsia" w:ascii="仿宋_GB2312" w:eastAsia="仿宋_GB2312" w:cs="仿宋_GB2312"/>
          <w:sz w:val="32"/>
          <w:szCs w:val="32"/>
          <w:lang w:val="en-US" w:eastAsia="zh-CN"/>
        </w:rPr>
        <w:t>土地流转资金支出和偿还市政二公司工支出及招商中心租金支出。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三、机关运行经费安排情况</w:t>
      </w:r>
    </w:p>
    <w:p>
      <w:pPr>
        <w:autoSpaceDE w:val="0"/>
        <w:autoSpaceDN w:val="0"/>
        <w:adjustRightInd w:val="0"/>
        <w:spacing w:line="580" w:lineRule="exact"/>
        <w:ind w:firstLine="640" w:firstLineChars="200"/>
        <w:jc w:val="left"/>
        <w:rPr>
          <w:rFonts w:ascii="仿宋_GB2312" w:eastAsia="仿宋_GB2312" w:cs="仿宋_GB2312"/>
          <w:sz w:val="32"/>
          <w:szCs w:val="32"/>
        </w:rPr>
      </w:pPr>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年，我部门机关运行经费共计安排</w:t>
      </w:r>
      <w:r>
        <w:rPr>
          <w:rFonts w:hint="eastAsia" w:ascii="仿宋_GB2312" w:eastAsia="仿宋_GB2312" w:cs="仿宋_GB2312"/>
          <w:sz w:val="32"/>
          <w:szCs w:val="32"/>
          <w:lang w:val="en-US" w:eastAsia="zh-CN"/>
        </w:rPr>
        <w:t>194.81</w:t>
      </w:r>
      <w:r>
        <w:rPr>
          <w:rFonts w:hint="eastAsia" w:ascii="仿宋_GB2312" w:eastAsia="仿宋_GB2312" w:cs="仿宋_GB2312"/>
          <w:sz w:val="32"/>
          <w:szCs w:val="32"/>
        </w:rPr>
        <w:t>万元，主要用于我部门</w:t>
      </w:r>
      <w:r>
        <w:rPr>
          <w:rFonts w:hint="eastAsia" w:ascii="仿宋_GB2312" w:eastAsia="仿宋_GB2312" w:cs="仿宋_GB2312"/>
          <w:sz w:val="32"/>
          <w:szCs w:val="32"/>
          <w:lang w:eastAsia="zh-CN"/>
        </w:rPr>
        <w:t>办公区</w:t>
      </w:r>
      <w:r>
        <w:rPr>
          <w:rFonts w:hint="eastAsia" w:ascii="仿宋_GB2312" w:eastAsia="仿宋_GB2312" w:cs="仿宋_GB2312"/>
          <w:sz w:val="32"/>
          <w:szCs w:val="32"/>
        </w:rPr>
        <w:t>的日常维修、</w:t>
      </w:r>
      <w:r>
        <w:rPr>
          <w:rFonts w:hint="eastAsia" w:ascii="仿宋_GB2312" w:eastAsia="仿宋_GB2312" w:cs="仿宋_GB2312"/>
          <w:sz w:val="32"/>
          <w:szCs w:val="32"/>
          <w:lang w:eastAsia="zh-CN"/>
        </w:rPr>
        <w:t>办公用房水电费、</w:t>
      </w:r>
      <w:r>
        <w:rPr>
          <w:rFonts w:hint="eastAsia" w:ascii="仿宋_GB2312" w:eastAsia="仿宋_GB2312" w:cs="仿宋_GB2312"/>
          <w:sz w:val="32"/>
          <w:szCs w:val="32"/>
        </w:rPr>
        <w:t>办公用房</w:t>
      </w:r>
      <w:r>
        <w:rPr>
          <w:rFonts w:hint="eastAsia" w:ascii="仿宋_GB2312" w:eastAsia="仿宋_GB2312" w:cs="仿宋_GB2312"/>
          <w:sz w:val="32"/>
          <w:szCs w:val="32"/>
          <w:lang w:eastAsia="zh-CN"/>
        </w:rPr>
        <w:t>取暖费</w:t>
      </w:r>
      <w:r>
        <w:rPr>
          <w:rFonts w:hint="eastAsia" w:ascii="仿宋_GB2312" w:eastAsia="仿宋_GB2312" w:cs="仿宋_GB2312"/>
          <w:sz w:val="32"/>
          <w:szCs w:val="32"/>
        </w:rPr>
        <w:t>、</w:t>
      </w:r>
      <w:r>
        <w:rPr>
          <w:rFonts w:hint="eastAsia" w:ascii="仿宋_GB2312" w:eastAsia="仿宋_GB2312" w:cs="仿宋_GB2312"/>
          <w:sz w:val="32"/>
          <w:szCs w:val="32"/>
          <w:lang w:eastAsia="zh-CN"/>
        </w:rPr>
        <w:t>办公用房物业管理费</w:t>
      </w:r>
      <w:r>
        <w:rPr>
          <w:rFonts w:hint="eastAsia" w:ascii="仿宋_GB2312" w:eastAsia="仿宋_GB2312" w:cs="仿宋_GB2312"/>
          <w:sz w:val="32"/>
          <w:szCs w:val="32"/>
        </w:rPr>
        <w:t>等日常运行支出。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四、财政拨款“三公”经费预算情况及增减变化原因</w:t>
      </w:r>
    </w:p>
    <w:p>
      <w:pPr>
        <w:autoSpaceDE w:val="0"/>
        <w:autoSpaceDN w:val="0"/>
        <w:adjustRightInd w:val="0"/>
        <w:spacing w:line="580" w:lineRule="exact"/>
        <w:ind w:firstLine="640" w:firstLineChars="200"/>
        <w:jc w:val="left"/>
        <w:rPr>
          <w:rFonts w:ascii="仿宋_GB2312" w:eastAsia="仿宋_GB2312" w:cs="仿宋_GB2312"/>
          <w:sz w:val="32"/>
          <w:szCs w:val="32"/>
        </w:rPr>
      </w:pPr>
      <w:bookmarkStart w:id="0" w:name="_Toc471398463"/>
      <w:r>
        <w:rPr>
          <w:rFonts w:hint="eastAsia"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年，我部门财政拨款“三公”经费预算安排</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万元。其中，因公出国（境）费0万元；公务用车购置及运维费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万元（其中：公务用车购置费为0万元，公务用车运维费</w:t>
      </w:r>
      <w:r>
        <w:rPr>
          <w:rFonts w:hint="eastAsia" w:ascii="仿宋_GB2312" w:eastAsia="仿宋_GB2312" w:cs="仿宋_GB2312"/>
          <w:sz w:val="32"/>
          <w:szCs w:val="32"/>
          <w:lang w:val="en-US" w:eastAsia="zh-CN"/>
        </w:rPr>
        <w:t>9</w:t>
      </w:r>
      <w:r>
        <w:rPr>
          <w:rFonts w:hint="eastAsia" w:ascii="仿宋_GB2312" w:eastAsia="仿宋_GB2312" w:cs="仿宋_GB2312"/>
          <w:sz w:val="32"/>
          <w:szCs w:val="32"/>
        </w:rPr>
        <w:t>万元)；公务接待费0万元。与20</w:t>
      </w:r>
      <w:r>
        <w:rPr>
          <w:rFonts w:hint="eastAsia" w:ascii="仿宋_GB2312" w:eastAsia="仿宋_GB2312" w:cs="仿宋_GB2312"/>
          <w:sz w:val="32"/>
          <w:szCs w:val="32"/>
          <w:lang w:val="en-US" w:eastAsia="zh-CN"/>
        </w:rPr>
        <w:t>21</w:t>
      </w:r>
      <w:r>
        <w:rPr>
          <w:rFonts w:hint="eastAsia" w:ascii="仿宋_GB2312" w:eastAsia="仿宋_GB2312" w:cs="仿宋_GB2312"/>
          <w:sz w:val="32"/>
          <w:szCs w:val="32"/>
        </w:rPr>
        <w:t>年相比持平，无增减变化。</w:t>
      </w:r>
    </w:p>
    <w:p>
      <w:pPr>
        <w:spacing w:line="584" w:lineRule="exact"/>
        <w:ind w:firstLine="640" w:firstLineChars="200"/>
        <w:rPr>
          <w:rFonts w:ascii="Times New Roman" w:hAnsi="Times New Roman" w:eastAsia="黑体"/>
          <w:sz w:val="32"/>
          <w:szCs w:val="32"/>
        </w:rPr>
      </w:pPr>
      <w:r>
        <w:rPr>
          <w:rFonts w:ascii="Times New Roman" w:hAnsi="Times New Roman" w:eastAsia="黑体"/>
          <w:sz w:val="32"/>
          <w:szCs w:val="32"/>
        </w:rPr>
        <w:t>五、绩效预算信息</w:t>
      </w:r>
    </w:p>
    <w:p>
      <w:pPr>
        <w:spacing w:line="584" w:lineRule="exact"/>
        <w:ind w:firstLine="640" w:firstLineChars="200"/>
        <w:rPr>
          <w:rFonts w:ascii="Times New Roman" w:hAnsi="Times New Roman" w:eastAsia="黑体"/>
          <w:sz w:val="32"/>
          <w:szCs w:val="32"/>
        </w:rPr>
      </w:pPr>
      <w:r>
        <w:rPr>
          <w:rFonts w:hint="eastAsia" w:ascii="Times New Roman" w:hAnsi="Times New Roman" w:eastAsia="黑体"/>
          <w:sz w:val="32"/>
          <w:szCs w:val="32"/>
        </w:rPr>
        <w:t>第一部分 部门整体绩效目标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（一）总体绩效目标</w:t>
      </w:r>
    </w:p>
    <w:p>
      <w:pPr>
        <w:pStyle w:val="9"/>
        <w:widowControl w:val="0"/>
        <w:ind w:firstLine="640" w:firstLineChars="200"/>
        <w:jc w:val="both"/>
        <w:rPr>
          <w:rFonts w:ascii="仿宋_GB2312" w:eastAsia="仿宋_GB2312" w:cs="仿宋_GB2312"/>
          <w:sz w:val="32"/>
          <w:szCs w:val="32"/>
        </w:rPr>
      </w:pPr>
      <w:r>
        <w:rPr>
          <w:rFonts w:ascii="仿宋_GB2312" w:eastAsia="仿宋_GB2312" w:cs="仿宋_GB2312"/>
          <w:sz w:val="32"/>
          <w:szCs w:val="32"/>
        </w:rPr>
        <w:t>202</w:t>
      </w:r>
      <w:r>
        <w:rPr>
          <w:rFonts w:hint="eastAsia" w:ascii="仿宋_GB2312" w:eastAsia="仿宋_GB2312" w:cs="仿宋_GB2312"/>
          <w:sz w:val="32"/>
          <w:szCs w:val="32"/>
          <w:lang w:val="en-US" w:eastAsia="zh-CN"/>
        </w:rPr>
        <w:t>2</w:t>
      </w:r>
      <w:r>
        <w:rPr>
          <w:rFonts w:hint="eastAsia" w:ascii="仿宋_GB2312" w:eastAsia="仿宋_GB2312" w:cs="仿宋_GB2312"/>
          <w:sz w:val="32"/>
          <w:szCs w:val="32"/>
        </w:rPr>
        <w:t>年，是实现中国共产党成立一百年时全面建成小康社会奋斗目标的关键时间节点。河北大城经济开发区管理委员会将全面贯彻党的十九大和十九届二中、三中、四中全会精神，牢固树立“四个意识”，坚定“四个自信”，坚决落实“两个维护”，深入贯彻落实中央和省、市、县各项决策部署，进一步坚定信心、振奋精神，苦干实干、奋勇争先，牢牢把握建设“经济强县、大美大城”目标任务，统筹推进经济发展、生态环境整治、精准扶贫、乡村振兴等重点工作建设，凝心聚力，开拓创新，努力进取，促进全镇经济社会发展呈良好态势，打造和谐、绿色、宜居的美丽乡村，实现全镇人民安居乐业。</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（二）分项绩效目标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1.2022年度新能源车污水处理厂项目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更好发展园区经济，本工程主要建设污水处理厂一座和配套管网，解决东阜村、阜草村、付庄村3个村的生活污水处理问题。污水处理厂建设规模2000立方米，生活污水处理后，水质达到河北省《农村生活污水排放标准》中的一级A标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绩效指标：目标内容1该项目年度绩效目标为项目总投资金额≤3061.55万元，污水处理厂规模≥2000平方米，污水处理合格率≥100，资金拨付率及资金拨付及时率达到100%，受益人群达到2万人，群众满意度≥95%。 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2.2022年空气监测站租金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绩效目标：为空气自动监测站能够应用自动测量技术以及传感技术等多种技术,为政府制定大气污染治理方案提供参考数据与执行依据，从而改善生存环境，减少大气污染给人们带来的健康危害。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绩效指标：目依照工作需要，及时拨付空气检测站租金，租金成本小于等于3万元，租金拨付及时率达到100%，影响年限大于等于1年，群众满意度达到95%以上。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3.2022年工业区给水管道工程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4.2022年控制性详规动态调整</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为保障项目实施，针对用地、道路交通及市政基础设施线路等进行局部调整论证报告及修改方案编制等内容。更好的完善园区基础设施为区域发展和入园企业提供服务，为企业到大城投资项目落地提供了必要条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绩效指标：目标内容1本项目气雾剂产业园为2021年为保障项目实施，针对用地、道路交通及市政基础设施线路等进行局部调整论证报告及修改方案编制，达到编制规划合格率100%，按合同约定的工期和成本完成。 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5.2022年企业服务费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绩效目标：大城经济开发区企业服务经费项目，能够进一步完善大城县经济开发区对企业的整体服务能力，提升大城县开发区的形象，对招商引资，提升园区整实力具有重大意义。</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绩效指标：目标内容1通过实施大城经济开发区企业服务经费项目，达到为辖区内20余家企业和外来准备投资的企业进行服务，实现大城县经济开发区内企业满意度90%以上的年度绩效目标。</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6.2022年大城县经济开发区管理委员会中源路东侧施工涉及传输局线路改造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绩效目标：本项目资金用于大城县经济开发区管理委员会辖区内中源路东侧施工涉及传输局线路改造项目工作。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绩效指标：目标内容1通过项目的开展，完成对大城县经济开发区中源路东侧坑塘水池的测绘工作，要求在预算资金内完成对该项工作的执行，保障在规定的时间和资金范围内对坑塘面积及状况精准掌握。</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7.2022年大招商中心租金</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绩效目标：大城经济开发区管理委员会大城经济开发区管理委员会招商中心租金项目是用于大城县现代制造业工业元富民大街1号招商中心、商务会馆、7269.7平米房租。,保证我园区招商引资工作的正常运转。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绩效指标：目标内容1该项目的绩效目标是通过项目的主要是支付7269.7平米办公地点房租，确保我单位正常运行，预计受益人数74人，满意度90%以上。     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8.2022年中源路东侧施工涉及电力设施改造</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绩效指标：目标内容1该项目年度绩效目标为中源路北段污水管网长度700米，编制成果质量达标率100%，资金支付及时率达到100%，费用总成本≤85万元，受益人群5000人以上，群众满意度达到95%以上。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9.2022年留各庄绝热节能材料产业园规划环评编制</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留各庄绝热节能材料产业园规划环评编制第三次拨款项目于2019年立项，已完成招投标，2019年已支付前期资金40万元，2020年已支付前期资金40万元，2021年需支付项目尾款15万元，2022年需支付50万元，规划环评编制完成后，企业落户将得到有效保障。</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10.2022年阜草干渠污水处理厂运营经费。</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绩效目标：依据合同完成运营经费拨付，确保阜草干渠污水处理厂正常运转，解决阜草干渠污水处理。</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拨付尾款资金31.5万元，资金支付率等于100%，资金拨付及时率等于100%，合同完成率100%，项目2020年12月份完工收益群众2万人，受益人及园区工作小组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11.2022年创新研发去给水管道</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创新研发区到大城县南水北调水厂给水主管道工程，根据工作实际，气雾剂产业园负责实施气雾剂产业园创新研发区到县南水北调水厂给水主管道工程，该工程完成后可解决创新研发区目前正在建设中的住宅项目供水问题。</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给水主管道管道长度大于等于3087米，项目成本控制在25万元以内，资金支付率及资金支付及时率达到100%，受益人群2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12.2022年福州街前期费用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绩效指标：目标内容1该项目年度绩效目标为现代园福州街道路设计费小于等于3万元，资金支付率及资金支付及时率达到100%，受益人群2万人以上，群众满意度达到95%以上  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13.2022年气雾剂产业园小型污水处理站尾款，运维及设备采购资金 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绩效目标：按照要求，及时完成污水处理站建设任务，确保污水处理站正常投入使用。</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绩效指标：目标内容1该项目年度绩效目标为及时完成污水处理站建设，支付污水处理站项目尾款及运维20万元，资金支付率及资金支付及时率达到100%，受益人群1万人以上，群众满意度达到95%以上。 </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14.2022年撤退路南给水工程建设费  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绩效目标：通过开展本项目，为撤退路南给水两侧企业提供出行需求，满足企业落户需求.</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绩效指标：目标内容1该项目年度绩效目标为及时完成</w:t>
      </w:r>
      <w:r>
        <w:rPr>
          <w:rFonts w:hint="eastAsia" w:ascii="仿宋" w:eastAsia="仿宋" w:cs="仿宋"/>
          <w:color w:val="000000"/>
          <w:kern w:val="0"/>
          <w:sz w:val="32"/>
          <w:szCs w:val="32"/>
          <w:lang w:val="en-US" w:eastAsia="zh-CN" w:bidi="zh-CN"/>
        </w:rPr>
        <w:t>该项目</w:t>
      </w:r>
      <w:r>
        <w:rPr>
          <w:rFonts w:hint="eastAsia" w:ascii="仿宋" w:hAnsi="Calibri" w:eastAsia="仿宋" w:cs="仿宋"/>
          <w:color w:val="000000"/>
          <w:kern w:val="0"/>
          <w:sz w:val="32"/>
          <w:szCs w:val="32"/>
          <w:lang w:val="zh-CN" w:eastAsia="zh-CN" w:bidi="zh-CN"/>
        </w:rPr>
        <w:t>建设，资金支付率及资金支付及时率达到100%，受益人群1万人以上，群众满意度达到95%以上。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15.2022年建档立卡脱贫户生产生活补助金 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绩效目标：该项目资金用于支付建档立卡脱贫户生活补助     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绩效指标：该项目年度绩效目标为撤发放资金2次，满足11户建档立卡贫困户补助需要，及时足额发放，主管部门和服务群名满意度达到95%以上。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16.2022年中源路路灯电费 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绩效目标：保障中源路路灯政策运转    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绩效指标：目标内容1保障路灯正常运转，项目成本控制在18.25万元以内，服务群众满意度达到95%以上。</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17.2022年现代园现状补测费  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单位总体规划于2015年获得审批，规划用地性质为一类工业用地，随着近几年企业发展方向及形式，一类工业用地严重制约了项目落地和企业技改，针对此问题，新能源车产业园拟对规划区内测绘，用于达到园区规划趋于合理，最终使园区经济更好发展。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对新能源车产业园规划编制土地调规不少于3000亩，编制评估报告符合国家规定，购置规划编制文本质量合格率达到95%以上，成本控制在11.5万元以下，项目2020年11月份完工验收，用地企业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18.2022年</w:t>
      </w:r>
      <w:r>
        <w:rPr>
          <w:rFonts w:hint="eastAsia" w:ascii="仿宋" w:eastAsia="仿宋" w:cs="仿宋"/>
          <w:b/>
          <w:bCs/>
          <w:color w:val="000000"/>
          <w:kern w:val="0"/>
          <w:sz w:val="32"/>
          <w:szCs w:val="32"/>
          <w:lang w:val="en-US" w:eastAsia="zh-CN" w:bidi="zh-CN"/>
        </w:rPr>
        <w:t>祖寺大坑治理</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绩效目标：通过对大坑进行治理，确保大坑治理后各项指标达到要求，及时拨付项目尾款。 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绩效指标：目标内容1本项目年度绩效目标是2021年祖寺大坑治理费用小于等于11.803119万元，治理合格率大于等于100%，资金拨付及时率大于等于100%，影响年限10年以上，群众满意度达到95%，受益人群大于1万人。</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19.2022年现代园控规修改论证报告 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b/>
          <w:bCs/>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20.2022年雨水,燃气，电力，电信，地下管廊，生态保护，景观规划，市政专项规划编制  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绩效目标：项目总目标是编制气雾剂产业园雨水、燃气、电力、电信、地下管廊、生态保护、景观规划市政专项规划7项专项规划，更好的完善园区基础设施为区域发展和入园企业提供服务。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绩效指标：目标内容1本项目通过编制气雾剂产业园雨水、燃气、电力、电信、地下管廊、生态保护、景观规划市政专项规划7项专项规划，达到编制规划合格率100%，按合同约定的工期和成本完成。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21.2022年现代园控规修改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绩效目标：通过开展现代园控规修改项目，对控制性详细规划进行调整，用于达到园区规划趋于合理，最终使园区经济更好发展。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通过对现代园控制性详细规划设施用地地块调整不多于4个，编制评估报告达到符合国家规定，用地企业及主管部门满意度达到95%以上，对控制性详细规划进行调整，用于达到园区规划趋于合理，最终使园区经济更好发展。</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22.2022年现代园突发环境事件应急预案 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23.2022年招商中心运转经费项目 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绩效目标：为保障大城县经济开发区招商中心2022年全年的正常工作运转，保障经济开发区招商中心发挥自身职能。全年需要伙食补助10万元，电费38.4万元，电话费4.8万元，用于后勤保障工作。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招商中心运转经费项目通过项目的实施，确保单位2022年全年机关的正常运行，食堂卫生和菜品均符合相关质量要求，实现单位职工和去食堂就餐的其他相关人员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24.2022年阜草干渠护坡工程项目 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绩效目标：通过实施阜草干渠护坡工程项目，将极大提升园区人居环境质量，进一步加强园区基础实力，并最终实现园区经济发展。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修建工程137米，拨付项目资金资金7.17895万元，资金支付率等于100%，资金拨付及时率等于100%，合同完成率100%，项目2020年11月份完工，收益人数2万人，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25.2022年新能源车产业园规划环评报告编制</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绩效目标：资金主要用于新能源车产业园规划环评报告编制项目于2022年5月份支付工程欠款39.3万元。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绩效指标：目标内容1本项目的绩效目标是2022年新能源车产业园规划环评报告编制39.3万元，资金拨付率及资金拨付及时率达到100%，偿服务群众以及主管部门满意度95%以上。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26.2022年开发策划研究 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为气雾剂产业园开发策划研究，具体包含产业发展基础、产业发展态势、产业发展政策、产业发展思路、产业定位研究、产业发展策略、产业发展布局、产业重点项目、产业开发运营以及基础设施投资时序等内容，该项目完成后可为项目落地提供政策依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绩效指标：目标内容1更好的完善园区基础设施为区域发展和入园企业提供服务，为企业到大城投资项目落地提供了必要条件。达到编制规划合格率100%，按合同约定的工期和成本完成。</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27.2022年现代园空气监测站运营经费项目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绩效目标：空气自动监测站能够应用自动测量技术以及传感技术等多种技术,为政府制定大气污染治理方案提供参考数据与执行依据， 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绩效指标：目标内容1依照工作需要，及时拨付空气检测站运营经费，运营经费成本小于等于3万元，运营经费拨付及时率和及时率达到100%，影响年限大于等于1年，全年正常运营天数365天。</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28.2022年撤退路南给水工程前期费</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绩效目标：通过开展本项目，为现代园撤退路南给水工程建设工程施工阶段提供技术支撑，确保工程按合同约定及时开工建设。从而改善生存环境，减少大气污染给人们带来的健康危害。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绩效指标：目标内容1该项目年度绩效目标为现代园撤退路南给水工程前期费小于等于0.9万元，资金支付率及资金支付及时率达到100%，受益人群2万人以上，群众满意度达到95%以上。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29.2022年偿还市政二公司工程款 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绩效目标：资金主要用于偿还廊坊市政二公司工程款依据2016年法院判决书执行于2022年5月份支付工程欠款123.936万元。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2022年偿还廊坊市政二公司工程款30万元，资金拨付率及资金拨付及时率达到100%，偿还周期为一年，达到廊坊市政二公司，拖欠工资工人以及园区工作小组满意度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30.2022年现代园空气监测站护栏维修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绩效目标：本项目的实施可以完成大城县经济开发区管理委员会现代园空气监测站护栏维修项目。</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绩效指标：目标内容1该项目年度绩效目标为现代园武汉北路工程监理费小于等于3.86万元，资金支付率及资金支付及时率达到100%，受益人群2万人以上，群众满意度达到95%以上。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31.2022年大城县经济开发区管理委员会非公党建经费项目 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绩效目标：根据工作安排，2020年打造经开区9个非公企业支部、经开区非公党建平台建设以及平台的正常运转。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本项目的绩效目标是打造经开区非公党支部大于等于9个，非公企业党支部合格率100%，建立经开区非公党建平台，所需资金成本小于等于50万元，资金拨付率和及时率都达到100%，受益人群大于等于1000人，群众满意度大于等于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32.2022年现代园环评跟踪评价</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33.2022年土地流转资金项目 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因我单位业务涉及面广，工作涵盖内容多，服务形象要求高。是中枢单位，更是形象单位。提高开展本项目有利于更好服务于各单位、县委各相关部门，有利于优化办公环境，亮化办公素养，强化办公形象。有利于我县的经济发展。</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绩效指标：目标内容1通过本项目的开展，达到项目资金使用合格率≥100%、项目资金支付及时率≥100%、项目资金实际支付≤540万元等绩效目标，完成年度绩效目标。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34.2022年留各庄绝热节能材料园和金地工业聚集区突发环境事件应急预案 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绩效目标：根据省厅要求需要进行跟踪评价，为企业落户提供依据及指导。</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根据省厅要求需要进行跟踪评价，确保年底前完成资金拨付及时率和及时率达到100%，影响年限大于等于10年，受益企业大于20个，群众满意度达到95%，为企业落户提供依据及指导。</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35.2022年特色小镇整体城市设计 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绩效目标：气雾剂产业园计划在2021年对街道系统、广场与公园系统、慢行系统、绿道系统、视廊系统、河流水系、城市风貌、建筑色彩、城市天际线、户外广告和夜景照明等城市系统与要素单独编制城市设计.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为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36.2022年经济开发区深圳大街维修工程项目 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绩效目标：根据工作实际需要，由资产运营刘圣晖负责，2019年启动了深圳大街维修工程，2019年完成了深圳大街维修工程，该工程完成后可便利交通，提升招商引资环境。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绩效指标：目标内容1按照合同约定支付工程资金。项目成本控制在60万元以内，群众和主管部门满意度达到90%以上。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37.2022年招商中心基础维修项目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绩效目标：根据工作实际需要，由资产运营刘圣晖负责，对经济开发区招商中心及周边基础社进行维修保持招商中心正常运转。</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绩效指标：目标内容1通过本项目的开展，达到维修及时率100%、维修合格率100%、维修周期不超过1周等绩效目标，完成年度绩效目标。</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38.2022年浦新南给排水工程建设费 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绩效目标：此项工作完成后可满足企业落户.</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绩效指标：该项目年度绩效目标为浦新南给排水工程长度1100米，编制成果质量达标率100%，资金支付及时率达到100%，费用总成本≤6万元，受益人群5000人以上，群众满意度达到95%以上。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39.2022年深圳大街外侧绿化地块换土 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绩效目标：通过实施大城经济开发区深圳大街两侧绿化地块换土费用项目，完成款项及时支付，改善深圳大街外侧绿化地块环境。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绩效指标：目标内容1通过实施大城经济开发区深圳大街两侧绿化地块换土费用项目，完成本年合同尾款及时支付，改善深圳大街外侧绿化地块环境。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40.2022年坑塘视频监控系统采购项目 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绩效目标：通过开展做好坑塘环境建设，减少坑塘垃圾及污染，防止出现工业垃圾倾倒和形成黑臭水体，提升环境建设水平。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41.2022年基础设施债券前期费用，工业和生活污水处理厂设计项目  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绩效目标：项目总目标是主要为污水处理和再生水厂建设、康养小镇路网建设以及雨污水管网和弱点工程等。拟申请专项债券资金开展项目建设，更好的完善园区基础设施为区域发展和入园企业提供服务。</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大城县经济开发区气雾剂产业园基础设施建设项目前期费用，主要为污水处理和再生水厂建设、康养小镇路网建设以及雨污水管网和弱点工程等，前期编制说两不小于12个，编制前期总成本资金小于等于20万元。</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42.2022年浦新南给排水工程前期费 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绩效目标：通过开展本项目，为浦新南给排水工程施工阶段提供技术支撑，确保工程按合同约定及时开工建设。</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绩效指标：该项目年度绩效目标为浦新南给排水工程长度1100米，编制成果质量达标率100%，资金支付及时率达到100%，费用总成本≤4.62万元，受益人群5000人以上，群众满意度达到95%以上。 </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43.2022年金地工业聚集区规划环评编制费 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金地工业聚集区规划环评规划环评项目于2019年立项，已完成招投标，2019年已支付前期资金40万元，2020年已支付前期资金50万元，根据合同，2021年需支付项目尾款67.5万元，规划环评编制完成后，企业落户将得到有效保障。</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依照工作需要，及时金地工业聚集区规划环评规划环评资金项目资金，规划资金成本小于等于15万元，资金拨付及时率和及时率达到100%，影响年限大于等于10年，受益企业大于20个，群众满意度达到95%。</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44.2022年经开区管道清淤工程项目</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绩效目标：该项目实施的总目标是通过管道清淤工程，保证园区的正常运转。保证工作环境加强村镇建设，改善农村人居环境，实现城乡统筹发展。协调和指导推进城镇化工作，加快城镇化进程。</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绩效指标：目标内容1该项目的绩效目标是通过工期30天管道清淤工程，预计达到清理淤堵管道3.2公里，验收合格率100%，可持续度保持5年以上，达到园区职工满意度90%以上。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45.2022年环保经费 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绩效目标：通过开展安全生产服务工作，有效的维护本区环境保护水平，提升营商环境</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46.2022年安监经费 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绩效目标：通过开展安全生产服务工作，有效的维护本区正常生产，提升安全生产服务水平。</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绩效指标：目标内容1通过开展本项目，服务本辖区企业600余家，受访群众及主管部门满意度达到95%以上。</w:t>
      </w:r>
    </w:p>
    <w:p>
      <w:pPr>
        <w:widowControl/>
        <w:ind w:firstLine="643" w:firstLineChars="200"/>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b/>
          <w:bCs/>
          <w:color w:val="000000"/>
          <w:kern w:val="0"/>
          <w:sz w:val="32"/>
          <w:szCs w:val="32"/>
          <w:lang w:val="zh-CN" w:eastAsia="zh-CN" w:bidi="zh-CN"/>
        </w:rPr>
        <w:t>47.2022年聘用人员工资及保险项目 </w:t>
      </w:r>
      <w:r>
        <w:rPr>
          <w:rFonts w:hint="eastAsia" w:ascii="仿宋" w:hAnsi="Calibri" w:eastAsia="仿宋" w:cs="仿宋"/>
          <w:color w:val="000000"/>
          <w:kern w:val="0"/>
          <w:sz w:val="32"/>
          <w:szCs w:val="32"/>
          <w:lang w:val="zh-CN" w:eastAsia="zh-CN" w:bidi="zh-CN"/>
        </w:rPr>
        <w:t>           </w:t>
      </w:r>
    </w:p>
    <w:p>
      <w:pPr>
        <w:widowControl/>
        <w:jc w:val="left"/>
        <w:rPr>
          <w:rFonts w:hint="eastAsia" w:ascii="仿宋" w:hAnsi="Calibri" w:eastAsia="仿宋" w:cs="仿宋"/>
          <w:color w:val="000000"/>
          <w:kern w:val="0"/>
          <w:sz w:val="32"/>
          <w:szCs w:val="32"/>
          <w:lang w:val="zh-CN" w:eastAsia="zh-CN" w:bidi="zh-CN"/>
        </w:rPr>
      </w:pPr>
      <w:r>
        <w:rPr>
          <w:rFonts w:hint="eastAsia" w:ascii="仿宋" w:hAnsi="Calibri" w:eastAsia="仿宋" w:cs="仿宋"/>
          <w:color w:val="000000"/>
          <w:kern w:val="0"/>
          <w:sz w:val="32"/>
          <w:szCs w:val="32"/>
          <w:lang w:val="zh-CN" w:eastAsia="zh-CN" w:bidi="zh-CN"/>
        </w:rPr>
        <w:t>绩效目标：大城县经济开发区聘用人员工资及保险项目，能够进一步完善大城县经济开发区对企业的整体服务能力，提升大城县开发区的形象，对招商引资，提升园区整实力具有重大意义。</w:t>
      </w:r>
    </w:p>
    <w:p>
      <w:pPr>
        <w:pStyle w:val="3"/>
        <w:spacing w:line="360" w:lineRule="auto"/>
        <w:ind w:firstLine="640" w:firstLineChars="200"/>
        <w:rPr>
          <w:rFonts w:hint="eastAsia" w:ascii="仿宋" w:hAnsi="Calibri" w:eastAsia="仿宋" w:cs="仿宋"/>
          <w:color w:val="000000"/>
          <w:kern w:val="0"/>
          <w:sz w:val="32"/>
          <w:szCs w:val="32"/>
          <w:lang w:val="en-US" w:eastAsia="zh-CN" w:bidi="zh-CN"/>
        </w:rPr>
      </w:pPr>
      <w:r>
        <w:rPr>
          <w:rFonts w:hint="eastAsia" w:ascii="仿宋" w:hAnsi="Calibri" w:eastAsia="仿宋" w:cs="仿宋"/>
          <w:color w:val="000000"/>
          <w:kern w:val="0"/>
          <w:sz w:val="32"/>
          <w:szCs w:val="32"/>
          <w:lang w:val="zh-CN" w:eastAsia="zh-CN" w:bidi="zh-CN"/>
        </w:rPr>
        <w:t>绩效指标：通过实施大城县经济开发区聘用人员工资及保险项目，达到更好的为辖区内20余家企业和外来准备投资的企业进行服务效果，实现大城县经济开发区内企业满意度90%以上、资金拨付及时率95%、拨付资金≤85万元等绩效目标，完成的年度绩效目标。</w:t>
      </w:r>
    </w:p>
    <w:p>
      <w:pPr>
        <w:spacing w:line="584" w:lineRule="exact"/>
        <w:ind w:firstLine="643" w:firstLineChars="200"/>
        <w:rPr>
          <w:rFonts w:ascii="楷体_GB2312" w:eastAsia="楷体_GB2312" w:cs="楷体_GB2312"/>
          <w:b/>
          <w:sz w:val="32"/>
          <w:szCs w:val="32"/>
        </w:rPr>
      </w:pPr>
      <w:r>
        <w:rPr>
          <w:rFonts w:hint="eastAsia" w:ascii="楷体_GB2312" w:eastAsia="楷体_GB2312" w:cs="楷体_GB2312"/>
          <w:b/>
          <w:sz w:val="32"/>
          <w:szCs w:val="32"/>
        </w:rPr>
        <w:t>（三）工作保障措施</w:t>
      </w:r>
    </w:p>
    <w:p>
      <w:pPr>
        <w:pStyle w:val="3"/>
        <w:spacing w:line="360" w:lineRule="auto"/>
        <w:ind w:firstLine="611" w:firstLineChars="200"/>
        <w:rPr>
          <w:rFonts w:ascii="仿宋" w:eastAsia="仿宋" w:cs="仿宋"/>
          <w:color w:val="000000"/>
        </w:rPr>
      </w:pPr>
      <w:r>
        <w:rPr>
          <w:rFonts w:hint="eastAsia" w:ascii="仿宋" w:eastAsia="仿宋" w:cs="仿宋"/>
          <w:b/>
          <w:bCs/>
          <w:w w:val="95"/>
          <w:lang w:val="en-US"/>
        </w:rPr>
        <w:t>1、</w:t>
      </w:r>
      <w:r>
        <w:rPr>
          <w:rFonts w:hint="eastAsia" w:ascii="仿宋" w:eastAsia="仿宋" w:cs="仿宋"/>
          <w:b/>
          <w:bCs/>
          <w:w w:val="95"/>
        </w:rPr>
        <w:t>完善</w:t>
      </w:r>
      <w:r>
        <w:rPr>
          <w:rFonts w:hint="eastAsia" w:ascii="仿宋" w:eastAsia="仿宋" w:cs="仿宋"/>
          <w:b/>
          <w:bCs/>
          <w:spacing w:val="-7"/>
          <w:w w:val="95"/>
        </w:rPr>
        <w:t>制度建设。</w:t>
      </w:r>
      <w:r>
        <w:rPr>
          <w:rFonts w:hint="eastAsia" w:ascii="仿宋" w:eastAsia="仿宋" w:cs="仿宋"/>
          <w:color w:val="000000"/>
        </w:rPr>
        <w:t>制定完善预算绩效管理制度、资金管理办法、工作保障制度等，为全年预算绩效目标的实现奠定制度基础。</w:t>
      </w:r>
    </w:p>
    <w:p>
      <w:pPr>
        <w:pStyle w:val="3"/>
        <w:spacing w:before="3" w:line="360" w:lineRule="auto"/>
        <w:ind w:firstLine="627" w:firstLineChars="200"/>
        <w:rPr>
          <w:rFonts w:ascii="仿宋" w:eastAsia="仿宋" w:cs="仿宋"/>
        </w:rPr>
      </w:pPr>
      <w:r>
        <w:rPr>
          <w:rFonts w:hint="eastAsia" w:ascii="仿宋" w:eastAsia="仿宋" w:cs="仿宋"/>
          <w:b/>
          <w:bCs/>
          <w:spacing w:val="-4"/>
          <w:lang w:val="en-US"/>
        </w:rPr>
        <w:t>2、</w:t>
      </w:r>
      <w:r>
        <w:rPr>
          <w:rFonts w:hint="eastAsia" w:ascii="仿宋" w:eastAsia="仿宋" w:cs="仿宋"/>
          <w:b/>
          <w:bCs/>
          <w:spacing w:val="-4"/>
        </w:rPr>
        <w:t>加强支出管理。</w:t>
      </w:r>
      <w:r>
        <w:rPr>
          <w:rFonts w:hint="eastAsia" w:ascii="仿宋" w:eastAsia="仿宋" w:cs="仿宋"/>
          <w:color w:val="000000"/>
        </w:rPr>
        <w:t>通过优化支出结构、编细编实预算、加快履行政府采购手续、尽快启动项目、及时支付资金、6 月底前细化代编预算、按规定及时下达资金等多种措施，确保支出进度达标。</w:t>
      </w:r>
    </w:p>
    <w:p>
      <w:pPr>
        <w:pStyle w:val="3"/>
        <w:spacing w:before="9" w:line="360" w:lineRule="auto"/>
        <w:ind w:firstLine="643" w:firstLineChars="200"/>
        <w:rPr>
          <w:rFonts w:ascii="仿宋" w:eastAsia="仿宋" w:cs="仿宋"/>
          <w:color w:val="000000"/>
        </w:rPr>
      </w:pPr>
      <w:r>
        <w:rPr>
          <w:rFonts w:hint="eastAsia" w:ascii="仿宋" w:eastAsia="仿宋" w:cs="仿宋"/>
          <w:b/>
          <w:bCs/>
          <w:lang w:val="en-US"/>
        </w:rPr>
        <w:t>3、</w:t>
      </w:r>
      <w:r>
        <w:rPr>
          <w:rFonts w:hint="eastAsia" w:ascii="仿宋" w:eastAsia="仿宋" w:cs="仿宋"/>
          <w:b/>
          <w:bCs/>
        </w:rPr>
        <w:t>加强绩效运行监控。</w:t>
      </w:r>
      <w:r>
        <w:rPr>
          <w:rFonts w:hint="eastAsia" w:ascii="仿宋" w:eastAsia="仿宋" w:cs="仿宋"/>
          <w:color w:val="000000"/>
        </w:rPr>
        <w:t>按要求开展绩效运行监控，发现问题及时采取措施，确保绩效目标如期保质实现。</w:t>
      </w:r>
    </w:p>
    <w:p>
      <w:pPr>
        <w:pStyle w:val="3"/>
        <w:spacing w:before="3" w:line="360" w:lineRule="auto"/>
        <w:ind w:firstLine="615" w:firstLineChars="200"/>
        <w:rPr>
          <w:rFonts w:ascii="仿宋" w:eastAsia="仿宋" w:cs="仿宋"/>
          <w:color w:val="000000"/>
        </w:rPr>
      </w:pPr>
      <w:r>
        <w:rPr>
          <w:rFonts w:hint="eastAsia" w:ascii="仿宋" w:eastAsia="仿宋" w:cs="仿宋"/>
          <w:b/>
          <w:bCs/>
          <w:spacing w:val="-7"/>
          <w:lang w:val="en-US"/>
        </w:rPr>
        <w:t>4、</w:t>
      </w:r>
      <w:r>
        <w:rPr>
          <w:rFonts w:hint="eastAsia" w:ascii="仿宋" w:eastAsia="仿宋" w:cs="仿宋"/>
          <w:b/>
          <w:bCs/>
          <w:spacing w:val="-7"/>
        </w:rPr>
        <w:t>做好绩效自评。</w:t>
      </w:r>
      <w:r>
        <w:rPr>
          <w:rFonts w:hint="eastAsia" w:ascii="仿宋" w:eastAsia="仿宋" w:cs="仿宋"/>
          <w:color w:val="000000"/>
        </w:rPr>
        <w:t>按要求开展上年度部门预算绩效自评和重点评价工作，对评价中发现的问题及时整改，调整优化支出结构， 提高财政资金使用效益。</w:t>
      </w:r>
    </w:p>
    <w:p>
      <w:pPr>
        <w:pStyle w:val="3"/>
        <w:spacing w:before="23" w:line="360" w:lineRule="auto"/>
        <w:ind w:firstLine="643" w:firstLineChars="200"/>
        <w:rPr>
          <w:rFonts w:ascii="仿宋" w:eastAsia="仿宋" w:cs="仿宋"/>
        </w:rPr>
      </w:pPr>
      <w:r>
        <w:rPr>
          <w:rFonts w:hint="eastAsia" w:ascii="仿宋" w:eastAsia="仿宋" w:cs="仿宋"/>
          <w:b/>
          <w:bCs/>
          <w:lang w:val="en-US"/>
        </w:rPr>
        <w:t>5、</w:t>
      </w:r>
      <w:r>
        <w:rPr>
          <w:rFonts w:hint="eastAsia" w:ascii="仿宋" w:eastAsia="仿宋" w:cs="仿宋"/>
          <w:b/>
          <w:bCs/>
        </w:rPr>
        <w:t>规范财务资产管理。</w:t>
      </w:r>
      <w:r>
        <w:rPr>
          <w:rFonts w:hint="eastAsia" w:ascii="仿宋" w:eastAsia="仿宋" w:cs="仿宋"/>
          <w:color w:val="000000"/>
        </w:rPr>
        <w:t>完善财务管理制度，严格审批程序，加强固定资产登记、使用和报废处置管理，做到支出合理，物尽其用。</w:t>
      </w:r>
    </w:p>
    <w:p>
      <w:pPr>
        <w:pStyle w:val="3"/>
        <w:spacing w:before="4" w:line="360" w:lineRule="auto"/>
        <w:ind w:firstLine="563" w:firstLineChars="200"/>
        <w:rPr>
          <w:rFonts w:ascii="仿宋" w:eastAsia="仿宋" w:cs="仿宋"/>
        </w:rPr>
      </w:pPr>
      <w:r>
        <w:rPr>
          <w:rFonts w:hint="eastAsia" w:ascii="仿宋" w:eastAsia="仿宋" w:cs="仿宋"/>
          <w:b/>
          <w:bCs/>
          <w:spacing w:val="-20"/>
          <w:lang w:val="en-US"/>
        </w:rPr>
        <w:t>6、</w:t>
      </w:r>
      <w:r>
        <w:rPr>
          <w:rFonts w:hint="eastAsia" w:ascii="仿宋" w:eastAsia="仿宋" w:cs="仿宋"/>
          <w:b/>
          <w:bCs/>
          <w:spacing w:val="-20"/>
        </w:rPr>
        <w:t>加强内部监督。</w:t>
      </w:r>
      <w:r>
        <w:rPr>
          <w:rFonts w:hint="eastAsia" w:ascii="仿宋" w:eastAsia="仿宋" w:cs="仿宋"/>
          <w:color w:val="000000"/>
        </w:rPr>
        <w:t>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spacing w:line="584" w:lineRule="exact"/>
        <w:ind w:firstLine="631" w:firstLineChars="200"/>
        <w:rPr>
          <w:rFonts w:hint="eastAsia" w:ascii="楷体_GB2312" w:eastAsia="楷体_GB2312" w:cs="Times New Roman"/>
          <w:b/>
          <w:sz w:val="32"/>
          <w:szCs w:val="32"/>
        </w:rPr>
      </w:pPr>
      <w:r>
        <w:rPr>
          <w:rFonts w:hint="eastAsia" w:ascii="仿宋" w:eastAsia="仿宋" w:cs="仿宋"/>
          <w:b/>
          <w:bCs/>
          <w:spacing w:val="-3"/>
          <w:sz w:val="32"/>
          <w:szCs w:val="32"/>
        </w:rPr>
        <w:t>7、加强宣传培训调研等。</w:t>
      </w:r>
      <w:r>
        <w:rPr>
          <w:rFonts w:hint="eastAsia" w:ascii="仿宋" w:eastAsia="仿宋" w:cs="仿宋"/>
          <w:color w:val="000000"/>
          <w:sz w:val="32"/>
          <w:szCs w:val="32"/>
        </w:rPr>
        <w:t>加强人员培训，提高本部门职工业务素质；加强调研，提出优化财政资金配置、提高资金使用效益的意见；加大宣传力度，强化预算绩效管理意识，促进预算绩 效管理水平进一步提升。</w:t>
      </w: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lang w:eastAsia="zh-CN"/>
        </w:rPr>
      </w:pPr>
    </w:p>
    <w:p>
      <w:pPr>
        <w:numPr>
          <w:ilvl w:val="0"/>
          <w:numId w:val="0"/>
        </w:numPr>
        <w:overflowPunct w:val="0"/>
        <w:adjustRightInd w:val="0"/>
        <w:snapToGrid w:val="0"/>
        <w:spacing w:afterLines="50" w:line="580" w:lineRule="exact"/>
        <w:ind w:leftChars="0"/>
        <w:jc w:val="left"/>
        <w:rPr>
          <w:rFonts w:hint="eastAsia" w:ascii="楷体_GB2312" w:eastAsia="楷体_GB2312" w:cs="Times New Roman"/>
          <w:b/>
          <w:sz w:val="32"/>
          <w:szCs w:val="32"/>
        </w:rPr>
      </w:pPr>
      <w:r>
        <w:rPr>
          <w:rFonts w:hint="eastAsia" w:ascii="楷体_GB2312" w:eastAsia="楷体_GB2312" w:cs="Times New Roman"/>
          <w:b/>
          <w:sz w:val="32"/>
          <w:szCs w:val="32"/>
          <w:lang w:eastAsia="zh-CN"/>
        </w:rPr>
        <w:t>（</w:t>
      </w:r>
      <w:r>
        <w:rPr>
          <w:rFonts w:hint="eastAsia" w:ascii="楷体_GB2312" w:eastAsia="楷体_GB2312" w:cs="Times New Roman"/>
          <w:b/>
          <w:sz w:val="32"/>
          <w:szCs w:val="32"/>
          <w:lang w:val="en-US" w:eastAsia="zh-CN"/>
        </w:rPr>
        <w:t>四</w:t>
      </w:r>
      <w:r>
        <w:rPr>
          <w:rFonts w:hint="eastAsia" w:ascii="楷体_GB2312" w:eastAsia="楷体_GB2312" w:cs="Times New Roman"/>
          <w:b/>
          <w:sz w:val="32"/>
          <w:szCs w:val="32"/>
          <w:lang w:eastAsia="zh-CN"/>
        </w:rPr>
        <w:t>）</w:t>
      </w:r>
      <w:r>
        <w:rPr>
          <w:rFonts w:hint="eastAsia" w:ascii="楷体_GB2312" w:eastAsia="楷体_GB2312" w:cs="Times New Roman"/>
          <w:b/>
          <w:sz w:val="32"/>
          <w:szCs w:val="32"/>
        </w:rPr>
        <w:t>部门整体支出绩效指标</w:t>
      </w: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p>
      <w:pPr>
        <w:numPr>
          <w:ilvl w:val="0"/>
          <w:numId w:val="0"/>
        </w:numPr>
        <w:overflowPunct w:val="0"/>
        <w:adjustRightInd w:val="0"/>
        <w:snapToGrid w:val="0"/>
        <w:spacing w:afterLines="50" w:line="580" w:lineRule="exact"/>
        <w:jc w:val="left"/>
        <w:rPr>
          <w:rFonts w:hint="eastAsia" w:ascii="楷体_GB2312" w:eastAsia="楷体_GB2312" w:cs="Times New Roman"/>
          <w:b/>
          <w:sz w:val="32"/>
          <w:szCs w:val="32"/>
        </w:rPr>
      </w:pPr>
    </w:p>
    <w:tbl>
      <w:tblPr>
        <w:tblStyle w:val="6"/>
        <w:tblW w:w="1155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3301"/>
        <w:gridCol w:w="825"/>
        <w:gridCol w:w="897"/>
        <w:gridCol w:w="2172"/>
        <w:gridCol w:w="1483"/>
        <w:gridCol w:w="543"/>
        <w:gridCol w:w="488"/>
        <w:gridCol w:w="573"/>
        <w:gridCol w:w="12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6" w:hRule="atLeast"/>
          <w:tblHeader/>
          <w:jc w:val="center"/>
        </w:trPr>
        <w:tc>
          <w:tcPr>
            <w:tcW w:w="3301"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一级指标</w:t>
            </w:r>
          </w:p>
        </w:tc>
        <w:tc>
          <w:tcPr>
            <w:tcW w:w="825"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二级</w:t>
            </w:r>
          </w:p>
          <w:p>
            <w:pPr>
              <w:widowControl/>
              <w:adjustRightInd w:val="0"/>
              <w:snapToGrid w:val="0"/>
              <w:jc w:val="center"/>
              <w:rPr>
                <w:rFonts w:ascii="方正书宋_GBK" w:eastAsia="方正书宋_GBK"/>
                <w:b/>
              </w:rPr>
            </w:pPr>
            <w:r>
              <w:rPr>
                <w:rFonts w:ascii="方正书宋_GBK" w:eastAsia="方正书宋_GBK"/>
                <w:b/>
              </w:rPr>
              <w:t>指标</w:t>
            </w:r>
          </w:p>
        </w:tc>
        <w:tc>
          <w:tcPr>
            <w:tcW w:w="89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三级</w:t>
            </w:r>
          </w:p>
          <w:p>
            <w:pPr>
              <w:widowControl/>
              <w:adjustRightInd w:val="0"/>
              <w:snapToGrid w:val="0"/>
              <w:jc w:val="center"/>
              <w:rPr>
                <w:rFonts w:ascii="方正书宋_GBK" w:eastAsia="方正书宋_GBK"/>
                <w:b/>
              </w:rPr>
            </w:pPr>
            <w:r>
              <w:rPr>
                <w:rFonts w:ascii="方正书宋_GBK" w:eastAsia="方正书宋_GBK"/>
                <w:b/>
              </w:rPr>
              <w:t>指标</w:t>
            </w:r>
          </w:p>
        </w:tc>
        <w:tc>
          <w:tcPr>
            <w:tcW w:w="2172"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评（扣）分标准</w:t>
            </w:r>
          </w:p>
        </w:tc>
        <w:tc>
          <w:tcPr>
            <w:tcW w:w="1483"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绩效指标</w:t>
            </w:r>
          </w:p>
          <w:p>
            <w:pPr>
              <w:widowControl/>
              <w:adjustRightInd w:val="0"/>
              <w:snapToGrid w:val="0"/>
              <w:jc w:val="center"/>
              <w:rPr>
                <w:rFonts w:ascii="方正书宋_GBK" w:eastAsia="方正书宋_GBK"/>
                <w:b/>
              </w:rPr>
            </w:pPr>
            <w:r>
              <w:rPr>
                <w:rFonts w:ascii="方正书宋_GBK" w:eastAsia="方正书宋_GBK"/>
                <w:b/>
              </w:rPr>
              <w:t>描述</w:t>
            </w:r>
          </w:p>
        </w:tc>
        <w:tc>
          <w:tcPr>
            <w:tcW w:w="1604" w:type="dxa"/>
            <w:gridSpan w:val="3"/>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tc>
        <w:tc>
          <w:tcPr>
            <w:tcW w:w="1277" w:type="dxa"/>
            <w:vMerge w:val="restart"/>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指标值</w:t>
            </w:r>
          </w:p>
          <w:p>
            <w:pPr>
              <w:widowControl/>
              <w:adjustRightInd w:val="0"/>
              <w:snapToGrid w:val="0"/>
              <w:jc w:val="center"/>
              <w:rPr>
                <w:rFonts w:ascii="方正书宋_GBK" w:eastAsia="方正书宋_GBK"/>
                <w:b/>
              </w:rPr>
            </w:pPr>
            <w:r>
              <w:rPr>
                <w:rFonts w:ascii="方正书宋_GBK" w:eastAsia="方正书宋_GBK"/>
                <w:b/>
              </w:rPr>
              <w:t>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33" w:hRule="atLeast"/>
          <w:tblHeader/>
          <w:jc w:val="center"/>
        </w:trPr>
        <w:tc>
          <w:tcPr>
            <w:tcW w:w="3301" w:type="dxa"/>
            <w:vMerge w:val="continue"/>
            <w:tcBorders>
              <w:tl2br w:val="nil"/>
              <w:tr2bl w:val="nil"/>
            </w:tcBorders>
            <w:vAlign w:val="center"/>
          </w:tcPr>
          <w:p/>
        </w:tc>
        <w:tc>
          <w:tcPr>
            <w:tcW w:w="825" w:type="dxa"/>
            <w:vMerge w:val="continue"/>
            <w:tcBorders>
              <w:tl2br w:val="nil"/>
              <w:tr2bl w:val="nil"/>
            </w:tcBorders>
            <w:vAlign w:val="center"/>
          </w:tcPr>
          <w:p/>
        </w:tc>
        <w:tc>
          <w:tcPr>
            <w:tcW w:w="897" w:type="dxa"/>
            <w:vMerge w:val="continue"/>
            <w:tcBorders>
              <w:tl2br w:val="nil"/>
              <w:tr2bl w:val="nil"/>
            </w:tcBorders>
            <w:vAlign w:val="center"/>
          </w:tcPr>
          <w:p/>
        </w:tc>
        <w:tc>
          <w:tcPr>
            <w:tcW w:w="2172" w:type="dxa"/>
            <w:vMerge w:val="continue"/>
            <w:tcBorders>
              <w:tl2br w:val="nil"/>
              <w:tr2bl w:val="nil"/>
            </w:tcBorders>
            <w:vAlign w:val="center"/>
          </w:tcPr>
          <w:p/>
        </w:tc>
        <w:tc>
          <w:tcPr>
            <w:tcW w:w="1483" w:type="dxa"/>
            <w:vMerge w:val="continue"/>
            <w:tcBorders>
              <w:tl2br w:val="nil"/>
              <w:tr2bl w:val="nil"/>
            </w:tcBorders>
            <w:vAlign w:val="center"/>
          </w:tcPr>
          <w:p/>
        </w:tc>
        <w:tc>
          <w:tcPr>
            <w:tcW w:w="54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符号</w:t>
            </w:r>
          </w:p>
        </w:tc>
        <w:tc>
          <w:tcPr>
            <w:tcW w:w="488"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值</w:t>
            </w:r>
          </w:p>
        </w:tc>
        <w:tc>
          <w:tcPr>
            <w:tcW w:w="573" w:type="dxa"/>
            <w:tcBorders>
              <w:tl2br w:val="nil"/>
              <w:tr2bl w:val="nil"/>
            </w:tcBorders>
            <w:vAlign w:val="center"/>
          </w:tcPr>
          <w:p>
            <w:pPr>
              <w:widowControl/>
              <w:adjustRightInd w:val="0"/>
              <w:snapToGrid w:val="0"/>
              <w:jc w:val="center"/>
              <w:rPr>
                <w:rFonts w:ascii="方正书宋_GBK" w:eastAsia="方正书宋_GBK"/>
                <w:b/>
              </w:rPr>
            </w:pPr>
            <w:r>
              <w:rPr>
                <w:rFonts w:ascii="方正书宋_GBK" w:eastAsia="方正书宋_GBK"/>
                <w:b/>
              </w:rPr>
              <w:t>单位</w:t>
            </w:r>
          </w:p>
        </w:tc>
        <w:tc>
          <w:tcPr>
            <w:tcW w:w="1277" w:type="dxa"/>
            <w:vMerge w:val="continue"/>
            <w:tcBorders>
              <w:tl2br w:val="nil"/>
              <w:tr2bl w:val="nil"/>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94" w:hRule="atLeast"/>
          <w:jc w:val="center"/>
        </w:trPr>
        <w:tc>
          <w:tcPr>
            <w:tcW w:w="3301" w:type="dxa"/>
            <w:vMerge w:val="restart"/>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部门产出</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数量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事件完成数</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反映事件完成数</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50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件</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质量</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完成合格率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反映完成合格率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58"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时效</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完成及时率</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反映完成及时率</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100</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eastAsia="zh-CN"/>
              </w:rPr>
            </w:pPr>
            <w:r>
              <w:rPr>
                <w:rFonts w:hint="eastAsia" w:ascii="宋体" w:hAnsi="宋体" w:eastAsia="宋体" w:cs="宋体"/>
                <w:sz w:val="18"/>
                <w:szCs w:val="18"/>
                <w:lang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成本</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项目成本</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反映项目成本</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预算成本内</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restart"/>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部门效果</w:t>
            </w: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社会</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收益群众</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反映收益群众</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2</w:t>
            </w: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万人</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经济</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1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生态</w:t>
            </w:r>
          </w:p>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效益</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4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rPr>
            </w:pP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770"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可持续影响</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是否有相关文件及制度保障</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反映是否有相关文件及制度保障</w:t>
            </w:r>
          </w:p>
        </w:tc>
        <w:tc>
          <w:tcPr>
            <w:tcW w:w="543"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488" w:type="dxa"/>
            <w:tcBorders>
              <w:tl2br w:val="nil"/>
              <w:tr2bl w:val="nil"/>
            </w:tcBorders>
            <w:vAlign w:val="center"/>
          </w:tcPr>
          <w:p>
            <w:pPr>
              <w:widowControl/>
              <w:adjustRightInd w:val="0"/>
              <w:snapToGrid w:val="0"/>
              <w:jc w:val="center"/>
              <w:rPr>
                <w:rFonts w:hint="eastAsia" w:ascii="宋体" w:hAnsi="宋体" w:eastAsia="宋体" w:cs="宋体"/>
                <w:sz w:val="18"/>
                <w:szCs w:val="18"/>
              </w:rPr>
            </w:pPr>
          </w:p>
        </w:tc>
        <w:tc>
          <w:tcPr>
            <w:tcW w:w="573" w:type="dxa"/>
            <w:tcBorders>
              <w:tl2br w:val="nil"/>
              <w:tr2bl w:val="nil"/>
            </w:tcBorders>
            <w:vAlign w:val="center"/>
          </w:tcPr>
          <w:p>
            <w:pPr>
              <w:widowControl/>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有相关文件及制度保障</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604" w:hRule="atLeast"/>
          <w:jc w:val="center"/>
        </w:trPr>
        <w:tc>
          <w:tcPr>
            <w:tcW w:w="3301" w:type="dxa"/>
            <w:vMerge w:val="continue"/>
            <w:tcBorders>
              <w:tl2br w:val="nil"/>
              <w:tr2bl w:val="nil"/>
            </w:tcBorders>
            <w:vAlign w:val="center"/>
          </w:tcPr>
          <w:p>
            <w:pPr>
              <w:rPr>
                <w:rFonts w:hint="eastAsia" w:ascii="宋体" w:hAnsi="宋体" w:eastAsia="宋体" w:cs="宋体"/>
                <w:sz w:val="18"/>
                <w:szCs w:val="18"/>
              </w:rPr>
            </w:pPr>
          </w:p>
        </w:tc>
        <w:tc>
          <w:tcPr>
            <w:tcW w:w="825" w:type="dxa"/>
            <w:tcBorders>
              <w:tl2br w:val="nil"/>
              <w:tr2bl w:val="nil"/>
            </w:tcBorders>
            <w:vAlign w:val="center"/>
          </w:tcPr>
          <w:p>
            <w:pPr>
              <w:widowControl/>
              <w:adjustRightInd w:val="0"/>
              <w:snapToGrid w:val="0"/>
              <w:jc w:val="center"/>
              <w:rPr>
                <w:rFonts w:hint="eastAsia" w:ascii="宋体" w:hAnsi="宋体" w:eastAsia="宋体" w:cs="宋体"/>
                <w:sz w:val="18"/>
                <w:szCs w:val="18"/>
              </w:rPr>
            </w:pPr>
            <w:r>
              <w:rPr>
                <w:rFonts w:hint="eastAsia" w:ascii="宋体" w:hAnsi="宋体" w:eastAsia="宋体" w:cs="宋体"/>
                <w:sz w:val="18"/>
                <w:szCs w:val="18"/>
              </w:rPr>
              <w:t>满意度</w:t>
            </w:r>
          </w:p>
        </w:tc>
        <w:tc>
          <w:tcPr>
            <w:tcW w:w="897"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主管部门满意度</w:t>
            </w:r>
          </w:p>
        </w:tc>
        <w:tc>
          <w:tcPr>
            <w:tcW w:w="2172"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1</w:t>
            </w:r>
          </w:p>
        </w:tc>
        <w:tc>
          <w:tcPr>
            <w:tcW w:w="148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反映主管部门满意度</w:t>
            </w:r>
          </w:p>
        </w:tc>
        <w:tc>
          <w:tcPr>
            <w:tcW w:w="543" w:type="dxa"/>
            <w:tcBorders>
              <w:tl2br w:val="nil"/>
              <w:tr2bl w:val="nil"/>
            </w:tcBorders>
            <w:vAlign w:val="center"/>
          </w:tcPr>
          <w:p>
            <w:pPr>
              <w:widowControl/>
              <w:adjustRightInd w:val="0"/>
              <w:snapToGrid w:val="0"/>
              <w:jc w:val="center"/>
              <w:rPr>
                <w:rFonts w:hint="eastAsia" w:ascii="宋体" w:hAnsi="宋体" w:eastAsia="宋体" w:cs="宋体"/>
                <w:kern w:val="2"/>
                <w:sz w:val="18"/>
                <w:szCs w:val="18"/>
                <w:lang w:val="en-US" w:eastAsia="zh-CN" w:bidi="ar-SA"/>
              </w:rPr>
            </w:pPr>
            <w:r>
              <w:rPr>
                <w:rFonts w:hint="eastAsia" w:ascii="宋体" w:hAnsi="宋体" w:eastAsia="宋体" w:cs="宋体"/>
                <w:sz w:val="18"/>
                <w:szCs w:val="18"/>
              </w:rPr>
              <w:t>≧</w:t>
            </w:r>
          </w:p>
        </w:tc>
        <w:tc>
          <w:tcPr>
            <w:tcW w:w="488"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95</w:t>
            </w:r>
          </w:p>
        </w:tc>
        <w:tc>
          <w:tcPr>
            <w:tcW w:w="573" w:type="dxa"/>
            <w:tcBorders>
              <w:tl2br w:val="nil"/>
              <w:tr2bl w:val="nil"/>
            </w:tcBorders>
            <w:vAlign w:val="center"/>
          </w:tcPr>
          <w:p>
            <w:pPr>
              <w:widowControl/>
              <w:adjustRightInd w:val="0"/>
              <w:snapToGrid w:val="0"/>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w:t>
            </w:r>
          </w:p>
        </w:tc>
        <w:tc>
          <w:tcPr>
            <w:tcW w:w="1277" w:type="dxa"/>
            <w:tcBorders>
              <w:tl2br w:val="nil"/>
              <w:tr2bl w:val="nil"/>
            </w:tcBorders>
            <w:vAlign w:val="center"/>
          </w:tcPr>
          <w:p>
            <w:pPr>
              <w:widowControl/>
              <w:adjustRightInd w:val="0"/>
              <w:snapToGrid w:val="0"/>
              <w:rPr>
                <w:rFonts w:hint="eastAsia" w:ascii="宋体" w:hAnsi="宋体" w:eastAsia="宋体" w:cs="宋体"/>
                <w:sz w:val="18"/>
                <w:szCs w:val="18"/>
              </w:rPr>
            </w:pPr>
            <w:r>
              <w:rPr>
                <w:rFonts w:hint="eastAsia" w:ascii="宋体" w:hAnsi="宋体" w:eastAsia="宋体" w:cs="宋体"/>
                <w:sz w:val="18"/>
                <w:szCs w:val="18"/>
                <w:lang w:val="en-US" w:eastAsia="zh-CN"/>
              </w:rPr>
              <w:t>工作计划</w:t>
            </w:r>
          </w:p>
        </w:tc>
      </w:tr>
    </w:tbl>
    <w:p>
      <w:pPr>
        <w:spacing w:line="584" w:lineRule="exact"/>
        <w:ind w:firstLine="640" w:firstLineChars="200"/>
        <w:rPr>
          <w:rFonts w:ascii="Times New Roman" w:hAnsi="Times New Roman" w:eastAsia="黑体"/>
          <w:sz w:val="32"/>
          <w:szCs w:val="32"/>
        </w:rPr>
        <w:sectPr>
          <w:footerReference r:id="rId3" w:type="default"/>
          <w:type w:val="continuous"/>
          <w:pgSz w:w="16838" w:h="11906" w:orient="landscape"/>
          <w:pgMar w:top="1800" w:right="1440" w:bottom="1800" w:left="1440" w:header="851" w:footer="992" w:gutter="0"/>
          <w:cols w:space="720" w:num="1"/>
          <w:titlePg/>
          <w:docGrid w:type="lines" w:linePitch="312" w:charSpace="0"/>
        </w:sectPr>
      </w:pPr>
      <w:r>
        <w:rPr>
          <w:rFonts w:hint="eastAsia" w:ascii="Times New Roman" w:hAnsi="Times New Roman" w:eastAsia="黑体"/>
          <w:sz w:val="32"/>
          <w:szCs w:val="32"/>
        </w:rPr>
        <w:t>第二部分 资金绩效目</w:t>
      </w:r>
      <w:r>
        <w:rPr>
          <w:rFonts w:hint="eastAsia" w:ascii="Times New Roman" w:hAnsi="Times New Roman" w:eastAsia="黑体"/>
          <w:sz w:val="32"/>
          <w:szCs w:val="32"/>
          <w:lang w:eastAsia="zh-CN"/>
        </w:rPr>
        <w:t>标</w:t>
      </w:r>
    </w:p>
    <w:p>
      <w:pPr>
        <w:widowControl/>
        <w:jc w:val="left"/>
        <w:rPr>
          <w:rFonts w:ascii="Times New Roman" w:hAnsi="Times New Roman" w:eastAsia="仿宋_GB2312" w:cs="Times New Roman"/>
          <w:sz w:val="28"/>
        </w:rPr>
      </w:pPr>
    </w:p>
    <w:p>
      <w:pPr>
        <w:widowControl/>
        <w:jc w:val="lef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ascii="Times New Roman" w:hAnsi="Times New Roman" w:eastAsia="仿宋_GB2312" w:cs="Times New Roman"/>
          <w:sz w:val="28"/>
        </w:rPr>
        <w:t>1.</w:t>
      </w:r>
      <w:r>
        <w:rPr>
          <w:rFonts w:hint="eastAsia" w:ascii="Times New Roman" w:hAnsi="Times New Roman" w:eastAsia="仿宋_GB2312" w:cs="Times New Roman"/>
          <w:sz w:val="28"/>
          <w:lang w:val="zh-CN" w:eastAsia="zh-CN"/>
        </w:rPr>
        <w:t>2022年度新能源车污水处理厂项目</w:t>
      </w:r>
      <w:r>
        <w:rPr>
          <w:rFonts w:ascii="Times New Roman" w:hAnsi="Times New Roman" w:eastAsia="仿宋_GB2312" w:cs="Times New Roman"/>
          <w:sz w:val="28"/>
        </w:rPr>
        <w:t>绩效目标表</w:t>
      </w:r>
      <w:bookmarkStart w:id="1" w:name="_Toc29799657"/>
      <w:bookmarkEnd w:id="1"/>
    </w:p>
    <w:tbl>
      <w:tblPr>
        <w:tblStyle w:val="6"/>
        <w:tblW w:w="15155"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656"/>
        <w:gridCol w:w="1422"/>
        <w:gridCol w:w="1636"/>
        <w:gridCol w:w="3633"/>
        <w:gridCol w:w="1043"/>
        <w:gridCol w:w="917"/>
        <w:gridCol w:w="764"/>
        <w:gridCol w:w="2291"/>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13102522P00906210001H</w:t>
            </w:r>
            <w:r>
              <w:rPr>
                <w:rFonts w:hint="eastAsia" w:ascii="宋体" w:hAnsi="宋体" w:eastAsia="宋体" w:cs="宋体"/>
                <w:b w:val="0"/>
                <w:bCs w:val="0"/>
                <w:i w:val="0"/>
                <w:iCs w:val="0"/>
                <w:color w:val="000000"/>
                <w:kern w:val="0"/>
                <w:sz w:val="18"/>
                <w:szCs w:val="18"/>
                <w:u w:val="none"/>
                <w:lang w:val="zh-CN" w:eastAsia="zh-CN"/>
              </w:rPr>
              <w:t>2022年度新能源车污水处理厂项目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该项目资金用于新能源车污水处理厂项目建设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总投资金额≤3061.55万元，污水处理厂规模≥2000平方米，污水处理合格率≥100，资金拨付率及资金拨付及时率达到100%，受益人群达到2万人</w:t>
            </w:r>
            <w:r>
              <w:rPr>
                <w:rFonts w:hint="eastAsia" w:ascii="宋体" w:hAnsi="宋体" w:eastAsia="宋体" w:cs="宋体"/>
                <w:b w:val="0"/>
                <w:bCs w:val="0"/>
                <w:i w:val="0"/>
                <w:iCs w:val="0"/>
                <w:color w:val="000000"/>
                <w:kern w:val="0"/>
                <w:sz w:val="18"/>
                <w:szCs w:val="18"/>
                <w:u w:val="none"/>
                <w:lang w:val="en-US" w:eastAsia="zh-CN"/>
              </w:rPr>
              <w:tab/>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2"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3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501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793"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793"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项目资金</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反映项目总资金</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工程合格率</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反映工程合格率</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规模</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反映污水处理厂规模</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项目完工时间</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反映项目完工时间</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2022年11月</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服务对象满意度</w:t>
            </w:r>
          </w:p>
        </w:tc>
        <w:tc>
          <w:tcPr>
            <w:tcW w:w="363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反映服务对象满意度</w:t>
            </w:r>
          </w:p>
        </w:tc>
        <w:tc>
          <w:tcPr>
            <w:tcW w:w="104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1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3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79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2.2022年空气监测站租金绩效目标表</w:t>
      </w:r>
    </w:p>
    <w:tbl>
      <w:tblPr>
        <w:tblStyle w:val="6"/>
        <w:tblW w:w="14331"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389"/>
        <w:gridCol w:w="247"/>
        <w:gridCol w:w="1958"/>
        <w:gridCol w:w="1365"/>
        <w:gridCol w:w="310"/>
        <w:gridCol w:w="890"/>
        <w:gridCol w:w="1531"/>
        <w:gridCol w:w="303"/>
        <w:gridCol w:w="2291"/>
        <w:gridCol w:w="925"/>
        <w:gridCol w:w="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13102522P00904910002E</w:t>
            </w:r>
            <w:r>
              <w:rPr>
                <w:rFonts w:hint="eastAsia" w:ascii="宋体" w:hAnsi="宋体" w:eastAsia="宋体" w:cs="宋体"/>
                <w:b w:val="0"/>
                <w:bCs w:val="0"/>
                <w:i w:val="0"/>
                <w:iCs w:val="0"/>
                <w:color w:val="000000"/>
                <w:kern w:val="0"/>
                <w:sz w:val="18"/>
                <w:szCs w:val="18"/>
                <w:u w:val="none"/>
                <w:lang w:val="zh-CN" w:eastAsia="zh-CN"/>
              </w:rPr>
              <w:t>2022年空气监测站租金绩效目标表</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325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2672"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该项目资金用于空气监测站租金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96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92"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1250"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依照工作需要，及时拨付空气检测站租金，租金成本小于等于3万元，租金拨付及时率达到100%，影响年限大于等于1年，群众满意度达到95%以上。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1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26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1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空气检测站正常工作天数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根据统计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监测站个数</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实施方案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反应支付及时率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成本节约量</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反应支付率</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影响时间</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监测站影响时间</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41" w:type="dxa"/>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反应主管部门满意度</w:t>
            </w:r>
          </w:p>
        </w:tc>
        <w:tc>
          <w:tcPr>
            <w:tcW w:w="136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3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1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3.2022年工业区给水管道工程绩效目标表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67"/>
        <w:gridCol w:w="189"/>
        <w:gridCol w:w="1422"/>
        <w:gridCol w:w="99"/>
        <w:gridCol w:w="1537"/>
        <w:gridCol w:w="205"/>
        <w:gridCol w:w="1595"/>
        <w:gridCol w:w="681"/>
        <w:gridCol w:w="792"/>
        <w:gridCol w:w="360"/>
        <w:gridCol w:w="1910"/>
        <w:gridCol w:w="81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13102522P00905510001B</w:t>
            </w:r>
            <w:r>
              <w:rPr>
                <w:rFonts w:hint="eastAsia" w:ascii="宋体" w:hAnsi="宋体" w:eastAsia="宋体" w:cs="宋体"/>
                <w:b w:val="0"/>
                <w:bCs w:val="0"/>
                <w:i w:val="0"/>
                <w:iCs w:val="0"/>
                <w:color w:val="000000"/>
                <w:kern w:val="0"/>
                <w:sz w:val="18"/>
                <w:szCs w:val="18"/>
                <w:u w:val="none"/>
                <w:lang w:val="zh-CN" w:eastAsia="zh-CN"/>
              </w:rPr>
              <w:t>2022年工业区给水管道工程</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该项目资金用于工业区给水管道工程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4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59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1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4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1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8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4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159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1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4.2022年控制性详规动态调整绩效目标表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71"/>
        <w:gridCol w:w="339"/>
        <w:gridCol w:w="1079"/>
        <w:gridCol w:w="218"/>
        <w:gridCol w:w="2848"/>
        <w:gridCol w:w="785"/>
        <w:gridCol w:w="404"/>
        <w:gridCol w:w="832"/>
        <w:gridCol w:w="1488"/>
        <w:gridCol w:w="420"/>
        <w:gridCol w:w="187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13102522P00905110001L</w:t>
            </w:r>
            <w:r>
              <w:rPr>
                <w:rFonts w:hint="eastAsia" w:ascii="宋体" w:hAnsi="宋体" w:eastAsia="宋体" w:cs="宋体"/>
                <w:b w:val="0"/>
                <w:bCs w:val="0"/>
                <w:i w:val="0"/>
                <w:iCs w:val="0"/>
                <w:color w:val="000000"/>
                <w:kern w:val="0"/>
                <w:sz w:val="18"/>
                <w:szCs w:val="18"/>
                <w:u w:val="none"/>
                <w:lang w:val="zh-CN" w:eastAsia="zh-CN"/>
              </w:rPr>
              <w:t>2022年控制性详规动态调整</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该项目资金用于现代园控制性详规调整编制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气雾剂产业园为2021年为保障项目实施，针对用地、道路交通及市政基础设施线路等进行局</w:t>
            </w:r>
            <w:bookmarkStart w:id="4" w:name="_GoBack"/>
            <w:bookmarkEnd w:id="4"/>
            <w:r>
              <w:rPr>
                <w:rFonts w:hint="eastAsia" w:ascii="宋体" w:hAnsi="宋体" w:eastAsia="宋体" w:cs="宋体"/>
                <w:b w:val="0"/>
                <w:bCs w:val="0"/>
                <w:i w:val="0"/>
                <w:iCs w:val="0"/>
                <w:color w:val="000000"/>
                <w:kern w:val="0"/>
                <w:sz w:val="18"/>
                <w:szCs w:val="18"/>
                <w:u w:val="none"/>
                <w:lang w:val="en-US" w:eastAsia="zh-CN"/>
              </w:rPr>
              <w:t>部调整论证报告及修改方案编制，达到编制规划合格率100%，按合同约定的工期和成本完成。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79"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9"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79"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8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7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7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1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0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8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5.2022年企业服务费绩效目标表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996"/>
        <w:gridCol w:w="426"/>
        <w:gridCol w:w="1524"/>
        <w:gridCol w:w="112"/>
        <w:gridCol w:w="1703"/>
        <w:gridCol w:w="480"/>
        <w:gridCol w:w="681"/>
        <w:gridCol w:w="769"/>
        <w:gridCol w:w="213"/>
        <w:gridCol w:w="2511"/>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13102522P00903410002T</w:t>
            </w:r>
            <w:r>
              <w:rPr>
                <w:rFonts w:hint="eastAsia" w:ascii="宋体" w:hAnsi="宋体" w:eastAsia="宋体" w:cs="宋体"/>
                <w:b w:val="0"/>
                <w:bCs w:val="0"/>
                <w:i w:val="0"/>
                <w:iCs w:val="0"/>
                <w:color w:val="000000"/>
                <w:kern w:val="0"/>
                <w:sz w:val="18"/>
                <w:szCs w:val="18"/>
                <w:u w:val="none"/>
                <w:lang w:val="zh-CN" w:eastAsia="zh-CN"/>
              </w:rPr>
              <w:t>2022年企业服务费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该项目资金用于企业服务办公用品购置，劳务费等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14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服务已落户企业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园区内现有企业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服务新建企业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新建企业数量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为企业服务及时有效</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服务效率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服务期限</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服务企业期限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项目保障对企业全年服务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园区内受益企业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98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6.2022年大城县经济开发区管理委员会中源路东侧施工涉及传输局线路改造绩效目标表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51"/>
        <w:gridCol w:w="1365"/>
        <w:gridCol w:w="6"/>
        <w:gridCol w:w="1479"/>
        <w:gridCol w:w="157"/>
        <w:gridCol w:w="2093"/>
        <w:gridCol w:w="498"/>
        <w:gridCol w:w="736"/>
        <w:gridCol w:w="306"/>
        <w:gridCol w:w="1190"/>
        <w:gridCol w:w="153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13102522P00904410001E</w:t>
            </w:r>
            <w:r>
              <w:rPr>
                <w:rFonts w:hint="eastAsia" w:ascii="宋体" w:hAnsi="宋体" w:eastAsia="宋体" w:cs="宋体"/>
                <w:b w:val="0"/>
                <w:bCs w:val="0"/>
                <w:i w:val="0"/>
                <w:iCs w:val="0"/>
                <w:color w:val="000000"/>
                <w:kern w:val="0"/>
                <w:sz w:val="18"/>
                <w:szCs w:val="18"/>
                <w:u w:val="none"/>
                <w:lang w:val="zh-CN" w:eastAsia="zh-CN"/>
              </w:rPr>
              <w:t>大城县经济开发区管理委员会中源路东侧施工涉及传输局线路改造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9"/>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该项目资金用于中源路东侧线路改造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通过实施大城经济开发区企业服务经费项目，达到为辖区内20余家企业和外来准备投资的企业进行服务，实现大城县经济开发区内企业满意度90%以上的年度绩效目标。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6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73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37"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37"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改造面积</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反映改造面积</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反映合格率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反映及时率</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71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6" w:hRule="atLeast"/>
        </w:trPr>
        <w:tc>
          <w:tcPr>
            <w:tcW w:w="17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65"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村民满意度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反映村民满意度</w:t>
            </w:r>
          </w:p>
        </w:tc>
        <w:tc>
          <w:tcPr>
            <w:tcW w:w="4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4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7.2022年招商中心租金绩效目标表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101"/>
        <w:gridCol w:w="321"/>
        <w:gridCol w:w="1295"/>
        <w:gridCol w:w="341"/>
        <w:gridCol w:w="1738"/>
        <w:gridCol w:w="880"/>
        <w:gridCol w:w="941"/>
        <w:gridCol w:w="74"/>
        <w:gridCol w:w="2053"/>
        <w:gridCol w:w="67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2022年招商中心租金</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685</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该项目资金用于招商中心租金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通过项目的主要是支付7269.7平米办公地点房租，确保我单位正常运行，预计受益人数74人，满意度90%以上。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74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685.5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0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74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8.2022年中源路东侧施工涉及电力设施改造绩效目标表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1116"/>
        <w:gridCol w:w="306"/>
        <w:gridCol w:w="1494"/>
        <w:gridCol w:w="142"/>
        <w:gridCol w:w="1568"/>
        <w:gridCol w:w="647"/>
        <w:gridCol w:w="745"/>
        <w:gridCol w:w="673"/>
        <w:gridCol w:w="851"/>
        <w:gridCol w:w="1873"/>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13102522P00904310002C</w:t>
            </w:r>
            <w:r>
              <w:rPr>
                <w:rFonts w:hint="eastAsia" w:ascii="宋体" w:hAnsi="宋体" w:eastAsia="宋体" w:cs="宋体"/>
                <w:b w:val="0"/>
                <w:bCs w:val="0"/>
                <w:i w:val="0"/>
                <w:iCs w:val="0"/>
                <w:color w:val="000000"/>
                <w:kern w:val="0"/>
                <w:sz w:val="18"/>
                <w:szCs w:val="18"/>
                <w:u w:val="none"/>
                <w:lang w:val="zh-CN" w:eastAsia="zh-CN"/>
              </w:rPr>
              <w:t>2022年中源路东侧施工涉及电力设施改造</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该项目资金用于中源路电力设施改造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中源路北段污水管网长度700米，编制成果质量达标率100%，资金支付及时率达到100%，费用总成本≤85万元，受益人群5000人以上，群众满意度达到95%以上。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7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1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976"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7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7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6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4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52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97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9.2022年留各庄绝热节能材料产业园规划环评编制绩效目标表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57"/>
        <w:gridCol w:w="399"/>
        <w:gridCol w:w="1422"/>
        <w:gridCol w:w="286"/>
        <w:gridCol w:w="1350"/>
        <w:gridCol w:w="109"/>
        <w:gridCol w:w="1418"/>
        <w:gridCol w:w="859"/>
        <w:gridCol w:w="1247"/>
        <w:gridCol w:w="62"/>
        <w:gridCol w:w="1977"/>
        <w:gridCol w:w="68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13102522P00903710002U</w:t>
            </w:r>
            <w:r>
              <w:rPr>
                <w:rFonts w:hint="eastAsia" w:ascii="宋体" w:hAnsi="宋体" w:eastAsia="宋体" w:cs="宋体"/>
                <w:b w:val="0"/>
                <w:bCs w:val="0"/>
                <w:i w:val="0"/>
                <w:iCs w:val="0"/>
                <w:color w:val="000000"/>
                <w:kern w:val="0"/>
                <w:sz w:val="18"/>
                <w:szCs w:val="18"/>
                <w:u w:val="none"/>
                <w:lang w:val="zh-CN" w:eastAsia="zh-CN"/>
              </w:rPr>
              <w:t>2022年留各庄绝热节能材料产业园规划环评编制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留各庄绝热节能材料产业园规划环评编制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留各庄绝热节能材料产业园规划环评编制第三次拨款项目资金，规划资金成本小于等于10万元，资金拨付及时率和及时率达到100%，影响年限大于等于10年，受益人群大于50万，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0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5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418"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14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8"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规划环评范围</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9.7</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根据总规面积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5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4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0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10.2022年阜草干渠污水处理厂运营经费绩效目标表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584"/>
        <w:gridCol w:w="641"/>
        <w:gridCol w:w="960"/>
        <w:gridCol w:w="1154"/>
        <w:gridCol w:w="1570"/>
        <w:gridCol w:w="2291"/>
        <w:gridCol w:w="1757"/>
        <w:gridCol w:w="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2022年阜草干渠污水处理厂运营经费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该项目资金用于阜草干渠运营包括电费、人工费等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1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36"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58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1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1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11.2022年创新研发</w:t>
      </w:r>
      <w:r>
        <w:rPr>
          <w:rFonts w:hint="eastAsia" w:ascii="Times New Roman" w:hAnsi="Times New Roman" w:eastAsia="仿宋_GB2312" w:cs="Times New Roman"/>
          <w:sz w:val="28"/>
          <w:lang w:val="en-US" w:eastAsia="zh-CN"/>
        </w:rPr>
        <w:t>区</w:t>
      </w:r>
      <w:r>
        <w:rPr>
          <w:rFonts w:hint="eastAsia" w:ascii="Times New Roman" w:hAnsi="Times New Roman" w:eastAsia="仿宋_GB2312" w:cs="Times New Roman"/>
          <w:sz w:val="28"/>
          <w:lang w:val="zh-CN" w:eastAsia="zh-CN"/>
        </w:rPr>
        <w:t>给水管道绩效目标表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66"/>
        <w:gridCol w:w="456"/>
        <w:gridCol w:w="714"/>
        <w:gridCol w:w="922"/>
        <w:gridCol w:w="1448"/>
        <w:gridCol w:w="653"/>
        <w:gridCol w:w="818"/>
        <w:gridCol w:w="714"/>
        <w:gridCol w:w="1508"/>
        <w:gridCol w:w="1216"/>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13102522P00905410001M</w:t>
            </w:r>
            <w:r>
              <w:rPr>
                <w:rFonts w:hint="eastAsia" w:ascii="宋体" w:hAnsi="宋体" w:eastAsia="宋体" w:cs="宋体"/>
                <w:b w:val="0"/>
                <w:bCs w:val="0"/>
                <w:i w:val="0"/>
                <w:iCs w:val="0"/>
                <w:color w:val="000000"/>
                <w:kern w:val="0"/>
                <w:sz w:val="18"/>
                <w:szCs w:val="18"/>
                <w:u w:val="none"/>
                <w:lang w:val="zh-CN" w:eastAsia="zh-CN"/>
              </w:rPr>
              <w:t>2022年创新研发去给水管</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该项目资金用于创新研发区给水管道工程款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给水主管道管道长度大于等于3087米，项目成本控制在25万元以内，资金支付率及资金支付及时率达到100%，受益人群2万人以上，群众满意度达到95%以上。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30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管道长度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给水管道长度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3087</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得到监理认可及评审报告</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资金数</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项目总成本</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影响年限</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对园区入驻企业提供用水保障</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w:t>
            </w:r>
          </w:p>
        </w:tc>
        <w:tc>
          <w:tcPr>
            <w:tcW w:w="23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65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1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2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3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12.2022年福州街前期费用绩效目标表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56"/>
        <w:gridCol w:w="366"/>
        <w:gridCol w:w="1314"/>
        <w:gridCol w:w="322"/>
        <w:gridCol w:w="1643"/>
        <w:gridCol w:w="812"/>
        <w:gridCol w:w="859"/>
        <w:gridCol w:w="319"/>
        <w:gridCol w:w="630"/>
        <w:gridCol w:w="2094"/>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13102522P009036100026</w:t>
            </w:r>
            <w:r>
              <w:rPr>
                <w:rFonts w:hint="eastAsia" w:ascii="宋体" w:hAnsi="宋体" w:eastAsia="宋体" w:cs="宋体"/>
                <w:b w:val="0"/>
                <w:bCs w:val="0"/>
                <w:i w:val="0"/>
                <w:iCs w:val="0"/>
                <w:color w:val="000000"/>
                <w:kern w:val="0"/>
                <w:sz w:val="18"/>
                <w:szCs w:val="18"/>
                <w:u w:val="none"/>
                <w:lang w:val="zh-CN" w:eastAsia="zh-CN"/>
              </w:rPr>
              <w:t>2022年福州街前期费用</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该项目资金用于福州街前期费用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现代园福州街道路设计费小于等于3万元，资金支付率及资金支付及时率达到100%，受益人群2万人以上，群众满意度达到95%以上。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2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19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9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9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9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13.2022年气雾剂产业园小型污水处理站尾款，运维及设备采购资金绩效目标表</w:t>
      </w:r>
    </w:p>
    <w:tbl>
      <w:tblPr>
        <w:tblStyle w:val="6"/>
        <w:tblW w:w="1524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3"/>
        <w:gridCol w:w="343"/>
        <w:gridCol w:w="1853"/>
        <w:gridCol w:w="1205"/>
        <w:gridCol w:w="1651"/>
        <w:gridCol w:w="1982"/>
        <w:gridCol w:w="1314"/>
        <w:gridCol w:w="1096"/>
        <w:gridCol w:w="314"/>
        <w:gridCol w:w="237"/>
        <w:gridCol w:w="2054"/>
        <w:gridCol w:w="362"/>
        <w:gridCol w:w="1431"/>
        <w:gridCol w:w="8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13102522P00905710001N</w:t>
            </w:r>
            <w:r>
              <w:rPr>
                <w:rFonts w:hint="eastAsia" w:ascii="宋体" w:hAnsi="宋体" w:eastAsia="宋体" w:cs="宋体"/>
                <w:b w:val="0"/>
                <w:bCs w:val="0"/>
                <w:i w:val="0"/>
                <w:iCs w:val="0"/>
                <w:color w:val="000000"/>
                <w:kern w:val="0"/>
                <w:sz w:val="18"/>
                <w:szCs w:val="18"/>
                <w:u w:val="none"/>
                <w:lang w:val="zh-CN" w:eastAsia="zh-CN"/>
              </w:rPr>
              <w:t>2022年气雾剂产业园小型污水处理站尾款，运维及设备采购</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气雾剂产业园小型污水处理站尾款，运维及设备采购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84"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8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29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6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15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15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项目尾款资金支付及时率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尾款资金拨付率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污水处理站数量</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建设污水处理站数量</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2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5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14.2022年撤退路南给水工程建设费绩效目标表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801"/>
        <w:gridCol w:w="1800"/>
        <w:gridCol w:w="457"/>
        <w:gridCol w:w="1373"/>
        <w:gridCol w:w="550"/>
        <w:gridCol w:w="832"/>
        <w:gridCol w:w="878"/>
        <w:gridCol w:w="379"/>
        <w:gridCol w:w="2345"/>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2022年撤退路南给水工程建设费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该项目资金用于撤退路南给水工程建设费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434"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5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4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15.2022年建档立卡脱贫户生产生活补助金绩效目标表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831"/>
        <w:gridCol w:w="591"/>
        <w:gridCol w:w="909"/>
        <w:gridCol w:w="727"/>
        <w:gridCol w:w="2059"/>
        <w:gridCol w:w="1363"/>
        <w:gridCol w:w="559"/>
        <w:gridCol w:w="2087"/>
        <w:gridCol w:w="28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13102522P009071100013</w:t>
            </w:r>
            <w:r>
              <w:rPr>
                <w:rFonts w:hint="eastAsia" w:ascii="宋体" w:hAnsi="宋体" w:eastAsia="宋体" w:cs="宋体"/>
                <w:b w:val="0"/>
                <w:bCs w:val="0"/>
                <w:i w:val="0"/>
                <w:iCs w:val="0"/>
                <w:color w:val="000000"/>
                <w:kern w:val="0"/>
                <w:sz w:val="18"/>
                <w:szCs w:val="18"/>
                <w:u w:val="none"/>
                <w:lang w:val="zh-CN" w:eastAsia="zh-CN"/>
              </w:rPr>
              <w:t>2022年建档立卡脱贫户生产生活补助金</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7039"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37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该项目资金用于建档立卡户过节补助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981"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67"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补助两侧补助2万元，及时足额发放满意度达到95%以上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8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0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8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反映发放次数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反映发放户数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户</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发放合格率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反映发放合格率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反映是否按照要求发放到位</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按照要求发放到位</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收益人数</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反映收益人数</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反映贫困户满意度</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78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3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16.2022年中源路路灯电费绩效目标表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07"/>
        <w:gridCol w:w="549"/>
        <w:gridCol w:w="951"/>
        <w:gridCol w:w="471"/>
        <w:gridCol w:w="729"/>
        <w:gridCol w:w="907"/>
        <w:gridCol w:w="1148"/>
        <w:gridCol w:w="598"/>
        <w:gridCol w:w="832"/>
        <w:gridCol w:w="1055"/>
        <w:gridCol w:w="185"/>
        <w:gridCol w:w="2539"/>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13102522P009042100013</w:t>
            </w:r>
            <w:r>
              <w:rPr>
                <w:rFonts w:hint="eastAsia" w:ascii="宋体" w:hAnsi="宋体" w:eastAsia="宋体" w:cs="宋体"/>
                <w:b w:val="0"/>
                <w:bCs w:val="0"/>
                <w:i w:val="0"/>
                <w:iCs w:val="0"/>
                <w:color w:val="000000"/>
                <w:kern w:val="0"/>
                <w:sz w:val="18"/>
                <w:szCs w:val="18"/>
                <w:u w:val="none"/>
                <w:lang w:val="zh-CN" w:eastAsia="zh-CN"/>
              </w:rPr>
              <w:t>中源路路灯电费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25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中源路路灯电费</w:t>
            </w:r>
            <w:r>
              <w:rPr>
                <w:rFonts w:hint="eastAsia" w:ascii="宋体" w:hAnsi="宋体" w:eastAsia="宋体" w:cs="宋体"/>
                <w:b w:val="0"/>
                <w:bCs w:val="0"/>
                <w:i w:val="0"/>
                <w:iCs w:val="0"/>
                <w:color w:val="000000"/>
                <w:kern w:val="0"/>
                <w:sz w:val="18"/>
                <w:szCs w:val="18"/>
                <w:u w:val="none"/>
                <w:lang w:val="en-US" w:eastAsia="zh-CN"/>
              </w:rPr>
              <w:t>以及电损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25%</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75%</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保障路灯正常运转，项目成本控制在18.25万元以内，服务群众满意度达到95%以上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67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61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61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运转天数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反映运转天数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运转合格率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反映运转合格率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18.25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服务群众满意度</w:t>
            </w:r>
          </w:p>
        </w:tc>
        <w:tc>
          <w:tcPr>
            <w:tcW w:w="20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反映服务群众满意度</w:t>
            </w:r>
          </w:p>
        </w:tc>
        <w:tc>
          <w:tcPr>
            <w:tcW w:w="59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1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17.2022年现代园现状补测费绩效目标表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726"/>
        <w:gridCol w:w="696"/>
        <w:gridCol w:w="1077"/>
        <w:gridCol w:w="559"/>
        <w:gridCol w:w="1691"/>
        <w:gridCol w:w="968"/>
        <w:gridCol w:w="886"/>
        <w:gridCol w:w="88"/>
        <w:gridCol w:w="1768"/>
        <w:gridCol w:w="956"/>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13102522P00903510002G</w:t>
            </w:r>
            <w:r>
              <w:rPr>
                <w:rFonts w:hint="eastAsia" w:ascii="宋体" w:hAnsi="宋体" w:eastAsia="宋体" w:cs="宋体"/>
                <w:b w:val="0"/>
                <w:bCs w:val="0"/>
                <w:i w:val="0"/>
                <w:iCs w:val="0"/>
                <w:color w:val="000000"/>
                <w:kern w:val="0"/>
                <w:sz w:val="18"/>
                <w:szCs w:val="18"/>
                <w:u w:val="none"/>
                <w:lang w:val="zh-CN" w:eastAsia="zh-CN"/>
              </w:rPr>
              <w:t>2022年现代园现状补测费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园现状补测</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新能源车产业园规划编制土地调规不少于3000亩，编制评估报告符合国家规定，购置规划编制文本质量合格率达到95%以上，成本控制在11.5万元以下，项目2020年11月份完工验收，用地企业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7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059" w:type="dxa"/>
            <w:gridSpan w:val="4"/>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7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059" w:type="dxa"/>
            <w:gridSpan w:val="4"/>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编制规划土地量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反映编制规划土地量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编制测绘报告合格率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反映测绘报告合格率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覆盖率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反映覆盖率</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及时完成性</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测绘费</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反映测绘费用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企业数量</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反映用地企业数量</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1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7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2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0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18.2022年</w:t>
      </w:r>
      <w:r>
        <w:rPr>
          <w:rFonts w:hint="eastAsia" w:ascii="Times New Roman" w:hAnsi="Times New Roman" w:eastAsia="仿宋_GB2312" w:cs="Times New Roman"/>
          <w:sz w:val="28"/>
          <w:lang w:val="en-US" w:eastAsia="zh-CN"/>
        </w:rPr>
        <w:t>祖寺大坑治理</w:t>
      </w:r>
      <w:r>
        <w:rPr>
          <w:rFonts w:hint="eastAsia" w:ascii="Times New Roman" w:hAnsi="Times New Roman" w:eastAsia="仿宋_GB2312" w:cs="Times New Roman"/>
          <w:sz w:val="28"/>
          <w:lang w:val="zh-CN" w:eastAsia="zh-CN"/>
        </w:rPr>
        <w:t>绩效目标表 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87"/>
        <w:gridCol w:w="369"/>
        <w:gridCol w:w="1026"/>
        <w:gridCol w:w="396"/>
        <w:gridCol w:w="1209"/>
        <w:gridCol w:w="427"/>
        <w:gridCol w:w="2078"/>
        <w:gridCol w:w="1119"/>
        <w:gridCol w:w="436"/>
        <w:gridCol w:w="322"/>
        <w:gridCol w:w="2046"/>
        <w:gridCol w:w="3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13102522P00907610001F</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祖寺大坑治理</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11</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该项目资金用于祖寺大坑治理费用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2021年祖寺大坑治理费用小于等于11.803119万元，治理合格率大于等于100%，资金拨付及时率大于等于100%，影响年限10年以上，群众满意度达到95%，受益人群大于1万人。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92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坑塘数</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治理合格率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依据治理结果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依据拨付时间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治理费</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2021年大坑治理费用</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11.8</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群众满意率</w:t>
            </w:r>
          </w:p>
        </w:tc>
        <w:tc>
          <w:tcPr>
            <w:tcW w:w="25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11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4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19.2022年现代园控规修改论证报告绩效目标表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32"/>
        <w:gridCol w:w="324"/>
        <w:gridCol w:w="1011"/>
        <w:gridCol w:w="411"/>
        <w:gridCol w:w="1636"/>
        <w:gridCol w:w="218"/>
        <w:gridCol w:w="2805"/>
        <w:gridCol w:w="610"/>
        <w:gridCol w:w="213"/>
        <w:gridCol w:w="655"/>
        <w:gridCol w:w="1856"/>
        <w:gridCol w:w="176"/>
        <w:gridCol w:w="2115"/>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13102522P00903210002F</w:t>
            </w:r>
            <w:r>
              <w:rPr>
                <w:rFonts w:hint="eastAsia" w:ascii="宋体" w:hAnsi="宋体" w:eastAsia="宋体" w:cs="宋体"/>
                <w:b w:val="0"/>
                <w:bCs w:val="0"/>
                <w:i w:val="0"/>
                <w:iCs w:val="0"/>
                <w:color w:val="000000"/>
                <w:kern w:val="0"/>
                <w:sz w:val="18"/>
                <w:szCs w:val="18"/>
                <w:u w:val="none"/>
                <w:lang w:val="zh-CN" w:eastAsia="zh-CN"/>
              </w:rPr>
              <w:t>2022年现代园控规修改论证报告</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该项目资金用于现代园控规论证报告编制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控制性详细规划设施用地地块调整不多于4个，编制评估报告达到符合国家规定，用地企业及主管部门满意度达到95%以上，对控制性详细规划进行调整，用于达到园区规划趋于合理，最终使园区经济更好发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05"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10"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05"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913"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反映完工实际完成及时情况</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3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80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8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5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0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913"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20.2022年雨水,燃气，电力，电信，地下管廊，生态保护，景观规划，市政专项规划编制绩效目标表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37"/>
        <w:gridCol w:w="519"/>
        <w:gridCol w:w="891"/>
        <w:gridCol w:w="531"/>
        <w:gridCol w:w="654"/>
        <w:gridCol w:w="982"/>
        <w:gridCol w:w="2828"/>
        <w:gridCol w:w="786"/>
        <w:gridCol w:w="19"/>
        <w:gridCol w:w="759"/>
        <w:gridCol w:w="1965"/>
        <w:gridCol w:w="26"/>
        <w:gridCol w:w="2265"/>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13102522P00905010001Y</w:t>
            </w:r>
            <w:r>
              <w:rPr>
                <w:rFonts w:hint="eastAsia" w:ascii="宋体" w:hAnsi="宋体" w:eastAsia="宋体" w:cs="宋体"/>
                <w:b w:val="0"/>
                <w:bCs w:val="0"/>
                <w:i w:val="0"/>
                <w:iCs w:val="0"/>
                <w:color w:val="000000"/>
                <w:kern w:val="0"/>
                <w:sz w:val="18"/>
                <w:szCs w:val="18"/>
                <w:u w:val="none"/>
                <w:lang w:val="zh-CN" w:eastAsia="zh-CN"/>
              </w:rPr>
              <w:t>2022年雨水,燃气，电力，电信，地下管廊，生态保护，景观规划，市政专项规划编制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该项目资金用于气雾剂产业园</w:t>
            </w:r>
            <w:r>
              <w:rPr>
                <w:rFonts w:hint="eastAsia" w:ascii="宋体" w:hAnsi="宋体" w:eastAsia="宋体" w:cs="宋体"/>
                <w:b w:val="0"/>
                <w:bCs w:val="0"/>
                <w:i w:val="0"/>
                <w:iCs w:val="0"/>
                <w:color w:val="000000"/>
                <w:kern w:val="0"/>
                <w:sz w:val="18"/>
                <w:szCs w:val="18"/>
                <w:u w:val="none"/>
                <w:lang w:val="zh-CN" w:eastAsia="zh-CN"/>
              </w:rPr>
              <w:t>雨水,燃气，电力，电信，地下管廊，生态保护，景观规划，市政专项规划编制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通过编制气雾剂产业园雨水、燃气、电力、电信、地下管廊、生态保护、景观规划市政专项规划7项专项规划，达到编制规划合格率100%，按合同约定的工期和成本完成。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8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7"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1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1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8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8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7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21.2022年现代园控规修改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91"/>
        <w:gridCol w:w="531"/>
        <w:gridCol w:w="1636"/>
        <w:gridCol w:w="38"/>
        <w:gridCol w:w="2670"/>
        <w:gridCol w:w="925"/>
        <w:gridCol w:w="36"/>
        <w:gridCol w:w="804"/>
        <w:gridCol w:w="1828"/>
        <w:gridCol w:w="56"/>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13102522P00903110003D</w:t>
            </w:r>
            <w:r>
              <w:rPr>
                <w:rFonts w:hint="eastAsia" w:ascii="宋体" w:hAnsi="宋体" w:eastAsia="宋体" w:cs="宋体"/>
                <w:b w:val="0"/>
                <w:bCs w:val="0"/>
                <w:i w:val="0"/>
                <w:iCs w:val="0"/>
                <w:color w:val="000000"/>
                <w:kern w:val="0"/>
                <w:sz w:val="18"/>
                <w:szCs w:val="18"/>
                <w:u w:val="none"/>
                <w:lang w:val="zh-CN" w:eastAsia="zh-CN"/>
              </w:rPr>
              <w:t>现代园控规修改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该项目资金用于现代园控规修改编制费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反应调整规模4个，资金及时足额发放满意度达到95%以上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20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9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0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32"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控规设施用地调整数量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反映调整规模</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编制评估报告合格率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反映编制评估报告合格率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购置规划编制文本合格率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反映购置规划编制文本合格率</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反映完工实际及时情况</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规划编制费用</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反映规划编制费用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调规受益企业数量</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园区辖区内企业数量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服务对象满意率</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反映用地企业满意度</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20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6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w:t>
            </w:r>
          </w:p>
        </w:tc>
        <w:tc>
          <w:tcPr>
            <w:tcW w:w="96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32"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22.2022年现代园突发环境事件应急预案</w:t>
      </w:r>
      <w:r>
        <w:rPr>
          <w:rFonts w:ascii="Times New Roman" w:hAnsi="Times New Roman" w:eastAsia="仿宋_GB2312" w:cs="Times New Roman"/>
          <w:sz w:val="28"/>
        </w:rPr>
        <w:t>绩效目标表</w:t>
      </w:r>
    </w:p>
    <w:tbl>
      <w:tblPr>
        <w:tblStyle w:val="6"/>
        <w:tblpPr w:leftFromText="180" w:rightFromText="180" w:vertAnchor="text" w:horzAnchor="page" w:tblpX="1535" w:tblpY="590"/>
        <w:tblOverlap w:val="never"/>
        <w:tblW w:w="1517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191"/>
        <w:gridCol w:w="231"/>
        <w:gridCol w:w="1584"/>
        <w:gridCol w:w="52"/>
        <w:gridCol w:w="2873"/>
        <w:gridCol w:w="687"/>
        <w:gridCol w:w="73"/>
        <w:gridCol w:w="445"/>
        <w:gridCol w:w="1841"/>
        <w:gridCol w:w="43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13102522P00904010002B</w:t>
            </w:r>
            <w:r>
              <w:rPr>
                <w:rFonts w:hint="eastAsia" w:ascii="宋体" w:hAnsi="宋体" w:eastAsia="宋体" w:cs="宋体"/>
                <w:b w:val="0"/>
                <w:bCs w:val="0"/>
                <w:i w:val="0"/>
                <w:iCs w:val="0"/>
                <w:color w:val="000000"/>
                <w:kern w:val="0"/>
                <w:sz w:val="18"/>
                <w:szCs w:val="18"/>
                <w:u w:val="none"/>
                <w:lang w:val="zh-CN" w:eastAsia="zh-CN"/>
              </w:rPr>
              <w:t>现代园突发环境事件应急预案</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现代园突发环境事件应急预案</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1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54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1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9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68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5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23.2022年招商中心运转经费项目</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47"/>
        <w:gridCol w:w="609"/>
        <w:gridCol w:w="696"/>
        <w:gridCol w:w="726"/>
        <w:gridCol w:w="909"/>
        <w:gridCol w:w="727"/>
        <w:gridCol w:w="1838"/>
        <w:gridCol w:w="944"/>
        <w:gridCol w:w="851"/>
        <w:gridCol w:w="281"/>
        <w:gridCol w:w="2128"/>
        <w:gridCol w:w="315"/>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13102522P00906810001K</w:t>
            </w:r>
            <w:r>
              <w:rPr>
                <w:rFonts w:hint="eastAsia" w:ascii="宋体" w:hAnsi="宋体" w:eastAsia="宋体" w:cs="宋体"/>
                <w:b w:val="0"/>
                <w:bCs w:val="0"/>
                <w:i w:val="0"/>
                <w:iCs w:val="0"/>
                <w:color w:val="000000"/>
                <w:kern w:val="0"/>
                <w:sz w:val="18"/>
                <w:szCs w:val="18"/>
                <w:u w:val="none"/>
                <w:lang w:val="zh-CN" w:eastAsia="zh-CN"/>
              </w:rPr>
              <w:t>2022年招商中心运转经费项目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该项目资金用于招商中心</w:t>
            </w:r>
            <w:r>
              <w:rPr>
                <w:rFonts w:hint="eastAsia" w:ascii="宋体" w:hAnsi="宋体" w:cs="宋体"/>
                <w:b w:val="0"/>
                <w:bCs w:val="0"/>
                <w:i w:val="0"/>
                <w:iCs w:val="0"/>
                <w:color w:val="000000"/>
                <w:kern w:val="0"/>
                <w:sz w:val="18"/>
                <w:szCs w:val="18"/>
                <w:u w:val="none"/>
                <w:lang w:val="en-US" w:eastAsia="zh-CN"/>
              </w:rPr>
              <w:t>运转包括电费、电话费、劳务费等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主要是支付7269.7平米办公地点房租，确保我单位正常运行，预计受益人数74人，满意度90%以上。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5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418"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面积</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办公面积</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7269.7</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楼体个数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租金支付准确性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反应租金支付准确性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房租费用</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30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完成及时性</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反应支付租金的及时性</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74</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受益村街数</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保证园区招商引资工作的正常运转</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0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0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5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94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212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41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24.2022年阜草干渠护坡工程项目</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97"/>
        <w:gridCol w:w="459"/>
        <w:gridCol w:w="996"/>
        <w:gridCol w:w="426"/>
        <w:gridCol w:w="1431"/>
        <w:gridCol w:w="205"/>
        <w:gridCol w:w="1950"/>
        <w:gridCol w:w="1241"/>
        <w:gridCol w:w="442"/>
        <w:gridCol w:w="239"/>
        <w:gridCol w:w="2414"/>
        <w:gridCol w:w="71"/>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13102522P009060100016</w:t>
            </w:r>
            <w:r>
              <w:rPr>
                <w:rFonts w:hint="eastAsia" w:ascii="宋体" w:hAnsi="宋体" w:eastAsia="宋体" w:cs="宋体"/>
                <w:b w:val="0"/>
                <w:bCs w:val="0"/>
                <w:i w:val="0"/>
                <w:iCs w:val="0"/>
                <w:color w:val="000000"/>
                <w:kern w:val="0"/>
                <w:sz w:val="18"/>
                <w:szCs w:val="18"/>
                <w:u w:val="none"/>
                <w:lang w:val="zh-CN" w:eastAsia="zh-CN"/>
              </w:rPr>
              <w:t>2022年阜草干渠护坡工程项目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7</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178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该项目资金用于阜草干渠护坡工程尾款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修建工程137米，拨付项目资金资金7.17895万元，资金支付率等于100%，资金拨付及时率等于100%，合同完成率100%，项目2020年11月份完工，收益人数2万人，受访群众及主管部门满意度达到95%以上。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5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5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137</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反映污水处理合格率</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反映项目工程款</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7.18</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完工及时性</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反映工程完工时间</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2022年4月</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反映受益人数</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受访群众满意度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5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主管部门满意度</w:t>
            </w:r>
          </w:p>
        </w:tc>
        <w:tc>
          <w:tcPr>
            <w:tcW w:w="21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放映主管部门小组满意度</w:t>
            </w:r>
          </w:p>
        </w:tc>
        <w:tc>
          <w:tcPr>
            <w:tcW w:w="12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8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41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25.2022年新能源车产业园规划环评报告编制</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82"/>
        <w:gridCol w:w="474"/>
        <w:gridCol w:w="951"/>
        <w:gridCol w:w="471"/>
        <w:gridCol w:w="774"/>
        <w:gridCol w:w="862"/>
        <w:gridCol w:w="1238"/>
        <w:gridCol w:w="1039"/>
        <w:gridCol w:w="615"/>
        <w:gridCol w:w="741"/>
        <w:gridCol w:w="1808"/>
        <w:gridCol w:w="916"/>
        <w:gridCol w:w="2291"/>
        <w:gridCol w:w="1771"/>
        <w:gridCol w:w="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13102522P00906110001U</w:t>
            </w:r>
            <w:r>
              <w:rPr>
                <w:rFonts w:hint="eastAsia" w:ascii="宋体" w:hAnsi="宋体" w:eastAsia="宋体" w:cs="宋体"/>
                <w:b w:val="0"/>
                <w:bCs w:val="0"/>
                <w:i w:val="0"/>
                <w:iCs w:val="0"/>
                <w:color w:val="000000"/>
                <w:kern w:val="0"/>
                <w:sz w:val="18"/>
                <w:szCs w:val="18"/>
                <w:u w:val="none"/>
                <w:lang w:val="zh-CN" w:eastAsia="zh-CN"/>
              </w:rPr>
              <w:t>2022年新能源车产业园规划环评报告编制</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新能源车产业园规划环评报告编制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2022年新能源车产业园规划环评报告编制39.3万元，资金拨付率及资金拨付及时率达到100%，偿服务群众以及主管部门满意度95%以上。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203"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9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反映编制数</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编制费</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22" w:type="dxa"/>
          <w:trHeight w:val="330" w:hRule="atLeast"/>
        </w:trPr>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1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103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54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9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26.2022年开发策划研究</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37"/>
        <w:gridCol w:w="219"/>
        <w:gridCol w:w="1071"/>
        <w:gridCol w:w="351"/>
        <w:gridCol w:w="729"/>
        <w:gridCol w:w="907"/>
        <w:gridCol w:w="2783"/>
        <w:gridCol w:w="722"/>
        <w:gridCol w:w="128"/>
        <w:gridCol w:w="704"/>
        <w:gridCol w:w="1432"/>
        <w:gridCol w:w="588"/>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13102522P009053100010</w:t>
            </w:r>
            <w:r>
              <w:rPr>
                <w:rFonts w:hint="eastAsia" w:ascii="宋体" w:hAnsi="宋体" w:eastAsia="宋体" w:cs="宋体"/>
                <w:b w:val="0"/>
                <w:bCs w:val="0"/>
                <w:i w:val="0"/>
                <w:iCs w:val="0"/>
                <w:color w:val="000000"/>
                <w:kern w:val="0"/>
                <w:sz w:val="18"/>
                <w:szCs w:val="18"/>
                <w:u w:val="none"/>
                <w:lang w:val="zh-CN" w:eastAsia="zh-CN"/>
              </w:rPr>
              <w:t>2022年开发策划研究</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开发策划研究</w:t>
            </w:r>
            <w:r>
              <w:rPr>
                <w:rFonts w:hint="eastAsia" w:ascii="宋体" w:hAnsi="宋体" w:eastAsia="宋体" w:cs="宋体"/>
                <w:b w:val="0"/>
                <w:bCs w:val="0"/>
                <w:i w:val="0"/>
                <w:iCs w:val="0"/>
                <w:color w:val="000000"/>
                <w:kern w:val="0"/>
                <w:sz w:val="18"/>
                <w:szCs w:val="18"/>
                <w:u w:val="none"/>
                <w:lang w:val="en-US" w:eastAsia="zh-CN"/>
              </w:rPr>
              <w:t>各项费用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更好的完善园区基础设施为区域发展和入园企业提供服务，为企业到大城投资项目落地提供了必要条件。达到编制规划合格率100%，按合同约定的工期和成本完成。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6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8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7"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编制专项规划可为项目落地提供规划依据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包括园区内5个村街的群众</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编制专项规划可解决现有企业用水、用气等问题为新项目落地提供规划依据</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4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4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27.2022年现代园空气监测站运营经费项目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116"/>
        <w:gridCol w:w="306"/>
        <w:gridCol w:w="1074"/>
        <w:gridCol w:w="562"/>
        <w:gridCol w:w="1703"/>
        <w:gridCol w:w="916"/>
        <w:gridCol w:w="832"/>
        <w:gridCol w:w="182"/>
        <w:gridCol w:w="2422"/>
        <w:gridCol w:w="302"/>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13102522P009074100014</w:t>
            </w:r>
            <w:r>
              <w:rPr>
                <w:rFonts w:hint="eastAsia" w:ascii="宋体" w:hAnsi="宋体" w:eastAsia="宋体" w:cs="宋体"/>
                <w:b w:val="0"/>
                <w:bCs w:val="0"/>
                <w:i w:val="0"/>
                <w:iCs w:val="0"/>
                <w:color w:val="000000"/>
                <w:kern w:val="0"/>
                <w:sz w:val="18"/>
                <w:szCs w:val="18"/>
                <w:u w:val="none"/>
                <w:lang w:val="zh-CN" w:eastAsia="zh-CN"/>
              </w:rPr>
              <w:t>2022年现代园空气监测站运营经费项目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现代园空气监测站运营经费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依照工作需要，及时拨付空气检测站运营经费，运营经费成本小于等于3万元，运营经费拨付及时率和及时率达到100%，影响年限大于等于1年，全年正常运营天数365天。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78"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天数</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空气检测站正常运营天数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运营经费</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空气监测站运营经费</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5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满意率</w:t>
            </w:r>
          </w:p>
        </w:tc>
        <w:tc>
          <w:tcPr>
            <w:tcW w:w="22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9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3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60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78"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28.2022年撤退路南给水工程前期费</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880"/>
        <w:gridCol w:w="2196"/>
        <w:gridCol w:w="557"/>
        <w:gridCol w:w="539"/>
        <w:gridCol w:w="663"/>
        <w:gridCol w:w="1522"/>
        <w:gridCol w:w="454"/>
        <w:gridCol w:w="1837"/>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13102522P009045100014</w:t>
            </w:r>
            <w:r>
              <w:rPr>
                <w:rFonts w:hint="eastAsia" w:ascii="宋体" w:hAnsi="宋体" w:eastAsia="宋体" w:cs="宋体"/>
                <w:b w:val="0"/>
                <w:bCs w:val="0"/>
                <w:i w:val="0"/>
                <w:iCs w:val="0"/>
                <w:color w:val="000000"/>
                <w:kern w:val="0"/>
                <w:sz w:val="18"/>
                <w:szCs w:val="18"/>
                <w:u w:val="none"/>
                <w:lang w:val="zh-CN" w:eastAsia="zh-CN"/>
              </w:rPr>
              <w:t>2022年撤退路南给水工程前期费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0.</w:t>
            </w:r>
            <w:r>
              <w:rPr>
                <w:rFonts w:hint="eastAsia" w:ascii="宋体" w:hAnsi="宋体" w:eastAsia="宋体" w:cs="宋体"/>
                <w:b w:val="0"/>
                <w:bCs w:val="0"/>
                <w:i w:val="0"/>
                <w:iCs w:val="0"/>
                <w:color w:val="000000"/>
                <w:kern w:val="0"/>
                <w:sz w:val="18"/>
                <w:szCs w:val="18"/>
                <w:u w:val="none"/>
                <w:lang w:val="en-US" w:eastAsia="zh-CN"/>
              </w:rPr>
              <w:t>9</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撤退路南给水工程前期费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现代园撤退路南给水工程前期费小于等于0.9万元，资金支付率及资金支付及时率达到100%，受益人群2万人以上，群众满意度达到95%以上。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19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649"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649"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施工图设计</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当年费用总成本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0.9</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1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64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29.2022年偿还市政二公司工程款</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221"/>
        <w:gridCol w:w="201"/>
        <w:gridCol w:w="1299"/>
        <w:gridCol w:w="337"/>
        <w:gridCol w:w="2138"/>
        <w:gridCol w:w="672"/>
        <w:gridCol w:w="823"/>
        <w:gridCol w:w="145"/>
        <w:gridCol w:w="1797"/>
        <w:gridCol w:w="782"/>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13102522P00905810001C</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2022年偿还市政二公司工程款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2022年偿还廊坊市政二公司工程款30万元，资金拨付率及资金拨付及时率达到100%，偿还周期为一年，达到廊坊市政二公司，拖欠工资工人以及园区工作小组满意度95%以上。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47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437"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885"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工程款</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反映偿还工程款</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反映资金拨付及时率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偿还周期</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反映偿还周期</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收益群众</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反应收益群众</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受益公司满意率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反映受益公司满意率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受益群众满意率</w:t>
            </w:r>
          </w:p>
        </w:tc>
        <w:tc>
          <w:tcPr>
            <w:tcW w:w="247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反映受益群众满意率</w:t>
            </w:r>
          </w:p>
        </w:tc>
        <w:tc>
          <w:tcPr>
            <w:tcW w:w="67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79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88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30.2022年现代园空气监测站护栏维修</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52"/>
        <w:gridCol w:w="204"/>
        <w:gridCol w:w="1422"/>
        <w:gridCol w:w="570"/>
        <w:gridCol w:w="1066"/>
        <w:gridCol w:w="584"/>
        <w:gridCol w:w="3049"/>
        <w:gridCol w:w="27"/>
        <w:gridCol w:w="1096"/>
        <w:gridCol w:w="663"/>
        <w:gridCol w:w="938"/>
        <w:gridCol w:w="1038"/>
        <w:gridCol w:w="1253"/>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13102522P009039100027</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86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2022年现代园空气监测站护栏维修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现代园武汉北路工程监理费小于等于3.86万元，资金支付率及资金支付及时率达到100%，受益人群2万人以上，群众满意度达到95%以上。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7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3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0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0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给水管网长度</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监理费</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工程费</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3.86</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引进企业</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为招商引资引进企业打好基础</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5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3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09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6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0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31.2022年大城县经济开发区管理委员会非公党建经费项目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02"/>
        <w:gridCol w:w="354"/>
        <w:gridCol w:w="786"/>
        <w:gridCol w:w="636"/>
        <w:gridCol w:w="1636"/>
        <w:gridCol w:w="293"/>
        <w:gridCol w:w="2370"/>
        <w:gridCol w:w="842"/>
        <w:gridCol w:w="128"/>
        <w:gridCol w:w="799"/>
        <w:gridCol w:w="1841"/>
        <w:gridCol w:w="8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13102522P009063100017</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大城县经济开发区管理委员会非公党建经费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打造经开区非公党支部大于等于9个，非公企业党支部合格率100%，建立经开区非公党建平台，所需资金成本小于等于50万元，资金拨付率和及时率都达到100%，受益人群大于等于1000人，群众满意度大于等于95%。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4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6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7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1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6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6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党支部数量</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打造非公企业党支部</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非公企业党支部合格率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拨付及时率</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资金拨付及时率</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夯实党的执政基础</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夯实</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0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4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6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37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84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2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4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6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32.2022年现代园环评跟踪评价</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27"/>
        <w:gridCol w:w="429"/>
        <w:gridCol w:w="966"/>
        <w:gridCol w:w="456"/>
        <w:gridCol w:w="1209"/>
        <w:gridCol w:w="427"/>
        <w:gridCol w:w="1403"/>
        <w:gridCol w:w="1120"/>
        <w:gridCol w:w="1064"/>
        <w:gridCol w:w="46"/>
        <w:gridCol w:w="2121"/>
        <w:gridCol w:w="60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13102522P009033100025</w:t>
            </w:r>
            <w:r>
              <w:rPr>
                <w:rFonts w:hint="eastAsia" w:ascii="宋体" w:hAnsi="宋体" w:eastAsia="宋体" w:cs="宋体"/>
                <w:b w:val="0"/>
                <w:bCs w:val="0"/>
                <w:i w:val="0"/>
                <w:iCs w:val="0"/>
                <w:color w:val="000000"/>
                <w:kern w:val="0"/>
                <w:sz w:val="18"/>
                <w:szCs w:val="18"/>
                <w:u w:val="none"/>
                <w:lang w:val="zh-CN" w:eastAsia="zh-CN"/>
              </w:rPr>
              <w:t>2022年现代园环评跟踪评价</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2022年现代园环评跟踪评价</w:t>
            </w:r>
            <w:r>
              <w:rPr>
                <w:rFonts w:hint="eastAsia" w:ascii="宋体" w:hAnsi="宋体" w:eastAsia="宋体" w:cs="宋体"/>
                <w:b w:val="0"/>
                <w:bCs w:val="0"/>
                <w:i w:val="0"/>
                <w:iCs w:val="0"/>
                <w:color w:val="000000"/>
                <w:kern w:val="0"/>
                <w:sz w:val="18"/>
                <w:szCs w:val="18"/>
                <w:u w:val="none"/>
                <w:lang w:val="en-US" w:eastAsia="zh-CN"/>
              </w:rPr>
              <w:t>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9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67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9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8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112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6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6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67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33.2022年土地流转资金项目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167"/>
        <w:gridCol w:w="489"/>
        <w:gridCol w:w="999"/>
        <w:gridCol w:w="423"/>
        <w:gridCol w:w="1074"/>
        <w:gridCol w:w="562"/>
        <w:gridCol w:w="1658"/>
        <w:gridCol w:w="480"/>
        <w:gridCol w:w="999"/>
        <w:gridCol w:w="496"/>
        <w:gridCol w:w="1176"/>
        <w:gridCol w:w="1548"/>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13102522P009069100019</w:t>
            </w:r>
            <w:r>
              <w:rPr>
                <w:rFonts w:hint="eastAsia" w:ascii="宋体" w:hAnsi="宋体" w:eastAsia="宋体" w:cs="宋体"/>
                <w:b w:val="0"/>
                <w:bCs w:val="0"/>
                <w:i w:val="0"/>
                <w:iCs w:val="0"/>
                <w:color w:val="000000"/>
                <w:kern w:val="0"/>
                <w:sz w:val="18"/>
                <w:szCs w:val="18"/>
                <w:u w:val="none"/>
                <w:lang w:val="zh-CN" w:eastAsia="zh-CN"/>
              </w:rPr>
              <w:t>2022年土地流转资金项目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540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2022年土地流转资金项目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本项目的开展，达到项目资金使用合格率≥100%、项目资金支付及时率≥100%、项目资金实际支付≤540万元等绩效目标，完成年度绩效目标。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88"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97"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2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1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97"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24"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流转面积</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反映流转土地的面积</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2800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资金使用效果</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资金使用合格率</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资金支付完成情况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时限</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流转成功土地时限</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365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根据园区规划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资金拨付情况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资金使用率</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资金使用情况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540</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长效健全机制</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反应该项目机制情况</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1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88"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9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受益人群满意度</w:t>
            </w:r>
          </w:p>
        </w:tc>
        <w:tc>
          <w:tcPr>
            <w:tcW w:w="22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被租用户人员满意度</w:t>
            </w:r>
          </w:p>
        </w:tc>
        <w:tc>
          <w:tcPr>
            <w:tcW w:w="4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99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6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24"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34.2022年留各庄绝热节能材料园和金地工业聚集区突发环境事件应急预案</w:t>
      </w:r>
      <w:r>
        <w:rPr>
          <w:rFonts w:ascii="Times New Roman" w:hAnsi="Times New Roman" w:eastAsia="仿宋_GB2312" w:cs="Times New Roman"/>
          <w:sz w:val="28"/>
        </w:rPr>
        <w:t>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786"/>
        <w:gridCol w:w="636"/>
        <w:gridCol w:w="984"/>
        <w:gridCol w:w="652"/>
        <w:gridCol w:w="1281"/>
        <w:gridCol w:w="982"/>
        <w:gridCol w:w="791"/>
        <w:gridCol w:w="579"/>
        <w:gridCol w:w="1289"/>
        <w:gridCol w:w="1435"/>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13102522P009041100021</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2万元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2022年留各庄绝热节能材料园和金地工业聚集区突发环境事件应急预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依照工作需要，根据省厅要求需要进行跟踪评价，确保年底前完成资金拨付及时率和及时率达到100%，影响年限大于等于10年，受益企业大于20个，群众满意度达到95%，为企业落户提供依据及指导。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93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4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3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项目资金总额</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受益企业数量</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2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193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9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6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r>
        <w:rPr>
          <w:rFonts w:hint="eastAsia" w:ascii="宋体" w:hAnsi="宋体" w:eastAsia="宋体" w:cs="宋体"/>
          <w:b/>
          <w:bCs/>
          <w:i w:val="0"/>
          <w:iCs w:val="0"/>
          <w:color w:val="000000"/>
          <w:kern w:val="0"/>
          <w:sz w:val="18"/>
          <w:szCs w:val="18"/>
          <w:u w:val="none"/>
          <w:lang w:val="zh-CN" w:eastAsia="zh-CN"/>
        </w:rPr>
        <w:t> </w:t>
      </w:r>
    </w:p>
    <w:p>
      <w:pPr>
        <w:widowControl/>
        <w:jc w:val="both"/>
        <w:textAlignment w:val="center"/>
        <w:rPr>
          <w:rFonts w:hint="eastAsia" w:ascii="Times New Roman" w:hAnsi="Times New Roman" w:eastAsia="仿宋_GB2312" w:cs="Times New Roman"/>
          <w:sz w:val="28"/>
          <w:lang w:val="zh-CN" w:eastAsia="zh-CN"/>
        </w:rPr>
      </w:pPr>
      <w:r>
        <w:rPr>
          <w:rFonts w:hint="eastAsia" w:ascii="宋体" w:hAnsi="宋体" w:cs="宋体"/>
          <w:b/>
          <w:bCs/>
          <w:i w:val="0"/>
          <w:iCs w:val="0"/>
          <w:color w:val="000000"/>
          <w:kern w:val="0"/>
          <w:sz w:val="18"/>
          <w:szCs w:val="18"/>
          <w:u w:val="none"/>
          <w:lang w:val="en-US" w:eastAsia="zh-CN"/>
        </w:rPr>
        <w:t xml:space="preserve">      </w:t>
      </w:r>
      <w:r>
        <w:rPr>
          <w:rFonts w:hint="eastAsia" w:ascii="Times New Roman" w:hAnsi="Times New Roman" w:eastAsia="仿宋_GB2312" w:cs="Times New Roman"/>
          <w:sz w:val="28"/>
          <w:lang w:val="zh-CN" w:eastAsia="zh-CN"/>
        </w:rPr>
        <w:t>35.2022年特色小镇整体城市设计</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656"/>
        <w:gridCol w:w="141"/>
        <w:gridCol w:w="1281"/>
        <w:gridCol w:w="519"/>
        <w:gridCol w:w="1117"/>
        <w:gridCol w:w="683"/>
        <w:gridCol w:w="1800"/>
        <w:gridCol w:w="777"/>
        <w:gridCol w:w="373"/>
        <w:gridCol w:w="663"/>
        <w:gridCol w:w="1868"/>
        <w:gridCol w:w="193"/>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13102522P00905210001A</w:t>
            </w:r>
            <w:r>
              <w:rPr>
                <w:rFonts w:hint="eastAsia" w:ascii="宋体" w:hAnsi="宋体" w:eastAsia="宋体" w:cs="宋体"/>
                <w:b w:val="0"/>
                <w:bCs w:val="0"/>
                <w:i w:val="0"/>
                <w:iCs w:val="0"/>
                <w:color w:val="000000"/>
                <w:kern w:val="0"/>
                <w:sz w:val="18"/>
                <w:szCs w:val="18"/>
                <w:u w:val="none"/>
                <w:lang w:val="zh-CN" w:eastAsia="zh-CN"/>
              </w:rPr>
              <w:t>2022年特色小镇整体城市设计</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10万元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2022年特色小镇整体城市设计2022年特色小镇整体城市设计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气雾剂产业园街道系统、广场与公园系统、慢行系统、绿道系统、视廊系统、河流水系、城市风貌、建筑色彩、城市天际线、户外广告和夜景照明等市政专项工程实施提供依据，更好的完善园区基础设施为区域发展和入园企业提供服务，为企业到大城投资项目落地提供了必要条件。编制规划合格率100%，按合同约定的工期和成本完成。实现园区内受益企业20个以上，受益人群2000人以上，群众满意度90%以上的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80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8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269"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规划编制数量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编制规划质量</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验收报告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规划成本</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编制规划总成本</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受益群体</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编制规划受益群体</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2000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800" w:type="dxa"/>
            <w:gridSpan w:val="3"/>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b w:val="0"/>
                <w:bCs w:val="0"/>
                <w:i w:val="0"/>
                <w:iCs w:val="0"/>
                <w:color w:val="000000"/>
                <w:sz w:val="22"/>
                <w:szCs w:val="22"/>
                <w:u w:val="none"/>
              </w:rPr>
            </w:pPr>
          </w:p>
        </w:tc>
        <w:tc>
          <w:tcPr>
            <w:tcW w:w="18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0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18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77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3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8"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269"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36.2022年经济开发区深圳大街维修工程项目</w:t>
      </w:r>
      <w:r>
        <w:rPr>
          <w:rFonts w:ascii="Times New Roman" w:hAnsi="Times New Roman" w:eastAsia="仿宋_GB2312" w:cs="Times New Roman"/>
          <w:sz w:val="28"/>
        </w:rPr>
        <w:t>绩效目标表</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22"/>
        <w:gridCol w:w="234"/>
        <w:gridCol w:w="1422"/>
        <w:gridCol w:w="540"/>
        <w:gridCol w:w="1096"/>
        <w:gridCol w:w="660"/>
        <w:gridCol w:w="2636"/>
        <w:gridCol w:w="337"/>
        <w:gridCol w:w="759"/>
        <w:gridCol w:w="551"/>
        <w:gridCol w:w="1414"/>
        <w:gridCol w:w="562"/>
        <w:gridCol w:w="1729"/>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13102522P00907010001D</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6</w:t>
            </w:r>
            <w:r>
              <w:rPr>
                <w:rFonts w:hint="eastAsia" w:ascii="宋体" w:hAnsi="宋体" w:eastAsia="宋体" w:cs="宋体"/>
                <w:b w:val="0"/>
                <w:bCs w:val="0"/>
                <w:i w:val="0"/>
                <w:iCs w:val="0"/>
                <w:color w:val="000000"/>
                <w:kern w:val="0"/>
                <w:sz w:val="18"/>
                <w:szCs w:val="18"/>
                <w:u w:val="none"/>
                <w:lang w:val="en-US" w:eastAsia="zh-CN"/>
              </w:rPr>
              <w:t>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2022年经济开发区深圳大街维修工程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按照合同约定支付工程资金。项目成本控制在60万元以内，群众和主管部门满意度达到90%以上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2196"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756"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36"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623"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2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756"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2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反映工程量</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条</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工程质量达标率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反映工程质量情况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资金支付成本</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交通便捷</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反映修路面交通情况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改善</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管理机制健全性</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反映管理机制健全情况</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健全</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园区内群众</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4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96"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75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w:t>
            </w:r>
          </w:p>
        </w:tc>
        <w:tc>
          <w:tcPr>
            <w:tcW w:w="26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得到经开区、县政府认可</w:t>
            </w:r>
          </w:p>
        </w:tc>
        <w:tc>
          <w:tcPr>
            <w:tcW w:w="109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2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37.2022年招商中心基础维修项目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46"/>
        <w:gridCol w:w="576"/>
        <w:gridCol w:w="1374"/>
        <w:gridCol w:w="262"/>
        <w:gridCol w:w="2588"/>
        <w:gridCol w:w="1045"/>
        <w:gridCol w:w="444"/>
        <w:gridCol w:w="859"/>
        <w:gridCol w:w="1421"/>
        <w:gridCol w:w="543"/>
        <w:gridCol w:w="174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13102522P00906510001J</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2022年招商中心基础维修项目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本项目的开展，达到维修及时率100%、维修合格率100%、维修周期不超过1周等绩效目标，完成年度绩效目标。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1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9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8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312" w:type="dxa"/>
            <w:gridSpan w:val="5"/>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354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8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354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维修数量完成率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维修次数与损坏次数对比</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招商中心维修质量达标率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招商中心维修质量合格率</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维修及时率</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反应维修时效性</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严格控制在预算金额内</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项目预算控制在预算总金额内</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提升办公形象</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反应优化办公环境的良好效果</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18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9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受益对象满意度</w:t>
            </w:r>
          </w:p>
        </w:tc>
        <w:tc>
          <w:tcPr>
            <w:tcW w:w="28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反应受益对象满意度</w:t>
            </w:r>
          </w:p>
        </w:tc>
        <w:tc>
          <w:tcPr>
            <w:tcW w:w="148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85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964"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354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rPr>
          <w:rFonts w:hint="eastAsia" w:ascii="Times New Roman" w:hAnsi="Times New Roman" w:eastAsia="仿宋_GB2312" w:cs="Times New Roman"/>
          <w:sz w:val="28"/>
          <w:lang w:val="zh-CN" w:eastAsia="zh-CN"/>
        </w:rPr>
      </w:pPr>
    </w:p>
    <w:p>
      <w:pPr>
        <w:spacing w:line="584" w:lineRule="exact"/>
        <w:rPr>
          <w:rFonts w:ascii="Times New Roman" w:hAnsi="Times New Roman" w:eastAsia="仿宋_GB2312" w:cs="Times New Roman"/>
          <w:sz w:val="28"/>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38.2022年浦新南给排水工程建设费</w:t>
      </w:r>
      <w:r>
        <w:rPr>
          <w:rFonts w:ascii="Times New Roman" w:hAnsi="Times New Roman" w:eastAsia="仿宋_GB2312" w:cs="Times New Roman"/>
          <w:sz w:val="28"/>
        </w:rPr>
        <w:t>绩效目标表</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11"/>
        <w:gridCol w:w="411"/>
        <w:gridCol w:w="1134"/>
        <w:gridCol w:w="502"/>
        <w:gridCol w:w="1163"/>
        <w:gridCol w:w="815"/>
        <w:gridCol w:w="1009"/>
        <w:gridCol w:w="646"/>
        <w:gridCol w:w="526"/>
        <w:gridCol w:w="219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13102522P00904610002D</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2022年浦新南给排水工程建设费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撤退路南给水工程款小于等于6万元，资金支付率及资金支付及时率达到100%，受益人群0.5万人以上，群众满意度达到95%以上。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5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299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630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工程长度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工程建设长度</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1380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建设费用总成本</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2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16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815"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1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30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39.2022年深圳大街外侧绿化地块换土</w:t>
      </w:r>
      <w:r>
        <w:rPr>
          <w:rFonts w:ascii="Times New Roman" w:hAnsi="Times New Roman" w:eastAsia="仿宋_GB2312" w:cs="Times New Roman"/>
          <w:sz w:val="28"/>
        </w:rPr>
        <w:t>绩效目标表</w:t>
      </w:r>
    </w:p>
    <w:tbl>
      <w:tblPr>
        <w:tblStyle w:val="6"/>
        <w:tblW w:w="1519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221"/>
        <w:gridCol w:w="201"/>
        <w:gridCol w:w="1636"/>
        <w:gridCol w:w="218"/>
        <w:gridCol w:w="2730"/>
        <w:gridCol w:w="685"/>
        <w:gridCol w:w="22"/>
        <w:gridCol w:w="750"/>
        <w:gridCol w:w="1909"/>
        <w:gridCol w:w="43"/>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13102522P009030100024</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2022年深圳大街外侧绿化地块换土</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大城经济开发区深圳大街两侧绿化地块换土费用项目，完成本年合同尾款及时支付，改善深圳大街外侧绿化地块环境。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0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055"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730" w:type="dxa"/>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36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55"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15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平整及清理面积</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反映绿化土地平整及清理垃圾面积</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平米</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资金足额支付率</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项目资金足额支付</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经费支出</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受益人口数</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万人</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生态效益指标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环境提升情况</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反映环境提升情况</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明显改善</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项目改善环境持续年限</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反映项目改善环境持续年限</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055"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园区人口满意度</w:t>
            </w:r>
          </w:p>
        </w:tc>
        <w:tc>
          <w:tcPr>
            <w:tcW w:w="273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园区人口满意程度</w:t>
            </w:r>
          </w:p>
        </w:tc>
        <w:tc>
          <w:tcPr>
            <w:tcW w:w="707"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75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9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15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40.2022年坑塘视频监控系统采购项目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062"/>
        <w:gridCol w:w="594"/>
        <w:gridCol w:w="471"/>
        <w:gridCol w:w="951"/>
        <w:gridCol w:w="534"/>
        <w:gridCol w:w="1102"/>
        <w:gridCol w:w="1523"/>
        <w:gridCol w:w="1422"/>
        <w:gridCol w:w="688"/>
        <w:gridCol w:w="444"/>
        <w:gridCol w:w="2280"/>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13102522P00907310001E</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cs="宋体"/>
                <w:b w:val="0"/>
                <w:bCs w:val="0"/>
                <w:i w:val="0"/>
                <w:iCs w:val="0"/>
                <w:color w:val="000000"/>
                <w:kern w:val="0"/>
                <w:sz w:val="18"/>
                <w:szCs w:val="18"/>
                <w:u w:val="none"/>
                <w:lang w:val="en-US" w:eastAsia="zh-CN"/>
              </w:rPr>
              <w:t>9.65万元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2022年坑塘视频监控系统采购项目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48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62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834"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8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62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076" w:type="dxa"/>
            <w:gridSpan w:val="2"/>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治理坑塘数</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反映治理坑塘数</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2021年2月</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9.65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0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6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4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62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42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13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28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076"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41.2022年基础设施债券前期费用，工业和生活污水处理厂设计项目</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407"/>
        <w:gridCol w:w="249"/>
        <w:gridCol w:w="1341"/>
        <w:gridCol w:w="81"/>
        <w:gridCol w:w="1149"/>
        <w:gridCol w:w="487"/>
        <w:gridCol w:w="2573"/>
        <w:gridCol w:w="1047"/>
        <w:gridCol w:w="13"/>
        <w:gridCol w:w="677"/>
        <w:gridCol w:w="1813"/>
        <w:gridCol w:w="234"/>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13102522P009056100011</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20</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2022年基础设施债券前期费用，工业和生活污水处理厂设计项目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大城县经济开发区气雾剂产业园基础设施建设项目前期费用，主要为污水处理和再生水厂建设、康养小镇路网建设以及雨污水管网和弱点工程等，前期编制说两不小于12个，编制前期总成本资金小于等于20万元。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5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306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550"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4310" w:type="dxa"/>
            <w:gridSpan w:val="3"/>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编制数量</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前期工作个数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12</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通过专家会，得到县政府批复</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批复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项目工期</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编制规划工期</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月</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前期费用</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编制前期总成本</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为污水处理、再生建设等工程</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年初预算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受益群众</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反映受益人口数量</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园区常驻人口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反映受益企业个数</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显著</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41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5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群众测评满意度</w:t>
            </w:r>
          </w:p>
        </w:tc>
        <w:tc>
          <w:tcPr>
            <w:tcW w:w="306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园区内企业</w:t>
            </w:r>
          </w:p>
        </w:tc>
        <w:tc>
          <w:tcPr>
            <w:tcW w:w="104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69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813"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4310"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widowControl/>
        <w:jc w:val="center"/>
        <w:textAlignment w:val="center"/>
        <w:rPr>
          <w:rFonts w:hint="eastAsia" w:ascii="宋体" w:hAnsi="宋体" w:eastAsia="宋体" w:cs="宋体"/>
          <w:b/>
          <w:bCs/>
          <w:i w:val="0"/>
          <w:iCs w:val="0"/>
          <w:color w:val="000000"/>
          <w:kern w:val="0"/>
          <w:sz w:val="18"/>
          <w:szCs w:val="18"/>
          <w:u w:val="none"/>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42.2022年浦新南给排水工程前期费</w:t>
      </w:r>
      <w:r>
        <w:rPr>
          <w:rFonts w:ascii="Times New Roman" w:hAnsi="Times New Roman" w:eastAsia="仿宋_GB2312" w:cs="Times New Roman"/>
          <w:sz w:val="28"/>
        </w:rPr>
        <w:t>绩效目标表</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071"/>
        <w:gridCol w:w="351"/>
        <w:gridCol w:w="1494"/>
        <w:gridCol w:w="142"/>
        <w:gridCol w:w="1928"/>
        <w:gridCol w:w="936"/>
        <w:gridCol w:w="769"/>
        <w:gridCol w:w="254"/>
        <w:gridCol w:w="1309"/>
        <w:gridCol w:w="1161"/>
        <w:gridCol w:w="2291"/>
        <w:gridCol w:w="1785"/>
        <w:gridCol w:w="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13102522P00904710004A</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8</w:t>
            </w:r>
            <w:r>
              <w:rPr>
                <w:rFonts w:hint="eastAsia" w:ascii="宋体" w:hAnsi="宋体" w:cs="宋体"/>
                <w:b w:val="0"/>
                <w:bCs w:val="0"/>
                <w:i w:val="0"/>
                <w:iCs w:val="0"/>
                <w:color w:val="000000"/>
                <w:kern w:val="0"/>
                <w:sz w:val="18"/>
                <w:szCs w:val="18"/>
                <w:u w:val="none"/>
                <w:lang w:val="en-US" w:eastAsia="zh-CN"/>
              </w:rPr>
              <w:t>.</w:t>
            </w:r>
            <w:r>
              <w:rPr>
                <w:rFonts w:hint="eastAsia" w:ascii="宋体" w:hAnsi="宋体" w:eastAsia="宋体" w:cs="宋体"/>
                <w:b w:val="0"/>
                <w:bCs w:val="0"/>
                <w:i w:val="0"/>
                <w:iCs w:val="0"/>
                <w:color w:val="000000"/>
                <w:kern w:val="0"/>
                <w:sz w:val="18"/>
                <w:szCs w:val="18"/>
                <w:u w:val="none"/>
                <w:lang w:val="en-US" w:eastAsia="zh-CN"/>
              </w:rPr>
              <w:t>62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2022年浦新南给排水工程前期费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现代园浦新南给排水工程前期费小于等于8.62万元，资金支付率及资金支付及时率达到100%，受益人群2万人以上，群众满意度达到95%以上。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0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26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237"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237"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管网长度</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米</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质量达标率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编制成果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资金支付及时情况</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总成本控制额</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费用总成本</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8.62</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合同约定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受益人群数</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5000</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园区人数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保障入驻企业运行</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为入驻企业提供保障</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保障</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After w:val="1"/>
          <w:wAfter w:w="8" w:type="dxa"/>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38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w:t>
            </w:r>
          </w:p>
        </w:tc>
        <w:tc>
          <w:tcPr>
            <w:tcW w:w="207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93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2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309"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237" w:type="dxa"/>
            <w:gridSpan w:val="3"/>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numPr>
          <w:ilvl w:val="0"/>
          <w:numId w:val="1"/>
        </w:numPr>
        <w:spacing w:line="584" w:lineRule="exact"/>
        <w:ind w:firstLine="560" w:firstLineChars="200"/>
        <w:rPr>
          <w:rFonts w:hint="eastAsia" w:ascii="Times New Roman" w:hAnsi="Times New Roman" w:eastAsia="仿宋_GB2312" w:cs="Times New Roman"/>
          <w:sz w:val="28"/>
          <w:lang w:val="en-US" w:eastAsia="zh-CN"/>
        </w:rPr>
      </w:pPr>
      <w:r>
        <w:rPr>
          <w:rFonts w:hint="eastAsia" w:ascii="Times New Roman" w:hAnsi="Times New Roman" w:eastAsia="仿宋_GB2312" w:cs="Times New Roman"/>
          <w:sz w:val="28"/>
          <w:lang w:val="en-US" w:eastAsia="zh-CN"/>
        </w:rPr>
        <w:t>金地工业聚集区规划环评编制费</w:t>
      </w:r>
    </w:p>
    <w:tbl>
      <w:tblPr>
        <w:tblStyle w:val="6"/>
        <w:tblpPr w:leftFromText="180" w:rightFromText="180" w:vertAnchor="text" w:horzAnchor="page" w:tblpX="1546" w:tblpY="582"/>
        <w:tblOverlap w:val="never"/>
        <w:tblW w:w="151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77"/>
        <w:gridCol w:w="279"/>
        <w:gridCol w:w="1011"/>
        <w:gridCol w:w="411"/>
        <w:gridCol w:w="1209"/>
        <w:gridCol w:w="427"/>
        <w:gridCol w:w="1903"/>
        <w:gridCol w:w="757"/>
        <w:gridCol w:w="973"/>
        <w:gridCol w:w="118"/>
        <w:gridCol w:w="1200"/>
        <w:gridCol w:w="1406"/>
        <w:gridCol w:w="2291"/>
        <w:gridCol w:w="1793"/>
        <w:gridCol w:w="3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13102522P00903810002H</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7"/>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2022年金地工业聚集区规划环评编制费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32"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依照工作需要，及时金地工业聚集区规划环评规划环评资金项目资金，规划资金成本小于等于15万元，资金拨付及时率和及时率达到100%，影响年限大于等于10年，受益企业大于20个，群众满意度达到95%。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29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6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33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048"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33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522"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规划面积</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规划范围</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5.8</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平方公里</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总规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支付率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及时率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资金支付及时率</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根据支付时间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资金</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项目资金</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依据合同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受益企业数</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50</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个</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8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29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62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企业满意率</w:t>
            </w:r>
          </w:p>
        </w:tc>
        <w:tc>
          <w:tcPr>
            <w:tcW w:w="233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企业满意度</w:t>
            </w:r>
          </w:p>
        </w:tc>
        <w:tc>
          <w:tcPr>
            <w:tcW w:w="757"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09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12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522"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en-US" w:eastAsia="zh-CN"/>
        </w:rPr>
        <w:t xml:space="preserve">    </w:t>
      </w:r>
      <w:r>
        <w:rPr>
          <w:rFonts w:hint="eastAsia" w:ascii="Times New Roman" w:hAnsi="Times New Roman" w:eastAsia="仿宋_GB2312" w:cs="Times New Roman"/>
          <w:sz w:val="28"/>
          <w:lang w:val="zh-CN" w:eastAsia="zh-CN"/>
        </w:rPr>
        <w:t>44.2022年经开区管道清淤工程项目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7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47"/>
        <w:gridCol w:w="309"/>
        <w:gridCol w:w="1161"/>
        <w:gridCol w:w="261"/>
        <w:gridCol w:w="774"/>
        <w:gridCol w:w="862"/>
        <w:gridCol w:w="773"/>
        <w:gridCol w:w="782"/>
        <w:gridCol w:w="1391"/>
        <w:gridCol w:w="687"/>
        <w:gridCol w:w="1176"/>
        <w:gridCol w:w="1548"/>
        <w:gridCol w:w="2291"/>
        <w:gridCol w:w="1793"/>
        <w:gridCol w:w="1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13102522P00906710001X</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5</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2022年经开区管道清淤工程项目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19"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通过工期30天管道清淤工程，预计达到清理淤堵管道3.2公里，验收合格率100%，可持续度保持5年以上，达到园区职工满意度90%以上。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47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10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163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4036"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5651"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工程量</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清淤公里数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3.2</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公里</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合格率</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验收合格率</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100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经费</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清淤费用</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5</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工期</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施工工期</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30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天</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受益人数</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受益职工数</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71</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人</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50"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470"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10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群众满意度测评</w:t>
            </w:r>
          </w:p>
        </w:tc>
        <w:tc>
          <w:tcPr>
            <w:tcW w:w="163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职工满意度</w:t>
            </w:r>
          </w:p>
        </w:tc>
        <w:tc>
          <w:tcPr>
            <w:tcW w:w="782"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139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90</w:t>
            </w:r>
          </w:p>
        </w:tc>
        <w:tc>
          <w:tcPr>
            <w:tcW w:w="1863"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651"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ascii="Times New Roman" w:hAnsi="Times New Roman" w:eastAsia="仿宋_GB2312" w:cs="Times New Roman"/>
          <w:sz w:val="28"/>
        </w:rPr>
      </w:pPr>
      <w:r>
        <w:rPr>
          <w:rFonts w:hint="eastAsia" w:ascii="Times New Roman" w:hAnsi="Times New Roman" w:eastAsia="仿宋_GB2312" w:cs="Times New Roman"/>
          <w:sz w:val="28"/>
          <w:lang w:val="zh-CN" w:eastAsia="zh-CN"/>
        </w:rPr>
        <w:t>45.2022年环保经费</w:t>
      </w:r>
      <w:r>
        <w:rPr>
          <w:rFonts w:ascii="Times New Roman" w:hAnsi="Times New Roman" w:eastAsia="仿宋_GB2312" w:cs="Times New Roman"/>
          <w:sz w:val="28"/>
        </w:rPr>
        <w:t>绩效目标表</w:t>
      </w:r>
    </w:p>
    <w:tbl>
      <w:tblPr>
        <w:tblStyle w:val="6"/>
        <w:tblpPr w:leftFromText="180" w:rightFromText="180" w:vertAnchor="text" w:horzAnchor="page" w:tblpX="1524" w:tblpY="606"/>
        <w:tblOverlap w:val="never"/>
        <w:tblW w:w="1515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2022年环保经费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2022年环保经费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46.2022年安监经费</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200"/>
        <w:gridCol w:w="456"/>
        <w:gridCol w:w="1422"/>
        <w:gridCol w:w="110"/>
        <w:gridCol w:w="1526"/>
        <w:gridCol w:w="1053"/>
        <w:gridCol w:w="2580"/>
        <w:gridCol w:w="392"/>
        <w:gridCol w:w="1004"/>
        <w:gridCol w:w="516"/>
        <w:gridCol w:w="812"/>
        <w:gridCol w:w="1373"/>
        <w:gridCol w:w="918"/>
        <w:gridCol w:w="179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项目编码及名称</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13102522P00907210001Q</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主管部门</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项目单位</w:t>
            </w:r>
          </w:p>
        </w:tc>
        <w:tc>
          <w:tcPr>
            <w:tcW w:w="6691" w:type="dxa"/>
            <w:gridSpan w:val="5"/>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河北大城经济开发区管理委员会本级</w:t>
            </w:r>
          </w:p>
        </w:tc>
        <w:tc>
          <w:tcPr>
            <w:tcW w:w="2724"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年度资金总额</w:t>
            </w:r>
          </w:p>
        </w:tc>
        <w:tc>
          <w:tcPr>
            <w:tcW w:w="4084"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2</w:t>
            </w:r>
            <w:r>
              <w:rPr>
                <w:rFonts w:hint="eastAsia" w:ascii="宋体" w:hAnsi="宋体" w:cs="宋体"/>
                <w:b w:val="0"/>
                <w:bCs w:val="0"/>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该项目资金用于</w:t>
            </w:r>
            <w:r>
              <w:rPr>
                <w:rFonts w:hint="eastAsia" w:ascii="宋体" w:hAnsi="宋体" w:eastAsia="宋体" w:cs="宋体"/>
                <w:b w:val="0"/>
                <w:bCs w:val="0"/>
                <w:i w:val="0"/>
                <w:iCs w:val="0"/>
                <w:color w:val="000000"/>
                <w:kern w:val="0"/>
                <w:sz w:val="18"/>
                <w:szCs w:val="18"/>
                <w:u w:val="none"/>
                <w:lang w:val="zh-CN" w:eastAsia="zh-CN"/>
              </w:rPr>
              <w:t>2022年</w:t>
            </w:r>
            <w:r>
              <w:rPr>
                <w:rFonts w:hint="eastAsia" w:ascii="宋体" w:hAnsi="宋体" w:eastAsia="宋体" w:cs="宋体"/>
                <w:b w:val="0"/>
                <w:bCs w:val="0"/>
                <w:i w:val="0"/>
                <w:iCs w:val="0"/>
                <w:color w:val="000000"/>
                <w:kern w:val="0"/>
                <w:sz w:val="18"/>
                <w:szCs w:val="18"/>
                <w:u w:val="none"/>
                <w:lang w:val="en-US" w:eastAsia="zh-CN"/>
              </w:rPr>
              <w:t>安监</w:t>
            </w:r>
            <w:r>
              <w:rPr>
                <w:rFonts w:hint="eastAsia" w:ascii="宋体" w:hAnsi="宋体" w:eastAsia="宋体" w:cs="宋体"/>
                <w:b w:val="0"/>
                <w:bCs w:val="0"/>
                <w:i w:val="0"/>
                <w:iCs w:val="0"/>
                <w:color w:val="000000"/>
                <w:kern w:val="0"/>
                <w:sz w:val="18"/>
                <w:szCs w:val="18"/>
                <w:u w:val="none"/>
                <w:lang w:val="zh-CN" w:eastAsia="zh-CN"/>
              </w:rPr>
              <w:t>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资金支出计划</w:t>
            </w:r>
            <w:r>
              <w:rPr>
                <w:rFonts w:hint="eastAsia" w:ascii="宋体" w:hAnsi="宋体" w:eastAsia="宋体" w:cs="宋体"/>
                <w:b w:val="0"/>
                <w:bCs w:val="0"/>
                <w:i w:val="0"/>
                <w:iCs w:val="0"/>
                <w:color w:val="000000"/>
                <w:kern w:val="0"/>
                <w:sz w:val="18"/>
                <w:szCs w:val="18"/>
                <w:u w:val="none"/>
                <w:lang w:val="en-US" w:eastAsia="zh-CN"/>
              </w:rPr>
              <w:br w:type="textWrapping"/>
            </w:r>
            <w:r>
              <w:rPr>
                <w:rFonts w:hint="eastAsia" w:ascii="宋体" w:hAnsi="宋体" w:eastAsia="宋体" w:cs="宋体"/>
                <w:b w:val="0"/>
                <w:bCs w:val="0"/>
                <w:i w:val="0"/>
                <w:iCs w:val="0"/>
                <w:color w:val="000000"/>
                <w:kern w:val="0"/>
                <w:sz w:val="18"/>
                <w:szCs w:val="18"/>
                <w:u w:val="none"/>
                <w:lang w:val="en-US" w:eastAsia="zh-CN"/>
              </w:rPr>
              <w:t>（累计支出比例）</w:t>
            </w: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3月底</w:t>
            </w: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6月底</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305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3633"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5015" w:type="dxa"/>
            <w:gridSpan w:val="6"/>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wBefore w:w="3"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年度绩效目标</w:t>
            </w:r>
          </w:p>
        </w:tc>
        <w:tc>
          <w:tcPr>
            <w:tcW w:w="1422"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目标1</w:t>
            </w:r>
          </w:p>
        </w:tc>
        <w:tc>
          <w:tcPr>
            <w:tcW w:w="12077" w:type="dxa"/>
            <w:gridSpan w:val="11"/>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开展本项目，服务本辖区企业600余家，受访群众及主管部门满意度达到95%以上。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一级指标</w:t>
            </w:r>
          </w:p>
        </w:tc>
        <w:tc>
          <w:tcPr>
            <w:tcW w:w="1988" w:type="dxa"/>
            <w:gridSpan w:val="3"/>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二级指标</w:t>
            </w:r>
          </w:p>
        </w:tc>
        <w:tc>
          <w:tcPr>
            <w:tcW w:w="2579"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三级指标</w:t>
            </w:r>
          </w:p>
        </w:tc>
        <w:tc>
          <w:tcPr>
            <w:tcW w:w="2972"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指标说明</w:t>
            </w:r>
          </w:p>
        </w:tc>
        <w:tc>
          <w:tcPr>
            <w:tcW w:w="3705"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指标值</w:t>
            </w:r>
          </w:p>
        </w:tc>
        <w:tc>
          <w:tcPr>
            <w:tcW w:w="2711"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579"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符号</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值</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单位（文字描述）</w:t>
            </w:r>
          </w:p>
        </w:tc>
        <w:tc>
          <w:tcPr>
            <w:tcW w:w="2711"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产出指标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数量指标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宣传次数</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反映宣传次数</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4</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次</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质量指标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完成时间</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反映完成时间</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2022年7月</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时效指标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项目成本</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反映项目成本</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2</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万元</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成本指标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服务合格率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反映服务合格率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效益指标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可持续影响指标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是否有相关文件及制度保障</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反映是否有相关文件及制度保障</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文字描述</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有相关文件及制度保障</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社会效益指标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收益企业</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反映收益企业</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600</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家</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满意度指标</w:t>
            </w: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受访满意率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反映群众满意度</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203"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p>
        </w:tc>
        <w:tc>
          <w:tcPr>
            <w:tcW w:w="1988"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val="0"/>
                <w:bCs w:val="0"/>
                <w:i w:val="0"/>
                <w:iCs w:val="0"/>
                <w:color w:val="000000"/>
                <w:kern w:val="0"/>
                <w:sz w:val="18"/>
                <w:szCs w:val="18"/>
                <w:u w:val="none"/>
                <w:lang w:val="en-US" w:eastAsia="zh-CN"/>
              </w:rPr>
            </w:pPr>
            <w:r>
              <w:rPr>
                <w:rFonts w:hint="eastAsia" w:ascii="宋体" w:hAnsi="宋体" w:eastAsia="宋体" w:cs="宋体"/>
                <w:b w:val="0"/>
                <w:bCs w:val="0"/>
                <w:i w:val="0"/>
                <w:iCs w:val="0"/>
                <w:color w:val="000000"/>
                <w:kern w:val="0"/>
                <w:sz w:val="18"/>
                <w:szCs w:val="18"/>
                <w:u w:val="none"/>
                <w:lang w:val="en-US" w:eastAsia="zh-CN"/>
              </w:rPr>
              <w:t>服务对象满意度指标</w:t>
            </w:r>
          </w:p>
        </w:tc>
        <w:tc>
          <w:tcPr>
            <w:tcW w:w="2579"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主管部门满意率</w:t>
            </w:r>
          </w:p>
        </w:tc>
        <w:tc>
          <w:tcPr>
            <w:tcW w:w="2972"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反映主管部门满意率</w:t>
            </w:r>
          </w:p>
        </w:tc>
        <w:tc>
          <w:tcPr>
            <w:tcW w:w="1004"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516"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95</w:t>
            </w:r>
          </w:p>
        </w:tc>
        <w:tc>
          <w:tcPr>
            <w:tcW w:w="218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w:t>
            </w:r>
          </w:p>
        </w:tc>
        <w:tc>
          <w:tcPr>
            <w:tcW w:w="2711"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val="0"/>
                <w:bCs w:val="0"/>
                <w:i w:val="0"/>
                <w:iCs w:val="0"/>
                <w:color w:val="000000"/>
                <w:kern w:val="0"/>
                <w:sz w:val="18"/>
                <w:szCs w:val="18"/>
                <w:u w:val="none"/>
                <w:lang w:val="en-US" w:eastAsia="zh-CN"/>
              </w:rPr>
            </w:pPr>
            <w:r>
              <w:rPr>
                <w:rFonts w:hint="default" w:ascii="宋体" w:hAnsi="宋体" w:eastAsia="宋体" w:cs="宋体"/>
                <w:b w:val="0"/>
                <w:bCs w:val="0"/>
                <w:i w:val="0"/>
                <w:iCs w:val="0"/>
                <w:color w:val="000000"/>
                <w:kern w:val="0"/>
                <w:sz w:val="18"/>
                <w:szCs w:val="18"/>
                <w:u w:val="none"/>
                <w:lang w:val="en-US" w:eastAsia="zh-CN"/>
              </w:rPr>
              <w:t>调查结果</w:t>
            </w:r>
          </w:p>
        </w:tc>
      </w:tr>
    </w:tbl>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p>
    <w:p>
      <w:pPr>
        <w:spacing w:line="584" w:lineRule="exact"/>
        <w:ind w:firstLine="560" w:firstLineChars="200"/>
        <w:rPr>
          <w:rFonts w:hint="eastAsia" w:ascii="Times New Roman" w:hAnsi="Times New Roman" w:eastAsia="仿宋_GB2312" w:cs="Times New Roman"/>
          <w:sz w:val="28"/>
          <w:lang w:val="zh-CN" w:eastAsia="zh-CN"/>
        </w:rPr>
      </w:pPr>
      <w:r>
        <w:rPr>
          <w:rFonts w:hint="eastAsia" w:ascii="Times New Roman" w:hAnsi="Times New Roman" w:eastAsia="仿宋_GB2312" w:cs="Times New Roman"/>
          <w:sz w:val="28"/>
          <w:lang w:val="zh-CN" w:eastAsia="zh-CN"/>
        </w:rPr>
        <w:t>47.2022年聘用人员工资及保险项目</w:t>
      </w:r>
      <w:r>
        <w:rPr>
          <w:rFonts w:ascii="Times New Roman" w:hAnsi="Times New Roman" w:eastAsia="仿宋_GB2312" w:cs="Times New Roman"/>
          <w:sz w:val="28"/>
        </w:rPr>
        <w:t>绩效目标表</w:t>
      </w:r>
      <w:r>
        <w:rPr>
          <w:rFonts w:hint="eastAsia" w:ascii="Times New Roman" w:hAnsi="Times New Roman" w:eastAsia="仿宋_GB2312" w:cs="Times New Roman"/>
          <w:sz w:val="28"/>
          <w:lang w:val="zh-CN" w:eastAsia="zh-CN"/>
        </w:rPr>
        <w:t> </w:t>
      </w:r>
    </w:p>
    <w:tbl>
      <w:tblPr>
        <w:tblStyle w:val="6"/>
        <w:tblW w:w="1516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3"/>
        <w:gridCol w:w="1317"/>
        <w:gridCol w:w="339"/>
        <w:gridCol w:w="816"/>
        <w:gridCol w:w="606"/>
        <w:gridCol w:w="759"/>
        <w:gridCol w:w="877"/>
        <w:gridCol w:w="968"/>
        <w:gridCol w:w="1051"/>
        <w:gridCol w:w="600"/>
        <w:gridCol w:w="1014"/>
        <w:gridCol w:w="1174"/>
        <w:gridCol w:w="1550"/>
        <w:gridCol w:w="2291"/>
        <w:gridCol w:w="1793"/>
        <w:gridCol w:w="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43"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项目编码及名称</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13102522P009045100014</w:t>
            </w:r>
            <w:r>
              <w:rPr>
                <w:rFonts w:hint="eastAsia" w:ascii="宋体" w:hAnsi="宋体" w:eastAsia="宋体" w:cs="宋体"/>
                <w:b/>
                <w:bCs/>
                <w:i w:val="0"/>
                <w:iCs w:val="0"/>
                <w:color w:val="000000"/>
                <w:kern w:val="0"/>
                <w:sz w:val="18"/>
                <w:szCs w:val="18"/>
                <w:u w:val="none"/>
                <w:lang w:val="zh-CN" w:eastAsia="zh-CN"/>
              </w:rPr>
              <w:t>2022年聘用人员工资及保险项目</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主管部门</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项目单位</w:t>
            </w:r>
          </w:p>
        </w:tc>
        <w:tc>
          <w:tcPr>
            <w:tcW w:w="6691" w:type="dxa"/>
            <w:gridSpan w:val="8"/>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河北大城经济开发区管理委员会本级</w:t>
            </w:r>
          </w:p>
        </w:tc>
        <w:tc>
          <w:tcPr>
            <w:tcW w:w="272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年度资金总额</w:t>
            </w:r>
          </w:p>
        </w:tc>
        <w:tc>
          <w:tcPr>
            <w:tcW w:w="4084"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r>
              <w:rPr>
                <w:rFonts w:hint="eastAsia" w:ascii="宋体" w:hAnsi="宋体" w:cs="宋体"/>
                <w:b/>
                <w:bCs/>
                <w:i w:val="0"/>
                <w:iCs w:val="0"/>
                <w:color w:val="000000"/>
                <w:kern w:val="0"/>
                <w:sz w:val="18"/>
                <w:szCs w:val="18"/>
                <w:u w:val="none"/>
                <w:lang w:val="en-US" w:eastAsia="zh-CN"/>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600" w:hRule="atLeast"/>
        </w:trPr>
        <w:tc>
          <w:tcPr>
            <w:tcW w:w="1656"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资金用途</w:t>
            </w:r>
          </w:p>
        </w:tc>
        <w:tc>
          <w:tcPr>
            <w:tcW w:w="13499" w:type="dxa"/>
            <w:gridSpan w:val="1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该项目资金用于</w:t>
            </w:r>
            <w:r>
              <w:rPr>
                <w:rFonts w:hint="eastAsia" w:ascii="宋体" w:hAnsi="宋体" w:eastAsia="宋体" w:cs="宋体"/>
                <w:b/>
                <w:bCs/>
                <w:i w:val="0"/>
                <w:iCs w:val="0"/>
                <w:color w:val="000000"/>
                <w:kern w:val="0"/>
                <w:sz w:val="18"/>
                <w:szCs w:val="18"/>
                <w:u w:val="none"/>
                <w:lang w:val="zh-CN" w:eastAsia="zh-CN"/>
              </w:rPr>
              <w:t>2022年聘用人员工资及保险项目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restart"/>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资金支出计划</w:t>
            </w:r>
            <w:r>
              <w:rPr>
                <w:rFonts w:hint="eastAsia" w:ascii="宋体" w:hAnsi="宋体" w:eastAsia="宋体" w:cs="宋体"/>
                <w:b/>
                <w:bCs/>
                <w:i w:val="0"/>
                <w:iCs w:val="0"/>
                <w:color w:val="000000"/>
                <w:kern w:val="0"/>
                <w:sz w:val="18"/>
                <w:szCs w:val="18"/>
                <w:u w:val="none"/>
                <w:lang w:val="en-US" w:eastAsia="zh-CN"/>
              </w:rPr>
              <w:br w:type="textWrapping"/>
            </w:r>
            <w:r>
              <w:rPr>
                <w:rFonts w:hint="eastAsia" w:ascii="宋体" w:hAnsi="宋体" w:eastAsia="宋体" w:cs="宋体"/>
                <w:b/>
                <w:bCs/>
                <w:i w:val="0"/>
                <w:iCs w:val="0"/>
                <w:color w:val="000000"/>
                <w:kern w:val="0"/>
                <w:sz w:val="18"/>
                <w:szCs w:val="18"/>
                <w:u w:val="none"/>
                <w:lang w:val="en-US" w:eastAsia="zh-CN"/>
              </w:rPr>
              <w:t>（累计支出比例）</w:t>
            </w: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3月底</w:t>
            </w: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6月底</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10月底</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12月底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405" w:hRule="atLeast"/>
        </w:trPr>
        <w:tc>
          <w:tcPr>
            <w:tcW w:w="1656" w:type="dxa"/>
            <w:gridSpan w:val="2"/>
            <w:vMerge w:val="continue"/>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3058"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3633" w:type="dxa"/>
            <w:gridSpan w:val="4"/>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5015" w:type="dxa"/>
            <w:gridSpan w:val="3"/>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c>
          <w:tcPr>
            <w:tcW w:w="1793" w:type="dxa"/>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gridBefore w:val="1"/>
          <w:gridAfter w:val="1"/>
          <w:wBefore w:w="3" w:type="dxa"/>
          <w:wAfter w:w="5" w:type="dxa"/>
          <w:trHeight w:val="300" w:hRule="atLeast"/>
        </w:trPr>
        <w:tc>
          <w:tcPr>
            <w:tcW w:w="1656" w:type="dxa"/>
            <w:gridSpan w:val="2"/>
            <w:tcBorders>
              <w:top w:val="single" w:color="000000" w:sz="4" w:space="0"/>
              <w:left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年度绩效目标</w:t>
            </w:r>
          </w:p>
        </w:tc>
        <w:tc>
          <w:tcPr>
            <w:tcW w:w="1422"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目标1</w:t>
            </w:r>
          </w:p>
        </w:tc>
        <w:tc>
          <w:tcPr>
            <w:tcW w:w="12077" w:type="dxa"/>
            <w:gridSpan w:val="10"/>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保障经济开发区正常运转工资及保险及时足额发放，满意度达到95%以上</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一级指标</w:t>
            </w:r>
          </w:p>
        </w:tc>
        <w:tc>
          <w:tcPr>
            <w:tcW w:w="115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二级指标</w:t>
            </w:r>
          </w:p>
        </w:tc>
        <w:tc>
          <w:tcPr>
            <w:tcW w:w="136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三级指标</w:t>
            </w:r>
          </w:p>
        </w:tc>
        <w:tc>
          <w:tcPr>
            <w:tcW w:w="1845"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指标说明</w:t>
            </w:r>
          </w:p>
        </w:tc>
        <w:tc>
          <w:tcPr>
            <w:tcW w:w="38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指标值</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指标确定依据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36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符号</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值</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单位（文字描述）</w:t>
            </w:r>
          </w:p>
        </w:tc>
        <w:tc>
          <w:tcPr>
            <w:tcW w:w="5639" w:type="dxa"/>
            <w:gridSpan w:val="4"/>
            <w:tcBorders>
              <w:top w:val="single" w:color="000000" w:sz="4" w:space="0"/>
              <w:left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产出指标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数量指标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聘用人员数</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w:t>
            </w:r>
            <w:r>
              <w:rPr>
                <w:rFonts w:hint="eastAsia" w:ascii="宋体" w:hAnsi="宋体" w:eastAsia="宋体" w:cs="宋体"/>
                <w:b/>
                <w:bCs/>
                <w:i w:val="0"/>
                <w:iCs w:val="0"/>
                <w:color w:val="000000"/>
                <w:kern w:val="0"/>
                <w:sz w:val="18"/>
                <w:szCs w:val="18"/>
                <w:u w:val="none"/>
                <w:lang w:val="en-US" w:eastAsia="zh-CN"/>
              </w:rPr>
              <w:t>聘用人员</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72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人</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质量指标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完成时间</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反映完成时间</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2022年</w:t>
            </w:r>
            <w:r>
              <w:rPr>
                <w:rFonts w:hint="eastAsia" w:ascii="宋体" w:hAnsi="宋体" w:eastAsia="宋体" w:cs="宋体"/>
                <w:b/>
                <w:bCs/>
                <w:i w:val="0"/>
                <w:iCs w:val="0"/>
                <w:color w:val="000000"/>
                <w:kern w:val="0"/>
                <w:sz w:val="18"/>
                <w:szCs w:val="18"/>
                <w:u w:val="none"/>
                <w:lang w:val="en-US" w:eastAsia="zh-CN"/>
              </w:rPr>
              <w:t>12</w:t>
            </w:r>
            <w:r>
              <w:rPr>
                <w:rFonts w:hint="default" w:ascii="宋体" w:hAnsi="宋体" w:eastAsia="宋体" w:cs="宋体"/>
                <w:b/>
                <w:bCs/>
                <w:i w:val="0"/>
                <w:iCs w:val="0"/>
                <w:color w:val="000000"/>
                <w:kern w:val="0"/>
                <w:sz w:val="18"/>
                <w:szCs w:val="18"/>
                <w:u w:val="none"/>
                <w:lang w:val="en-US" w:eastAsia="zh-CN"/>
              </w:rPr>
              <w:t>月</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时效指标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项目成本</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反映项目成本</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62</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万元</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成本指标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服务合格率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反映服务合格率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效益指标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可持续影响指标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是否有相关文件及制度保障</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反映是否有相关文件及制度保障</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文字描述</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有相关文件及制度保障</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社会效益指标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收益企业</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反映收益企业</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600</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家</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工作计划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restart"/>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满意度指标</w:t>
            </w: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受访满意率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反映群众满意度</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0" w:hRule="atLeast"/>
        </w:trPr>
        <w:tc>
          <w:tcPr>
            <w:tcW w:w="1320" w:type="dxa"/>
            <w:gridSpan w:val="2"/>
            <w:vMerge w:val="continue"/>
            <w:tcBorders>
              <w:top w:val="single" w:color="000000" w:sz="4" w:space="0"/>
              <w:left w:val="single" w:color="000000" w:sz="4" w:space="0"/>
              <w:bottom w:val="single" w:color="000000" w:sz="4" w:space="0"/>
              <w:right w:val="single" w:color="000000" w:sz="4" w:space="0"/>
            </w:tcBorders>
            <w:vAlign w:val="top"/>
          </w:tcPr>
          <w:p>
            <w:pPr>
              <w:jc w:val="center"/>
              <w:rPr>
                <w:rFonts w:hint="default" w:ascii="Calibri" w:hAnsi="Calibri" w:eastAsia="宋体" w:cs="Calibri"/>
                <w:i w:val="0"/>
                <w:iCs w:val="0"/>
                <w:color w:val="000000"/>
                <w:sz w:val="22"/>
                <w:szCs w:val="22"/>
                <w:u w:val="none"/>
              </w:rPr>
            </w:pPr>
          </w:p>
        </w:tc>
        <w:tc>
          <w:tcPr>
            <w:tcW w:w="1155" w:type="dxa"/>
            <w:gridSpan w:val="2"/>
            <w:tcBorders>
              <w:top w:val="single" w:color="000000" w:sz="4" w:space="0"/>
              <w:left w:val="single" w:color="000000" w:sz="4" w:space="0"/>
              <w:bottom w:val="single" w:color="000000" w:sz="4" w:space="0"/>
              <w:right w:val="single" w:color="000000" w:sz="4" w:space="0"/>
            </w:tcBorders>
            <w:vAlign w:val="center"/>
          </w:tcPr>
          <w:p>
            <w:pPr>
              <w:widowControl/>
              <w:jc w:val="center"/>
              <w:textAlignment w:val="center"/>
              <w:rPr>
                <w:rFonts w:hint="eastAsia" w:ascii="宋体" w:hAnsi="宋体" w:eastAsia="宋体" w:cs="宋体"/>
                <w:b/>
                <w:bCs/>
                <w:i w:val="0"/>
                <w:iCs w:val="0"/>
                <w:color w:val="000000"/>
                <w:kern w:val="0"/>
                <w:sz w:val="18"/>
                <w:szCs w:val="18"/>
                <w:u w:val="none"/>
                <w:lang w:val="en-US" w:eastAsia="zh-CN"/>
              </w:rPr>
            </w:pPr>
            <w:r>
              <w:rPr>
                <w:rFonts w:hint="eastAsia" w:ascii="宋体" w:hAnsi="宋体" w:eastAsia="宋体" w:cs="宋体"/>
                <w:b/>
                <w:bCs/>
                <w:i w:val="0"/>
                <w:iCs w:val="0"/>
                <w:color w:val="000000"/>
                <w:kern w:val="0"/>
                <w:sz w:val="18"/>
                <w:szCs w:val="18"/>
                <w:u w:val="none"/>
                <w:lang w:val="en-US" w:eastAsia="zh-CN"/>
              </w:rPr>
              <w:t>服务对象满意度指标</w:t>
            </w:r>
          </w:p>
        </w:tc>
        <w:tc>
          <w:tcPr>
            <w:tcW w:w="136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主管部门满意率</w:t>
            </w:r>
          </w:p>
        </w:tc>
        <w:tc>
          <w:tcPr>
            <w:tcW w:w="1845"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反映主管部门满意率</w:t>
            </w:r>
          </w:p>
        </w:tc>
        <w:tc>
          <w:tcPr>
            <w:tcW w:w="1051"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600" w:type="dxa"/>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95</w:t>
            </w:r>
          </w:p>
        </w:tc>
        <w:tc>
          <w:tcPr>
            <w:tcW w:w="2188" w:type="dxa"/>
            <w:gridSpan w:val="2"/>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w:t>
            </w:r>
          </w:p>
        </w:tc>
        <w:tc>
          <w:tcPr>
            <w:tcW w:w="5639" w:type="dxa"/>
            <w:gridSpan w:val="4"/>
            <w:tcBorders>
              <w:top w:val="single" w:color="000000" w:sz="4" w:space="0"/>
              <w:left w:val="single" w:color="000000" w:sz="4" w:space="0"/>
              <w:bottom w:val="single" w:color="000000" w:sz="4" w:space="0"/>
              <w:right w:val="single" w:color="000000" w:sz="4" w:space="0"/>
            </w:tcBorders>
            <w:vAlign w:val="top"/>
          </w:tcPr>
          <w:p>
            <w:pPr>
              <w:widowControl/>
              <w:jc w:val="center"/>
              <w:textAlignment w:val="center"/>
              <w:rPr>
                <w:rFonts w:hint="default" w:ascii="宋体" w:hAnsi="宋体" w:eastAsia="宋体" w:cs="宋体"/>
                <w:b/>
                <w:bCs/>
                <w:i w:val="0"/>
                <w:iCs w:val="0"/>
                <w:color w:val="000000"/>
                <w:kern w:val="0"/>
                <w:sz w:val="18"/>
                <w:szCs w:val="18"/>
                <w:u w:val="none"/>
                <w:lang w:val="en-US" w:eastAsia="zh-CN"/>
              </w:rPr>
            </w:pPr>
            <w:r>
              <w:rPr>
                <w:rFonts w:hint="default" w:ascii="宋体" w:hAnsi="宋体" w:eastAsia="宋体" w:cs="宋体"/>
                <w:b/>
                <w:bCs/>
                <w:i w:val="0"/>
                <w:iCs w:val="0"/>
                <w:color w:val="000000"/>
                <w:kern w:val="0"/>
                <w:sz w:val="18"/>
                <w:szCs w:val="18"/>
                <w:u w:val="none"/>
                <w:lang w:val="en-US" w:eastAsia="zh-CN"/>
              </w:rPr>
              <w:t>调查结果</w:t>
            </w:r>
          </w:p>
        </w:tc>
      </w:tr>
      <w:bookmarkEnd w:id="0"/>
    </w:tbl>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六、政府采购预算情况</w:t>
      </w:r>
    </w:p>
    <w:p>
      <w:pPr>
        <w:spacing w:line="584" w:lineRule="exact"/>
        <w:ind w:firstLine="640" w:firstLineChars="200"/>
        <w:outlineLvl w:val="0"/>
        <w:rPr>
          <w:rFonts w:ascii="仿宋_GB2312" w:eastAsia="仿宋_GB2312" w:cs="仿宋_GB2312"/>
          <w:sz w:val="32"/>
          <w:szCs w:val="24"/>
        </w:rPr>
      </w:pPr>
      <w:bookmarkStart w:id="2" w:name="_Toc471398468"/>
      <w:r>
        <w:rPr>
          <w:rFonts w:hint="eastAsia" w:ascii="仿宋_GB2312" w:eastAsia="仿宋_GB2312" w:cs="仿宋_GB2312"/>
          <w:sz w:val="32"/>
          <w:szCs w:val="24"/>
        </w:rPr>
        <w:t>202</w:t>
      </w:r>
      <w:r>
        <w:rPr>
          <w:rFonts w:hint="eastAsia" w:ascii="仿宋_GB2312" w:eastAsia="仿宋_GB2312" w:cs="仿宋_GB2312"/>
          <w:sz w:val="32"/>
          <w:szCs w:val="24"/>
          <w:lang w:val="en-US" w:eastAsia="zh-CN"/>
        </w:rPr>
        <w:t>2</w:t>
      </w:r>
      <w:r>
        <w:rPr>
          <w:rFonts w:hint="eastAsia" w:ascii="仿宋_GB2312" w:eastAsia="仿宋_GB2312" w:cs="仿宋_GB2312"/>
          <w:sz w:val="32"/>
          <w:szCs w:val="24"/>
        </w:rPr>
        <w:t>年，我部门安排政府采购</w:t>
      </w:r>
      <w:r>
        <w:rPr>
          <w:rFonts w:hint="eastAsia" w:ascii="仿宋_GB2312" w:eastAsia="仿宋_GB2312" w:cs="仿宋_GB2312"/>
          <w:sz w:val="32"/>
          <w:szCs w:val="32"/>
        </w:rPr>
        <w:t>预算</w:t>
      </w:r>
      <w:r>
        <w:rPr>
          <w:rFonts w:hint="eastAsia" w:ascii="仿宋_GB2312" w:eastAsia="仿宋_GB2312" w:cs="仿宋_GB2312"/>
          <w:sz w:val="32"/>
          <w:szCs w:val="32"/>
          <w:lang w:val="en-US" w:eastAsia="zh-CN"/>
        </w:rPr>
        <w:t>0</w:t>
      </w:r>
      <w:r>
        <w:rPr>
          <w:rFonts w:hint="eastAsia" w:ascii="仿宋_GB2312" w:eastAsia="仿宋_GB2312" w:cs="仿宋_GB2312"/>
          <w:sz w:val="32"/>
          <w:szCs w:val="32"/>
        </w:rPr>
        <w:t>万元</w:t>
      </w:r>
      <w:r>
        <w:rPr>
          <w:rFonts w:hint="eastAsia" w:ascii="仿宋_GB2312" w:eastAsia="仿宋_GB2312" w:cs="仿宋_GB2312"/>
          <w:sz w:val="32"/>
          <w:szCs w:val="24"/>
        </w:rPr>
        <w:t>。具体内容见下表。</w:t>
      </w:r>
    </w:p>
    <w:bookmarkEnd w:id="2"/>
    <w:p>
      <w:pPr>
        <w:jc w:val="center"/>
        <w:outlineLvl w:val="0"/>
        <w:rPr>
          <w:rFonts w:ascii="仿宋_GB2312" w:eastAsia="仿宋_GB2312" w:cs="仿宋_GB2312"/>
          <w:sz w:val="32"/>
        </w:rPr>
      </w:pPr>
      <w:bookmarkStart w:id="3" w:name="_Toc2029233"/>
      <w:r>
        <w:rPr>
          <w:rFonts w:hint="eastAsia" w:ascii="仿宋_GB2312" w:eastAsia="仿宋_GB2312" w:cs="仿宋_GB2312"/>
          <w:sz w:val="32"/>
        </w:rPr>
        <w:t>部门政府采购预算</w:t>
      </w:r>
      <w:bookmarkEnd w:id="3"/>
    </w:p>
    <w:tbl>
      <w:tblPr>
        <w:tblStyle w:val="6"/>
        <w:tblW w:w="13752"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3016"/>
        <w:gridCol w:w="567"/>
        <w:gridCol w:w="629"/>
        <w:gridCol w:w="1214"/>
        <w:gridCol w:w="708"/>
        <w:gridCol w:w="641"/>
        <w:gridCol w:w="1060"/>
        <w:gridCol w:w="612"/>
        <w:gridCol w:w="890"/>
        <w:gridCol w:w="890"/>
        <w:gridCol w:w="890"/>
        <w:gridCol w:w="892"/>
        <w:gridCol w:w="892"/>
        <w:gridCol w:w="8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7835"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ind w:firstLine="120" w:firstLineChars="50"/>
              <w:jc w:val="left"/>
              <w:rPr>
                <w:rFonts w:ascii="方正小标宋_GBK" w:eastAsia="方正小标宋_GBK"/>
                <w:sz w:val="24"/>
                <w:szCs w:val="24"/>
              </w:rPr>
            </w:pPr>
            <w:r>
              <w:rPr>
                <w:rFonts w:hint="eastAsia" w:ascii="宋体" w:cs="宋体"/>
                <w:sz w:val="24"/>
              </w:rPr>
              <w:t>河北大城经济开发区管理委员会</w:t>
            </w:r>
          </w:p>
        </w:tc>
        <w:tc>
          <w:tcPr>
            <w:tcW w:w="5917" w:type="dxa"/>
            <w:gridSpan w:val="7"/>
            <w:tcBorders>
              <w:top w:val="single" w:color="FFFFFF" w:sz="6" w:space="0"/>
              <w:left w:val="single" w:color="FFFFFF" w:sz="6" w:space="0"/>
              <w:bottom w:val="single" w:color="000000" w:sz="6" w:space="0"/>
              <w:right w:val="single" w:color="FFFFFF" w:sz="6" w:space="0"/>
            </w:tcBorders>
            <w:vAlign w:val="center"/>
          </w:tcPr>
          <w:p>
            <w:pPr>
              <w:spacing w:line="300" w:lineRule="exact"/>
              <w:jc w:val="right"/>
              <w:rPr>
                <w:rFonts w:ascii="方正书宋_GBK" w:eastAsia="方正书宋_GBK"/>
                <w:sz w:val="24"/>
                <w:szCs w:val="24"/>
              </w:rPr>
            </w:pPr>
            <w:r>
              <w:rPr>
                <w:rFonts w:hint="eastAsia" w:ascii="宋体" w:cs="宋体"/>
                <w:sz w:val="24"/>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583" w:type="dxa"/>
            <w:gridSpan w:val="2"/>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政府采购项目来源</w:t>
            </w:r>
          </w:p>
        </w:tc>
        <w:tc>
          <w:tcPr>
            <w:tcW w:w="629"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采购物品名称</w:t>
            </w:r>
          </w:p>
        </w:tc>
        <w:tc>
          <w:tcPr>
            <w:tcW w:w="1214"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政府采购目录序号</w:t>
            </w:r>
          </w:p>
        </w:tc>
        <w:tc>
          <w:tcPr>
            <w:tcW w:w="708"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  单位</w:t>
            </w:r>
          </w:p>
        </w:tc>
        <w:tc>
          <w:tcPr>
            <w:tcW w:w="64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数量</w:t>
            </w:r>
          </w:p>
        </w:tc>
        <w:tc>
          <w:tcPr>
            <w:tcW w:w="1060"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单价</w:t>
            </w:r>
          </w:p>
        </w:tc>
        <w:tc>
          <w:tcPr>
            <w:tcW w:w="5917" w:type="dxa"/>
            <w:gridSpan w:val="7"/>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政府采购金额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16"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项目名称</w:t>
            </w:r>
          </w:p>
        </w:tc>
        <w:tc>
          <w:tcPr>
            <w:tcW w:w="567"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预算资金</w:t>
            </w: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总计</w:t>
            </w:r>
          </w:p>
        </w:tc>
        <w:tc>
          <w:tcPr>
            <w:tcW w:w="4454" w:type="dxa"/>
            <w:gridSpan w:val="5"/>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当年部门预算安排资金</w:t>
            </w:r>
          </w:p>
        </w:tc>
        <w:tc>
          <w:tcPr>
            <w:tcW w:w="851" w:type="dxa"/>
            <w:vMerge w:val="restart"/>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其他渠道资金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3016" w:type="dxa"/>
            <w:vMerge w:val="continue"/>
            <w:tcBorders>
              <w:top w:val="single" w:color="000000" w:sz="6" w:space="0"/>
              <w:left w:val="single" w:color="000000" w:sz="6" w:space="0"/>
              <w:bottom w:val="single" w:color="000000" w:sz="6" w:space="0"/>
              <w:right w:val="single" w:color="000000" w:sz="6" w:space="0"/>
            </w:tcBorders>
            <w:vAlign w:val="center"/>
          </w:tcPr>
          <w:p/>
        </w:tc>
        <w:tc>
          <w:tcPr>
            <w:tcW w:w="567" w:type="dxa"/>
            <w:vMerge w:val="continue"/>
            <w:tcBorders>
              <w:top w:val="single" w:color="000000" w:sz="6" w:space="0"/>
              <w:left w:val="single" w:color="000000" w:sz="6" w:space="0"/>
              <w:bottom w:val="single" w:color="000000" w:sz="6" w:space="0"/>
              <w:right w:val="single" w:color="000000" w:sz="6" w:space="0"/>
            </w:tcBorders>
            <w:vAlign w:val="center"/>
          </w:tcPr>
          <w:p/>
        </w:tc>
        <w:tc>
          <w:tcPr>
            <w:tcW w:w="629" w:type="dxa"/>
            <w:vMerge w:val="continue"/>
            <w:tcBorders>
              <w:top w:val="single" w:color="000000" w:sz="6" w:space="0"/>
              <w:left w:val="single" w:color="000000" w:sz="6" w:space="0"/>
              <w:bottom w:val="single" w:color="000000" w:sz="6" w:space="0"/>
              <w:right w:val="single" w:color="000000" w:sz="6" w:space="0"/>
            </w:tcBorders>
            <w:vAlign w:val="center"/>
          </w:tcPr>
          <w:p/>
        </w:tc>
        <w:tc>
          <w:tcPr>
            <w:tcW w:w="1214" w:type="dxa"/>
            <w:vMerge w:val="continue"/>
            <w:tcBorders>
              <w:top w:val="single" w:color="000000" w:sz="6" w:space="0"/>
              <w:left w:val="single" w:color="000000" w:sz="6" w:space="0"/>
              <w:bottom w:val="single" w:color="000000" w:sz="6" w:space="0"/>
              <w:right w:val="single" w:color="000000" w:sz="6" w:space="0"/>
            </w:tcBorders>
            <w:vAlign w:val="center"/>
          </w:tcPr>
          <w:p/>
        </w:tc>
        <w:tc>
          <w:tcPr>
            <w:tcW w:w="708" w:type="dxa"/>
            <w:vMerge w:val="continue"/>
            <w:tcBorders>
              <w:top w:val="single" w:color="000000" w:sz="6" w:space="0"/>
              <w:left w:val="single" w:color="000000" w:sz="6" w:space="0"/>
              <w:bottom w:val="single" w:color="000000" w:sz="6" w:space="0"/>
              <w:right w:val="single" w:color="000000" w:sz="6" w:space="0"/>
            </w:tcBorders>
            <w:vAlign w:val="center"/>
          </w:tcPr>
          <w:p/>
        </w:tc>
        <w:tc>
          <w:tcPr>
            <w:tcW w:w="641" w:type="dxa"/>
            <w:vMerge w:val="continue"/>
            <w:tcBorders>
              <w:top w:val="single" w:color="000000" w:sz="6" w:space="0"/>
              <w:left w:val="single" w:color="000000" w:sz="6" w:space="0"/>
              <w:bottom w:val="single" w:color="000000" w:sz="6" w:space="0"/>
              <w:right w:val="single" w:color="000000" w:sz="6" w:space="0"/>
            </w:tcBorders>
            <w:vAlign w:val="center"/>
          </w:tcPr>
          <w:p/>
        </w:tc>
        <w:tc>
          <w:tcPr>
            <w:tcW w:w="1060" w:type="dxa"/>
            <w:vMerge w:val="continue"/>
            <w:tcBorders>
              <w:top w:val="single" w:color="000000" w:sz="6" w:space="0"/>
              <w:left w:val="single" w:color="000000" w:sz="6" w:space="0"/>
              <w:bottom w:val="single" w:color="000000" w:sz="6" w:space="0"/>
              <w:right w:val="single" w:color="000000" w:sz="6" w:space="0"/>
            </w:tcBorders>
            <w:vAlign w:val="center"/>
          </w:tcPr>
          <w:p/>
        </w:tc>
        <w:tc>
          <w:tcPr>
            <w:tcW w:w="612" w:type="dxa"/>
            <w:vMerge w:val="continue"/>
            <w:tcBorders>
              <w:top w:val="single" w:color="000000" w:sz="6" w:space="0"/>
              <w:left w:val="single" w:color="000000" w:sz="6" w:space="0"/>
              <w:bottom w:val="single" w:color="000000" w:sz="6" w:space="0"/>
              <w:right w:val="single" w:color="000000" w:sz="6" w:space="0"/>
            </w:tcBorders>
            <w:vAlign w:val="center"/>
          </w:tc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合计</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一般公共预算拨款</w:t>
            </w: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基金预算拨款</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财政专户核拨</w:t>
            </w: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其他来源收入</w:t>
            </w:r>
          </w:p>
        </w:tc>
        <w:tc>
          <w:tcPr>
            <w:tcW w:w="851" w:type="dxa"/>
            <w:vMerge w:val="continue"/>
            <w:tcBorders>
              <w:top w:val="single" w:color="000000" w:sz="6" w:space="0"/>
              <w:left w:val="single" w:color="000000" w:sz="6" w:space="0"/>
              <w:bottom w:val="single" w:color="000000" w:sz="6" w:space="0"/>
              <w:right w:val="single" w:color="000000" w:sz="6" w:space="0"/>
            </w:tcBorders>
            <w:vAlign w:val="center"/>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r>
              <w:rPr>
                <w:rFonts w:hint="eastAsia" w:ascii="方正书宋_GBK" w:eastAsia="方正书宋_GBK"/>
                <w:b/>
              </w:rPr>
              <w:t>合　计</w:t>
            </w: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left"/>
              <w:rPr>
                <w:rFonts w:ascii="方正书宋_GBK" w:eastAsia="方正书宋_GBK"/>
                <w:b/>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b/>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b/>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b/>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21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3016"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567"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仿宋" w:eastAsia="仿宋"/>
                <w:szCs w:val="21"/>
              </w:rPr>
            </w:pPr>
          </w:p>
        </w:tc>
        <w:tc>
          <w:tcPr>
            <w:tcW w:w="629"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both"/>
              <w:rPr>
                <w:rFonts w:ascii="方正书宋_GBK" w:eastAsia="方正书宋_GBK"/>
                <w:szCs w:val="24"/>
              </w:rPr>
            </w:pPr>
          </w:p>
        </w:tc>
        <w:tc>
          <w:tcPr>
            <w:tcW w:w="1214"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708"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641"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1060" w:type="dxa"/>
            <w:tcBorders>
              <w:top w:val="single" w:color="000000" w:sz="6" w:space="0"/>
              <w:left w:val="single" w:color="000000" w:sz="6" w:space="0"/>
              <w:bottom w:val="single" w:color="000000" w:sz="6" w:space="0"/>
              <w:right w:val="single" w:color="000000" w:sz="6" w:space="0"/>
            </w:tcBorders>
            <w:vAlign w:val="center"/>
          </w:tcPr>
          <w:p>
            <w:pPr>
              <w:spacing w:line="300" w:lineRule="exact"/>
              <w:ind w:right="420"/>
              <w:jc w:val="center"/>
              <w:rPr>
                <w:rFonts w:ascii="方正书宋_GBK" w:eastAsia="方正书宋_GBK"/>
                <w:szCs w:val="24"/>
              </w:rPr>
            </w:pPr>
          </w:p>
        </w:tc>
        <w:tc>
          <w:tcPr>
            <w:tcW w:w="61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0"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92"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center"/>
              <w:rPr>
                <w:rFonts w:ascii="方正书宋_GBK" w:eastAsia="方正书宋_GBK"/>
                <w:szCs w:val="24"/>
              </w:rPr>
            </w:pPr>
          </w:p>
        </w:tc>
        <w:tc>
          <w:tcPr>
            <w:tcW w:w="851" w:type="dxa"/>
            <w:tcBorders>
              <w:top w:val="single" w:color="000000" w:sz="6" w:space="0"/>
              <w:left w:val="single" w:color="000000" w:sz="6" w:space="0"/>
              <w:bottom w:val="single" w:color="000000" w:sz="6" w:space="0"/>
              <w:right w:val="single" w:color="000000" w:sz="6" w:space="0"/>
            </w:tcBorders>
            <w:vAlign w:val="center"/>
          </w:tcPr>
          <w:p>
            <w:pPr>
              <w:spacing w:line="300" w:lineRule="exact"/>
              <w:jc w:val="right"/>
              <w:rPr>
                <w:rFonts w:ascii="方正书宋_GBK" w:eastAsia="方正书宋_GBK"/>
                <w:szCs w:val="24"/>
              </w:rPr>
            </w:pPr>
          </w:p>
        </w:tc>
      </w:tr>
    </w:tbl>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七、国有资产信息</w:t>
      </w:r>
    </w:p>
    <w:p>
      <w:pPr>
        <w:spacing w:line="584" w:lineRule="exact"/>
        <w:ind w:firstLine="640"/>
        <w:rPr>
          <w:rFonts w:ascii="Times New Roman" w:hAnsi="Times New Roman" w:eastAsia="仿宋_GB2312"/>
          <w:sz w:val="32"/>
          <w:szCs w:val="32"/>
        </w:rPr>
      </w:pPr>
      <w:r>
        <w:rPr>
          <w:rFonts w:hint="eastAsia" w:ascii="仿宋_GB2312" w:eastAsia="仿宋_GB2312" w:cs="仿宋_GB2312"/>
          <w:bCs/>
          <w:sz w:val="32"/>
          <w:szCs w:val="32"/>
        </w:rPr>
        <w:t>河北大城经济开发区管理委员会</w:t>
      </w:r>
      <w:r>
        <w:rPr>
          <w:rFonts w:hint="eastAsia" w:ascii="仿宋_GB2312" w:eastAsia="仿宋_GB2312" w:cs="仿宋_GB2312"/>
          <w:sz w:val="32"/>
          <w:szCs w:val="32"/>
        </w:rPr>
        <w:t>上年末固定资产金额为</w:t>
      </w:r>
      <w:r>
        <w:rPr>
          <w:rFonts w:ascii="仿宋_GB2312" w:eastAsia="仿宋_GB2312" w:cs="仿宋_GB2312"/>
          <w:sz w:val="32"/>
          <w:szCs w:val="32"/>
        </w:rPr>
        <w:t>342.94万</w:t>
      </w:r>
      <w:r>
        <w:rPr>
          <w:rFonts w:hint="eastAsia" w:ascii="仿宋_GB2312" w:eastAsia="仿宋_GB2312" w:cs="仿宋_GB2312"/>
          <w:sz w:val="32"/>
          <w:szCs w:val="32"/>
        </w:rPr>
        <w:t>元，详见下表。</w:t>
      </w:r>
      <w:r>
        <w:rPr>
          <w:rFonts w:hint="eastAsia" w:ascii="仿宋_GB2312" w:eastAsia="仿宋_GB2312"/>
          <w:sz w:val="32"/>
          <w:szCs w:val="32"/>
        </w:rPr>
        <w:t>202</w:t>
      </w:r>
      <w:r>
        <w:rPr>
          <w:rFonts w:hint="eastAsia" w:ascii="仿宋_GB2312" w:eastAsia="仿宋_GB2312"/>
          <w:sz w:val="32"/>
          <w:szCs w:val="32"/>
          <w:lang w:val="en-US" w:eastAsia="zh-CN"/>
        </w:rPr>
        <w:t>2</w:t>
      </w:r>
      <w:r>
        <w:rPr>
          <w:rFonts w:hint="eastAsia" w:ascii="仿宋_GB2312" w:eastAsia="仿宋_GB2312"/>
          <w:sz w:val="32"/>
          <w:szCs w:val="32"/>
        </w:rPr>
        <w:t>年我部门无新增固定资产计划。</w:t>
      </w:r>
    </w:p>
    <w:tbl>
      <w:tblPr>
        <w:tblStyle w:val="6"/>
        <w:tblW w:w="13482"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224"/>
        <w:gridCol w:w="3155"/>
        <w:gridCol w:w="51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vAlign w:val="center"/>
          </w:tcPr>
          <w:p>
            <w:pPr>
              <w:widowControl/>
              <w:spacing w:line="584" w:lineRule="exact"/>
              <w:jc w:val="center"/>
              <w:rPr>
                <w:rFonts w:ascii="Times New Roman" w:hAnsi="Times New Roman" w:eastAsia="仿宋_GB2312" w:cs="Times New Roman"/>
                <w:b/>
                <w:bCs/>
                <w:kern w:val="0"/>
                <w:sz w:val="32"/>
                <w:szCs w:val="32"/>
              </w:rPr>
            </w:pPr>
            <w:r>
              <w:rPr>
                <w:rFonts w:hint="eastAsia" w:ascii="Times New Roman" w:hAnsi="Times New Roman" w:eastAsia="仿宋_GB2312" w:cs="Times New Roman"/>
                <w:b/>
                <w:bCs/>
                <w:kern w:val="0"/>
                <w:sz w:val="32"/>
                <w:szCs w:val="32"/>
                <w:lang w:eastAsia="zh-CN"/>
              </w:rPr>
              <w:t>大城县部</w:t>
            </w:r>
            <w:r>
              <w:rPr>
                <w:rFonts w:ascii="Times New Roman" w:hAnsi="Times New Roman" w:eastAsia="仿宋_GB2312" w:cs="Times New Roman"/>
                <w:b/>
                <w:bCs/>
                <w:kern w:val="0"/>
                <w:sz w:val="32"/>
                <w:szCs w:val="32"/>
              </w:rPr>
              <w:t>门固定资产占用情况表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vAlign w:val="center"/>
          </w:tcPr>
          <w:p>
            <w:pPr>
              <w:widowControl/>
              <w:spacing w:line="584" w:lineRule="exact"/>
              <w:jc w:val="left"/>
              <w:rPr>
                <w:rFonts w:hint="default" w:ascii="Times New Roman" w:hAnsi="Times New Roman" w:eastAsia="仿宋_GB2312" w:cs="Times New Roman"/>
                <w:kern w:val="0"/>
                <w:sz w:val="22"/>
                <w:lang w:val="en-US"/>
              </w:rPr>
            </w:pPr>
            <w:r>
              <w:rPr>
                <w:rFonts w:ascii="Times New Roman" w:hAnsi="Times New Roman" w:eastAsia="仿宋_GB2312" w:cs="Times New Roman"/>
                <w:kern w:val="0"/>
                <w:sz w:val="22"/>
              </w:rPr>
              <w:t>编制部门：</w:t>
            </w:r>
            <w:r>
              <w:rPr>
                <w:rFonts w:hint="eastAsia" w:ascii="Times New Roman" w:hAnsi="Times New Roman" w:eastAsia="仿宋_GB2312" w:cs="Times New Roman"/>
                <w:kern w:val="0"/>
                <w:sz w:val="22"/>
                <w:lang w:val="en-US" w:eastAsia="zh-CN"/>
              </w:rPr>
              <w:t>河北大城经济开发区管理委员会</w:t>
            </w:r>
          </w:p>
        </w:tc>
        <w:tc>
          <w:tcPr>
            <w:tcW w:w="5103" w:type="dxa"/>
            <w:tcBorders>
              <w:top w:val="nil"/>
              <w:left w:val="nil"/>
              <w:bottom w:val="nil"/>
              <w:right w:val="nil"/>
            </w:tcBorders>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w:t>
            </w:r>
            <w:r>
              <w:rPr>
                <w:rFonts w:hint="eastAsia" w:ascii="Times New Roman" w:hAnsi="Times New Roman" w:eastAsia="仿宋_GB2312" w:cs="Times New Roman"/>
                <w:kern w:val="0"/>
                <w:sz w:val="22"/>
                <w:lang w:val="en-US" w:eastAsia="zh-CN"/>
              </w:rPr>
              <w:t>1</w:t>
            </w:r>
            <w:r>
              <w:rPr>
                <w:rFonts w:ascii="Times New Roman" w:hAnsi="Times New Roman" w:eastAsia="仿宋_GB2312" w:cs="Times New Roman"/>
                <w:kern w:val="0"/>
                <w:sz w:val="22"/>
              </w:rPr>
              <w:t xml:space="preserve">年12月31日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   目</w:t>
            </w:r>
          </w:p>
        </w:tc>
        <w:tc>
          <w:tcPr>
            <w:tcW w:w="3155"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342.94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167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hint="eastAsia" w:ascii="Times New Roman" w:hAnsi="Times New Roman" w:eastAsia="仿宋_GB2312" w:cs="Times New Roman"/>
                <w:kern w:val="0"/>
                <w:sz w:val="22"/>
                <w:lang w:val="en-US" w:eastAsia="zh-CN"/>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vAlign w:val="center"/>
          </w:tcPr>
          <w:p>
            <w:pPr>
              <w:spacing w:line="584" w:lineRule="exact"/>
              <w:jc w:val="center"/>
              <w:rPr>
                <w:rFonts w:hint="eastAsia"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4</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136.14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vAlign w:val="center"/>
          </w:tcPr>
          <w:p>
            <w:pPr>
              <w:spacing w:line="584" w:lineRule="exact"/>
              <w:jc w:val="center"/>
              <w:rPr>
                <w:rFonts w:ascii="Times New Roman" w:hAnsi="Times New Roman" w:eastAsia="仿宋_GB2312" w:cs="Times New Roman"/>
                <w:sz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20</w:t>
            </w:r>
          </w:p>
        </w:tc>
        <w:tc>
          <w:tcPr>
            <w:tcW w:w="5103" w:type="dxa"/>
            <w:tcBorders>
              <w:top w:val="nil"/>
              <w:left w:val="nil"/>
              <w:bottom w:val="single" w:color="auto" w:sz="4" w:space="0"/>
              <w:right w:val="single" w:color="auto" w:sz="4" w:space="0"/>
            </w:tcBorders>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39.8</w:t>
            </w:r>
          </w:p>
        </w:tc>
      </w:tr>
    </w:tbl>
    <w:p>
      <w:pPr>
        <w:spacing w:line="584" w:lineRule="exact"/>
        <w:ind w:firstLine="640"/>
        <w:rPr>
          <w:rFonts w:ascii="仿宋_GB2312" w:eastAsia="仿宋_GB2312" w:cs="仿宋_GB2312"/>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八、名词解释</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1、一般公共预算拨款收入：</w:t>
      </w:r>
      <w:r>
        <w:rPr>
          <w:rFonts w:ascii="Times New Roman" w:hAnsi="Times New Roman" w:eastAsia="仿宋_GB2312"/>
          <w:sz w:val="32"/>
          <w:szCs w:val="32"/>
        </w:rPr>
        <w:t>指</w:t>
      </w:r>
      <w:r>
        <w:rPr>
          <w:rFonts w:hint="eastAsia" w:ascii="Times New Roman" w:hAnsi="Times New Roman" w:eastAsia="仿宋_GB2312"/>
          <w:sz w:val="32"/>
          <w:szCs w:val="32"/>
        </w:rPr>
        <w:t>县</w:t>
      </w:r>
      <w:r>
        <w:rPr>
          <w:rFonts w:ascii="Times New Roman" w:hAnsi="Times New Roman" w:eastAsia="仿宋_GB2312"/>
          <w:sz w:val="32"/>
          <w:szCs w:val="32"/>
        </w:rPr>
        <w:t>级财政当年拨付的资金。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2、事业收入：</w:t>
      </w:r>
      <w:r>
        <w:rPr>
          <w:rFonts w:ascii="Times New Roman" w:hAnsi="Times New Roman" w:eastAsia="仿宋_GB2312"/>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3、其他收入：</w:t>
      </w:r>
      <w:r>
        <w:rPr>
          <w:rFonts w:ascii="Times New Roman" w:hAnsi="Times New Roman" w:eastAsia="仿宋_GB2312"/>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4、基本支出：</w:t>
      </w:r>
      <w:r>
        <w:rPr>
          <w:rFonts w:ascii="Times New Roman" w:hAnsi="Times New Roman" w:eastAsia="仿宋_GB2312"/>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5、项目支出：</w:t>
      </w:r>
      <w:r>
        <w:rPr>
          <w:rFonts w:ascii="Times New Roman" w:hAnsi="Times New Roman" w:eastAsia="仿宋_GB2312"/>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6、上缴上级支出：</w:t>
      </w:r>
      <w:r>
        <w:rPr>
          <w:rFonts w:ascii="Times New Roman" w:hAnsi="Times New Roman" w:eastAsia="仿宋_GB2312"/>
          <w:sz w:val="32"/>
          <w:szCs w:val="32"/>
        </w:rPr>
        <w:t>指下级单位上缴上级的支出。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7、“三公”经费：</w:t>
      </w:r>
      <w:r>
        <w:rPr>
          <w:rFonts w:ascii="Times New Roman" w:hAnsi="Times New Roman" w:eastAsia="仿宋_GB2312"/>
          <w:sz w:val="32"/>
          <w:szCs w:val="32"/>
        </w:rPr>
        <w:t>纳入</w:t>
      </w:r>
      <w:r>
        <w:rPr>
          <w:rFonts w:hint="eastAsia" w:ascii="Times New Roman" w:hAnsi="Times New Roman" w:eastAsia="仿宋_GB2312"/>
          <w:sz w:val="32"/>
          <w:szCs w:val="32"/>
        </w:rPr>
        <w:t>县</w:t>
      </w:r>
      <w:r>
        <w:rPr>
          <w:rFonts w:ascii="Times New Roman" w:hAnsi="Times New Roman" w:eastAsia="仿宋_GB2312"/>
          <w:sz w:val="32"/>
          <w:szCs w:val="32"/>
        </w:rPr>
        <w:t>级财政预算管理的“三公”经费，是指</w:t>
      </w:r>
      <w:r>
        <w:rPr>
          <w:rFonts w:hint="eastAsia" w:ascii="Times New Roman" w:hAnsi="Times New Roman" w:eastAsia="仿宋_GB2312"/>
          <w:sz w:val="32"/>
          <w:szCs w:val="32"/>
        </w:rPr>
        <w:t>县</w:t>
      </w:r>
      <w:r>
        <w:rPr>
          <w:rFonts w:ascii="Times New Roman" w:hAnsi="Times New Roman" w:eastAsia="仿宋_GB2312"/>
          <w:sz w:val="32"/>
          <w:szCs w:val="32"/>
        </w:rPr>
        <w:t>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8、机关运行费：</w:t>
      </w:r>
      <w:r>
        <w:rPr>
          <w:rFonts w:ascii="Times New Roman" w:hAnsi="Times New Roman" w:eastAsia="仿宋_GB2312"/>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9、上年结转：</w:t>
      </w:r>
      <w:r>
        <w:rPr>
          <w:rFonts w:ascii="Times New Roman" w:hAnsi="Times New Roman" w:eastAsia="仿宋_GB2312"/>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10、事业单位经营支出：</w:t>
      </w:r>
      <w:r>
        <w:rPr>
          <w:rFonts w:ascii="Times New Roman" w:hAnsi="Times New Roman" w:eastAsia="仿宋_GB2312"/>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sz w:val="32"/>
          <w:szCs w:val="32"/>
        </w:rPr>
      </w:pPr>
      <w:r>
        <w:rPr>
          <w:rFonts w:ascii="Times New Roman" w:hAnsi="Times New Roman" w:eastAsia="黑体"/>
          <w:sz w:val="32"/>
          <w:szCs w:val="32"/>
        </w:rPr>
        <w:t>九、其他需要说明的事项</w:t>
      </w:r>
    </w:p>
    <w:p>
      <w:pPr>
        <w:spacing w:line="584"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我单位无其他说明的事项。</w:t>
      </w:r>
    </w:p>
    <w:p>
      <w:pPr>
        <w:spacing w:line="584" w:lineRule="exact"/>
        <w:ind w:firstLine="640" w:firstLineChars="200"/>
        <w:rPr>
          <w:rFonts w:ascii="Times New Roman" w:hAnsi="Times New Roman" w:eastAsia="仿宋_GB2312"/>
          <w:sz w:val="32"/>
          <w:szCs w:val="32"/>
        </w:rPr>
      </w:pPr>
    </w:p>
    <w:p>
      <w:pPr>
        <w:spacing w:line="584" w:lineRule="exact"/>
        <w:rPr>
          <w:rFonts w:ascii="Times New Roman" w:hAnsi="Times New Roman" w:eastAsia="仿宋_GB2312"/>
          <w:sz w:val="32"/>
          <w:szCs w:val="32"/>
        </w:rPr>
      </w:pPr>
    </w:p>
    <w:p/>
    <w:p/>
    <w:sectPr>
      <w:type w:val="continuous"/>
      <w:pgSz w:w="16838" w:h="11906" w:orient="landscape"/>
      <w:pgMar w:top="1800" w:right="1440" w:bottom="1800" w:left="144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书宋_GBK">
    <w:altName w:val="SimSun-ExtB"/>
    <w:panose1 w:val="00000000000000000000"/>
    <w:charset w:val="86"/>
    <w:family w:val="auto"/>
    <w:pitch w:val="default"/>
    <w:sig w:usb0="00000000" w:usb1="00000000" w:usb2="00000010" w:usb3="00000000" w:csb0="00040000" w:csb1="00000000"/>
  </w:font>
  <w:font w:name="方正小标宋_GBK">
    <w:altName w:val="SimSun-ExtB"/>
    <w:panose1 w:val="00000000000000000000"/>
    <w:charset w:val="86"/>
    <w:family w:val="auto"/>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auto"/>
    <w:pitch w:val="default"/>
    <w:sig w:usb0="800002BF" w:usb1="38CF7CFA" w:usb2="00000016" w:usb3="00000000" w:csb0="00040001" w:csb1="00000000"/>
  </w:font>
  <w:font w:name="SimSun-ExtB">
    <w:panose1 w:val="02010609060101010101"/>
    <w:charset w:val="86"/>
    <w:family w:val="auto"/>
    <w:pitch w:val="default"/>
    <w:sig w:usb0="00000001" w:usb1="02000000" w:usb2="0000000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rFonts w:hint="eastAsia"/>
      </w:rPr>
      <w:t>-</w:t>
    </w:r>
    <w:r>
      <w:fldChar w:fldCharType="begin"/>
    </w:r>
    <w:r>
      <w:instrText xml:space="preserve">PAGE   \* MERGEFORMAT</w:instrText>
    </w:r>
    <w:r>
      <w:fldChar w:fldCharType="separate"/>
    </w:r>
    <w:r>
      <w:rPr>
        <w:lang w:val="zh-CN"/>
      </w:rPr>
      <w:t>91</w:t>
    </w:r>
    <w:r>
      <w:rPr>
        <w:lang w:val="zh-CN"/>
      </w:rPr>
      <w:fldChar w:fldCharType="end"/>
    </w:r>
    <w:r>
      <w:rPr>
        <w:rFonts w:hint="eastAsia"/>
      </w:rPr>
      <w:t>-</w: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E8050"/>
    <w:multiLevelType w:val="singleLevel"/>
    <w:tmpl w:val="624E8050"/>
    <w:lvl w:ilvl="0" w:tentative="0">
      <w:start w:val="4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F10391"/>
    <w:rsid w:val="00857297"/>
    <w:rsid w:val="008871B2"/>
    <w:rsid w:val="00C53A6F"/>
    <w:rsid w:val="00F10391"/>
    <w:rsid w:val="060A0D89"/>
    <w:rsid w:val="07647767"/>
    <w:rsid w:val="0D842FEE"/>
    <w:rsid w:val="186F0A37"/>
    <w:rsid w:val="1C4A4D75"/>
    <w:rsid w:val="1D725ADC"/>
    <w:rsid w:val="26BB02CB"/>
    <w:rsid w:val="27133A29"/>
    <w:rsid w:val="2E747857"/>
    <w:rsid w:val="2E8B3F25"/>
    <w:rsid w:val="2FD9510C"/>
    <w:rsid w:val="3B0F6973"/>
    <w:rsid w:val="3D625AB4"/>
    <w:rsid w:val="4641331D"/>
    <w:rsid w:val="46F76979"/>
    <w:rsid w:val="49B52FF9"/>
    <w:rsid w:val="4DCB34AF"/>
    <w:rsid w:val="507A7515"/>
    <w:rsid w:val="524E49D5"/>
    <w:rsid w:val="5F266CDD"/>
    <w:rsid w:val="5F6A7BA2"/>
    <w:rsid w:val="65395DBB"/>
    <w:rsid w:val="6F2A116E"/>
    <w:rsid w:val="719526C9"/>
    <w:rsid w:val="77380EA3"/>
    <w:rsid w:val="78CC6D3B"/>
    <w:rsid w:val="7ACC4282"/>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next w:val="1"/>
    <w:qFormat/>
    <w:uiPriority w:val="0"/>
    <w:pPr>
      <w:keepNext/>
      <w:keepLines/>
      <w:widowControl w:val="0"/>
      <w:spacing w:before="340" w:after="330" w:line="578" w:lineRule="auto"/>
      <w:jc w:val="both"/>
      <w:outlineLvl w:val="0"/>
    </w:pPr>
    <w:rPr>
      <w:rFonts w:ascii="Times New Roman" w:hAnsi="Times New Roman" w:eastAsia="宋体" w:cs="Times New Roman"/>
      <w:b/>
      <w:kern w:val="44"/>
      <w:sz w:val="44"/>
      <w:szCs w:val="22"/>
      <w:lang w:val="en-US" w:eastAsia="zh-CN" w:bidi="ar-SA"/>
    </w:rPr>
  </w:style>
  <w:style w:type="character" w:default="1" w:styleId="7">
    <w:name w:val="Default Paragraph Font"/>
    <w:unhideWhenUsed/>
    <w:qFormat/>
    <w:uiPriority w:val="1"/>
  </w:style>
  <w:style w:type="table" w:default="1" w:styleId="6">
    <w:name w:val="Normal Table"/>
    <w:unhideWhenUsed/>
    <w:qFormat/>
    <w:uiPriority w:val="99"/>
    <w:tblPr>
      <w:tblCellMar>
        <w:top w:w="0" w:type="dxa"/>
        <w:left w:w="108" w:type="dxa"/>
        <w:bottom w:w="0" w:type="dxa"/>
        <w:right w:w="108" w:type="dxa"/>
      </w:tblCellMar>
    </w:tblPr>
  </w:style>
  <w:style w:type="paragraph" w:styleId="3">
    <w:name w:val="Body Text"/>
    <w:basedOn w:val="1"/>
    <w:qFormat/>
    <w:uiPriority w:val="0"/>
    <w:pPr>
      <w:autoSpaceDE w:val="0"/>
      <w:autoSpaceDN w:val="0"/>
      <w:jc w:val="left"/>
    </w:pPr>
    <w:rPr>
      <w:rFonts w:ascii="微软雅黑" w:eastAsia="微软雅黑" w:cs="微软雅黑"/>
      <w:kern w:val="0"/>
      <w:sz w:val="32"/>
      <w:szCs w:val="32"/>
      <w:lang w:val="zh-CN" w:bidi="zh-CN"/>
    </w:rPr>
  </w:style>
  <w:style w:type="paragraph" w:styleId="4">
    <w:name w:val="footer"/>
    <w:basedOn w:val="1"/>
    <w:qFormat/>
    <w:uiPriority w:val="0"/>
    <w:pPr>
      <w:tabs>
        <w:tab w:val="center" w:pos="4153"/>
        <w:tab w:val="right" w:pos="8306"/>
      </w:tabs>
      <w:snapToGrid w:val="0"/>
      <w:jc w:val="left"/>
    </w:pPr>
    <w:rPr>
      <w:rFonts w:ascii="Times New Roman" w:hAnsi="Times New Roman"/>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Char Char Char Char Char Char Char"/>
    <w:basedOn w:val="1"/>
    <w:qFormat/>
    <w:uiPriority w:val="0"/>
    <w:pPr>
      <w:widowControl/>
      <w:spacing w:after="160" w:line="240" w:lineRule="exact"/>
      <w:ind w:firstLine="250" w:firstLineChars="250"/>
      <w:jc w:val="center"/>
    </w:pPr>
    <w:rPr>
      <w:rFonts w:ascii="Times New Roman" w:hAnsi="Times New Roman"/>
      <w:szCs w:val="20"/>
    </w:rPr>
  </w:style>
  <w:style w:type="paragraph" w:customStyle="1" w:styleId="9">
    <w:name w:val="p0"/>
    <w:basedOn w:val="1"/>
    <w:qFormat/>
    <w:uiPriority w:val="0"/>
    <w:pPr>
      <w:widowControl/>
      <w:ind w:firstLine="420"/>
      <w:jc w:val="left"/>
    </w:pPr>
    <w:rPr>
      <w:kern w:val="0"/>
      <w:sz w:val="20"/>
      <w:szCs w:val="20"/>
    </w:rPr>
  </w:style>
  <w:style w:type="paragraph" w:customStyle="1" w:styleId="10">
    <w:name w:val="Heading 2"/>
    <w:basedOn w:val="1"/>
    <w:qFormat/>
    <w:uiPriority w:val="0"/>
    <w:pPr>
      <w:ind w:left="760"/>
      <w:outlineLvl w:val="2"/>
    </w:pPr>
    <w:rPr>
      <w:rFonts w:ascii="微软雅黑" w:eastAsia="微软雅黑" w:cs="微软雅黑"/>
      <w:b/>
      <w:bCs/>
      <w:sz w:val="32"/>
      <w:szCs w:val="32"/>
      <w:lang w:val="zh-CN" w:bidi="zh-CN"/>
    </w:rPr>
  </w:style>
  <w:style w:type="paragraph" w:customStyle="1" w:styleId="11">
    <w:name w:val="列出段落1"/>
    <w:basedOn w:val="1"/>
    <w:qFormat/>
    <w:uiPriority w:val="0"/>
    <w:pPr>
      <w:ind w:firstLine="20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94</Pages>
  <Words>6201</Words>
  <Characters>35349</Characters>
  <Lines>294</Lines>
  <Paragraphs>82</Paragraphs>
  <TotalTime>0</TotalTime>
  <ScaleCrop>false</ScaleCrop>
  <LinksUpToDate>false</LinksUpToDate>
  <CharactersWithSpaces>0</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2020-02-23T05:04:00Z</dcterms:created>
  <dc:creator>Administrator</dc:creator>
  <cp:lastModifiedBy>Administrator</cp:lastModifiedBy>
  <dcterms:modified xsi:type="dcterms:W3CDTF">2022-04-21T07:46:28Z</dcterms:modified>
  <dc:title>大城县河北大城经济开发区管理委员会2022年部门</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y fmtid="{D5CDD505-2E9C-101B-9397-08002B2CF9AE}" pid="3" name="ICV">
    <vt:lpwstr>81A14B4912204003ABD008A11646DB72</vt:lpwstr>
  </property>
</Properties>
</file>