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200" w:lineRule="exact"/>
        <w:jc w:val="center"/>
        <w:rPr>
          <w:rFonts w:ascii="黑体" w:hAnsi="宋体" w:eastAsia="黑体"/>
          <w:color w:val="000000"/>
          <w:sz w:val="96"/>
          <w:szCs w:val="96"/>
        </w:rPr>
      </w:pPr>
      <w:bookmarkStart w:id="0" w:name="_GoBack"/>
      <w:bookmarkEnd w:id="0"/>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w:t>
      </w:r>
      <w:r>
        <w:rPr>
          <w:rFonts w:hint="eastAsia" w:ascii="方正小标宋简体" w:hAnsi="方正小标宋简体" w:eastAsia="方正小标宋简体" w:cs="方正小标宋简体"/>
          <w:sz w:val="44"/>
          <w:szCs w:val="44"/>
        </w:rPr>
        <w:t>大城县价格认证中心</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lang w:val="en-US" w:eastAsia="zh-CN"/>
        </w:rPr>
        <w:t xml:space="preserve"> </w:t>
      </w:r>
      <w:r>
        <w:rPr>
          <w:rFonts w:hint="eastAsia" w:eastAsia="黑体"/>
          <w:sz w:val="32"/>
          <w:szCs w:val="32"/>
        </w:rPr>
        <w:t>大城县价格认证中心</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lang w:val="en-US" w:eastAsia="zh-CN"/>
        </w:rPr>
        <w:t xml:space="preserve"> </w:t>
      </w:r>
      <w:r>
        <w:rPr>
          <w:rFonts w:hint="eastAsia" w:eastAsia="黑体"/>
          <w:sz w:val="32"/>
          <w:szCs w:val="32"/>
        </w:rPr>
        <w:t>大城县价格认证中心</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
      <w:pPr>
        <w:pStyle w:val="2"/>
        <w:keepNext/>
        <w:keepLines/>
        <w:widowControl w:val="0"/>
        <w:numPr>
          <w:ilvl w:val="0"/>
          <w:numId w:val="0"/>
        </w:numPr>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ind w:firstLine="640" w:firstLineChars="200"/>
        <w:rPr>
          <w:rFonts w:ascii="仿宋" w:hAnsi="仿宋" w:eastAsia="仿宋" w:cs="仿宋_GB2312"/>
          <w:sz w:val="32"/>
          <w:szCs w:val="32"/>
        </w:rPr>
      </w:pPr>
      <w:r>
        <w:rPr>
          <w:rFonts w:hint="eastAsia" w:ascii="仿宋_GB2312" w:hAnsi="Cambria" w:eastAsia="仿宋_GB2312" w:cs="ArialUnicodeMS"/>
          <w:kern w:val="0"/>
          <w:sz w:val="32"/>
          <w:szCs w:val="32"/>
        </w:rPr>
        <w:t>接受国家机关委托，对各类案件涉案物品进行价格认证。主要包括对行政执法机关、司法机关办理行政、刑事、民事、经济案件涉及的扣押、没收、追缴物品及纠纷财务等物品价格的认证</w:t>
      </w:r>
      <w:r>
        <w:rPr>
          <w:rFonts w:hint="eastAsia" w:ascii="仿宋" w:hAnsi="仿宋" w:eastAsia="仿宋" w:cs="仿宋_GB2312"/>
          <w:sz w:val="32"/>
          <w:szCs w:val="32"/>
        </w:rPr>
        <w:t>。</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接受委托对各类有形和无形资产、各种劳务进行价格评估。主要包括依法对国有资产、房产、地产的评估、对各类生产资料和生活资料的评估，对抵押物、拍卖物、过期无主物、留置物及保险理赔等物品价格的评估，对需要的评估服务项目价格进行评估。</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面向社会和生产经营者、各类组织和公民提供关于价格政策法规、市场行情、价格予测等咨询，接受委托，为部门、行业或企业的调定价工作提供前期调研和可行性研究咨询，为政府价格管理和经济决策提供服务。</w:t>
      </w:r>
    </w:p>
    <w:p>
      <w:pPr>
        <w:ind w:firstLine="640" w:firstLineChars="200"/>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协助政府价格管理部门做好有关价格管理方面的事务性工作，接受价格管理部门委托，协调、指导本行政区内价格事务所的业务工作。</w:t>
      </w:r>
    </w:p>
    <w:p>
      <w:pPr>
        <w:pStyle w:val="2"/>
        <w:spacing w:before="0" w:after="0" w:line="600" w:lineRule="exact"/>
        <w:ind w:firstLine="642"/>
        <w:jc w:val="left"/>
        <w:rPr>
          <w:rFonts w:ascii="仿宋_GB2312" w:hAnsi="Cambria" w:eastAsia="仿宋_GB2312" w:cs="ArialUnicodeMS"/>
          <w:b w:val="0"/>
          <w:bCs w:val="0"/>
          <w:kern w:val="0"/>
          <w:sz w:val="32"/>
          <w:szCs w:val="32"/>
        </w:rPr>
      </w:pPr>
      <w:r>
        <w:rPr>
          <w:rFonts w:hint="eastAsia" w:ascii="仿宋_GB2312" w:hAnsi="Cambria" w:eastAsia="仿宋_GB2312" w:cs="ArialUnicodeMS"/>
          <w:b w:val="0"/>
          <w:bCs w:val="0"/>
          <w:kern w:val="0"/>
          <w:sz w:val="32"/>
          <w:szCs w:val="32"/>
        </w:rPr>
        <w:t>接受单位或个人委托，办理其它涉及价格方面的事务性工作。</w:t>
      </w:r>
    </w:p>
    <w:p>
      <w:pPr>
        <w:pStyle w:val="2"/>
        <w:spacing w:before="0" w:after="0" w:line="600" w:lineRule="exact"/>
        <w:ind w:firstLine="642"/>
        <w:jc w:val="left"/>
        <w:rPr>
          <w:rFonts w:ascii="黑体" w:hAnsi="Cambria" w:eastAsia="黑体" w:cs="黑体"/>
          <w:b w:val="0"/>
          <w:bCs w:val="0"/>
          <w:kern w:val="0"/>
          <w:sz w:val="32"/>
          <w:szCs w:val="32"/>
        </w:rPr>
      </w:pP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before="0" w:beforeAutospacing="0" w:after="0" w:afterAutospacing="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before="0" w:beforeAutospacing="0" w:after="0" w:afterAutospacing="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before="0" w:beforeAutospacing="0" w:after="0" w:afterAutospacing="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before="0" w:beforeAutospacing="0" w:after="0" w:afterAutospacing="0" w:line="560" w:lineRule="exact"/>
              <w:ind w:left="0" w:right="0"/>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before="0" w:beforeAutospacing="0" w:after="0" w:afterAutospacing="0" w:line="560" w:lineRule="exact"/>
              <w:ind w:left="0" w:right="0"/>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大城县价格认证中心</w:t>
            </w:r>
            <w:r>
              <w:rPr>
                <w:rFonts w:hint="eastAsia" w:ascii="仿宋_GB2312" w:hAnsi="Cambria" w:eastAsia="仿宋_GB2312" w:cs="ArialUnicodeMS"/>
                <w:kern w:val="0"/>
                <w:sz w:val="28"/>
                <w:szCs w:val="28"/>
                <w:lang w:eastAsia="zh-CN"/>
              </w:rPr>
              <w:t>（本级）</w:t>
            </w:r>
          </w:p>
        </w:tc>
        <w:tc>
          <w:tcPr>
            <w:tcW w:w="244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665" w:type="dxa"/>
            <w:vAlign w:val="top"/>
          </w:tcPr>
          <w:p>
            <w:pPr>
              <w:spacing w:before="0" w:beforeAutospacing="0" w:after="0" w:afterAutospacing="0" w:line="560" w:lineRule="exact"/>
              <w:ind w:left="0" w:right="0"/>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485" w:type="dxa"/>
            <w:vAlign w:val="top"/>
          </w:tcPr>
          <w:p>
            <w:pPr>
              <w:spacing w:before="0" w:beforeAutospacing="0" w:after="0" w:afterAutospacing="0" w:line="560" w:lineRule="exact"/>
              <w:ind w:left="0" w:right="0"/>
              <w:rPr>
                <w:rFonts w:ascii="仿宋_GB2312" w:hAnsi="Cambria" w:eastAsia="仿宋_GB2312" w:cs="ArialUnicodeMS"/>
                <w:kern w:val="0"/>
                <w:sz w:val="28"/>
                <w:szCs w:val="28"/>
              </w:rPr>
            </w:pPr>
          </w:p>
        </w:tc>
        <w:tc>
          <w:tcPr>
            <w:tcW w:w="244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p>
        </w:tc>
        <w:tc>
          <w:tcPr>
            <w:tcW w:w="266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485" w:type="dxa"/>
            <w:vAlign w:val="top"/>
          </w:tcPr>
          <w:p>
            <w:pPr>
              <w:spacing w:before="0" w:beforeAutospacing="0" w:after="0" w:afterAutospacing="0" w:line="560" w:lineRule="exact"/>
              <w:ind w:left="0" w:right="0"/>
              <w:rPr>
                <w:rFonts w:ascii="仿宋_GB2312" w:hAnsi="Cambria" w:eastAsia="仿宋_GB2312" w:cs="ArialUnicodeMS"/>
                <w:kern w:val="0"/>
                <w:sz w:val="28"/>
                <w:szCs w:val="28"/>
              </w:rPr>
            </w:pPr>
          </w:p>
        </w:tc>
        <w:tc>
          <w:tcPr>
            <w:tcW w:w="244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p>
        </w:tc>
        <w:tc>
          <w:tcPr>
            <w:tcW w:w="2665" w:type="dxa"/>
            <w:vAlign w:val="top"/>
          </w:tcPr>
          <w:p>
            <w:pPr>
              <w:spacing w:before="0" w:beforeAutospacing="0" w:after="0" w:afterAutospacing="0" w:line="560" w:lineRule="exact"/>
              <w:ind w:left="0" w:right="0"/>
              <w:jc w:val="center"/>
              <w:rPr>
                <w:rFonts w:ascii="仿宋_GB2312" w:hAnsi="Cambria" w:eastAsia="仿宋_GB2312" w:cs="ArialUnicodeMS"/>
                <w:kern w:val="0"/>
                <w:sz w:val="28"/>
                <w:szCs w:val="28"/>
              </w:rPr>
            </w:pPr>
          </w:p>
        </w:tc>
      </w:tr>
    </w:tbl>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w:t>
      </w: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p>
    <w:p>
      <w:pPr>
        <w:tabs>
          <w:tab w:val="left" w:pos="1086"/>
        </w:tabs>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总计</w:t>
      </w:r>
      <w:r>
        <w:rPr>
          <w:rFonts w:hint="eastAsia" w:ascii="仿宋_GB2312" w:eastAsia="仿宋_GB2312" w:cs="DengXian-Regular"/>
          <w:sz w:val="32"/>
          <w:szCs w:val="32"/>
          <w:lang w:eastAsia="zh-CN"/>
        </w:rPr>
        <w:t>（含结转和结余）</w:t>
      </w:r>
      <w:r>
        <w:rPr>
          <w:rFonts w:ascii="仿宋_GB2312" w:eastAsia="仿宋_GB2312" w:cs="DengXian-Regular"/>
          <w:sz w:val="32"/>
          <w:szCs w:val="32"/>
        </w:rPr>
        <w:t>109.94</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w:t>
      </w:r>
      <w:r>
        <w:rPr>
          <w:rFonts w:hint="eastAsia" w:ascii="仿宋_GB2312" w:eastAsia="仿宋_GB2312" w:cs="DengXian-Regular"/>
          <w:sz w:val="32"/>
          <w:szCs w:val="32"/>
          <w:lang w:eastAsia="zh-CN"/>
        </w:rPr>
        <w:t>收支各</w:t>
      </w:r>
      <w:r>
        <w:rPr>
          <w:rFonts w:hint="eastAsia" w:ascii="仿宋_GB2312" w:eastAsia="仿宋_GB2312" w:cs="DengXian-Regular"/>
          <w:sz w:val="32"/>
          <w:szCs w:val="32"/>
        </w:rPr>
        <w:t>减少</w:t>
      </w:r>
      <w:r>
        <w:rPr>
          <w:rFonts w:ascii="仿宋_GB2312" w:eastAsia="仿宋_GB2312" w:cs="DengXian-Regular"/>
          <w:sz w:val="32"/>
          <w:szCs w:val="32"/>
        </w:rPr>
        <w:t>18.22</w:t>
      </w:r>
      <w:r>
        <w:rPr>
          <w:rFonts w:hint="eastAsia" w:ascii="仿宋_GB2312" w:eastAsia="仿宋_GB2312" w:cs="DengXian-Regular"/>
          <w:sz w:val="32"/>
          <w:szCs w:val="32"/>
        </w:rPr>
        <w:t>万元，下降</w:t>
      </w:r>
      <w:r>
        <w:rPr>
          <w:rFonts w:ascii="仿宋_GB2312" w:eastAsia="仿宋_GB2312" w:cs="DengXian-Regular"/>
          <w:sz w:val="32"/>
          <w:szCs w:val="32"/>
        </w:rPr>
        <w:t>14.22%</w:t>
      </w:r>
      <w:r>
        <w:rPr>
          <w:rFonts w:hint="eastAsia" w:ascii="仿宋_GB2312" w:eastAsia="仿宋_GB2312" w:cs="DengXian-Regular"/>
          <w:sz w:val="32"/>
          <w:szCs w:val="32"/>
        </w:rPr>
        <w:t>，主要是项目资金调整。</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109.94</w:t>
      </w:r>
      <w:r>
        <w:rPr>
          <w:rFonts w:hint="eastAsia" w:ascii="仿宋_GB2312" w:eastAsia="仿宋_GB2312" w:cs="DengXian-Regular"/>
          <w:sz w:val="32"/>
          <w:szCs w:val="32"/>
        </w:rPr>
        <w:t>万元，其中：财政拨款收入</w:t>
      </w:r>
      <w:r>
        <w:rPr>
          <w:rFonts w:ascii="仿宋_GB2312" w:eastAsia="仿宋_GB2312" w:cs="DengXian-Regular"/>
          <w:sz w:val="32"/>
          <w:szCs w:val="32"/>
        </w:rPr>
        <w:t>109.94</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jc w:val="center"/>
        <w:rPr>
          <w:rFonts w:ascii="黑体" w:hAnsi="Calibri" w:eastAsia="黑体"/>
          <w:sz w:val="32"/>
          <w:szCs w:val="32"/>
        </w:rPr>
      </w:pPr>
    </w:p>
    <w:p>
      <w:pPr>
        <w:jc w:val="center"/>
        <w:rPr>
          <w:rFonts w:ascii="黑体" w:hAnsi="Calibri" w:eastAsia="黑体"/>
          <w:sz w:val="32"/>
          <w:szCs w:val="32"/>
        </w:rPr>
      </w:pPr>
      <w:r>
        <w:rPr>
          <w:rFonts w:ascii="黑体" w:hAnsi="Calibri" w:eastAsia="黑体" w:cs="Times New Roman"/>
          <w:kern w:val="2"/>
          <w:sz w:val="32"/>
          <w:szCs w:val="32"/>
          <w:lang w:val="en-US" w:eastAsia="zh-CN" w:bidi="ar-SA"/>
        </w:rPr>
        <w:object>
          <v:shape id="_x0000_i1025" o:spt="75" type="#_x0000_t75" style="height:249pt;width:352.5pt;" o:ole="t" fillcolor="#FFFFFF" filled="f" o:preferrelative="t" stroked="f" coordsize="21600,21600">
            <v:path/>
            <v:fill on="f" color2="#FFFFFF" focussize="0,0"/>
            <v:stroke on="f"/>
            <v:imagedata r:id="rId5" cropbottom="-26f" gain="65536f" blacklevel="0f" gamma="0" o:title=""/>
            <o:lock v:ext="edit" position="f" selection="f" grouping="f" rotation="f" cropping="f" text="f" aspectratio="f"/>
            <w10:wrap type="none"/>
            <w10:anchorlock/>
          </v:shape>
          <o:OLEObject Type="Embed" ProgID="Excel.Chart.8" ShapeID="_x0000_i1025" DrawAspect="Content" ObjectID="_1468075725" r:id="rId4">
            <o:LockedField>false</o:LockedField>
          </o:OLEObject>
        </w:object>
      </w:r>
    </w:p>
    <w:p>
      <w:pPr>
        <w:rPr>
          <w:rFonts w:ascii="黑体" w:hAnsi="Calibri" w:eastAsia="黑体"/>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109.94</w:t>
      </w:r>
      <w:r>
        <w:rPr>
          <w:rFonts w:hint="eastAsia" w:ascii="仿宋_GB2312" w:eastAsia="仿宋_GB2312" w:cs="DengXian-Regular"/>
          <w:sz w:val="32"/>
          <w:szCs w:val="32"/>
        </w:rPr>
        <w:t>万元，其中：基本支出</w:t>
      </w:r>
      <w:r>
        <w:rPr>
          <w:rFonts w:ascii="仿宋_GB2312" w:eastAsia="仿宋_GB2312" w:cs="DengXian-Regular"/>
          <w:sz w:val="32"/>
          <w:szCs w:val="32"/>
        </w:rPr>
        <w:t>88.11</w:t>
      </w:r>
      <w:r>
        <w:rPr>
          <w:rFonts w:hint="eastAsia" w:ascii="仿宋_GB2312" w:eastAsia="仿宋_GB2312" w:cs="DengXian-Regular"/>
          <w:sz w:val="32"/>
          <w:szCs w:val="32"/>
        </w:rPr>
        <w:t>万元，占</w:t>
      </w:r>
      <w:r>
        <w:rPr>
          <w:rFonts w:ascii="仿宋_GB2312" w:eastAsia="仿宋_GB2312" w:cs="DengXian-Regular"/>
          <w:sz w:val="32"/>
          <w:szCs w:val="32"/>
        </w:rPr>
        <w:t>80.14%</w:t>
      </w:r>
      <w:r>
        <w:rPr>
          <w:rFonts w:hint="eastAsia" w:ascii="仿宋_GB2312" w:eastAsia="仿宋_GB2312" w:cs="DengXian-Regular"/>
          <w:sz w:val="32"/>
          <w:szCs w:val="32"/>
        </w:rPr>
        <w:t>；项目支出</w:t>
      </w:r>
      <w:r>
        <w:rPr>
          <w:rFonts w:ascii="仿宋_GB2312" w:eastAsia="仿宋_GB2312" w:cs="DengXian-Regular"/>
          <w:sz w:val="32"/>
          <w:szCs w:val="32"/>
        </w:rPr>
        <w:t>21.83</w:t>
      </w:r>
      <w:r>
        <w:rPr>
          <w:rFonts w:hint="eastAsia" w:ascii="仿宋_GB2312" w:eastAsia="仿宋_GB2312" w:cs="DengXian-Regular"/>
          <w:sz w:val="32"/>
          <w:szCs w:val="32"/>
        </w:rPr>
        <w:t>万元，占</w:t>
      </w:r>
      <w:r>
        <w:rPr>
          <w:rFonts w:ascii="仿宋_GB2312" w:eastAsia="仿宋_GB2312" w:cs="DengXian-Regular"/>
          <w:sz w:val="32"/>
          <w:szCs w:val="32"/>
        </w:rPr>
        <w:t>19.86%</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o:spid="_x0000_s1026" o:spt="75" type="#_x0000_t75" style="position:absolute;left:0pt;margin-left:14.9pt;margin-top:27.1pt;height:300.7pt;width:401.65pt;z-index:251658240;mso-width-relative:page;mso-height-relative:page;" o:ole="t" fillcolor="#FFFFFF" filled="f" o:preferrelative="t" stroked="f" coordsize="21600,21600">
            <v:path/>
            <v:fill on="f" color2="#FFFFFF" focussize="0,0"/>
            <v:stroke on="f"/>
            <v:imagedata r:id="rId7" gain="65536f" blacklevel="0f" gamma="0" o:title=""/>
            <o:lock v:ext="edit" position="f" selection="f" grouping="f" rotation="f" cropping="f" text="f" aspectratio="t"/>
          </v:shape>
          <o:OLEObject Type="Embed" ProgID="Excel.Chart.8" ShapeID="Picture 2" DrawAspect="Content" ObjectID="_1468075726" r:id="rId6">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109.94</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18.22</w:t>
      </w:r>
      <w:r>
        <w:rPr>
          <w:rFonts w:hint="eastAsia" w:ascii="仿宋_GB2312" w:eastAsia="仿宋_GB2312" w:cs="DengXian-Regular"/>
          <w:sz w:val="32"/>
          <w:szCs w:val="32"/>
        </w:rPr>
        <w:t>万元，降低</w:t>
      </w:r>
      <w:r>
        <w:rPr>
          <w:rFonts w:ascii="仿宋_GB2312" w:eastAsia="仿宋_GB2312" w:cs="DengXian-Regular"/>
          <w:sz w:val="32"/>
          <w:szCs w:val="32"/>
        </w:rPr>
        <w:t>14.22%</w:t>
      </w:r>
      <w:r>
        <w:rPr>
          <w:rFonts w:hint="eastAsia" w:ascii="仿宋_GB2312" w:eastAsia="仿宋_GB2312" w:cs="DengXian-Regular"/>
          <w:sz w:val="32"/>
          <w:szCs w:val="32"/>
        </w:rPr>
        <w:t>，主要是项目资金调整；本年支出</w:t>
      </w:r>
      <w:r>
        <w:rPr>
          <w:rFonts w:ascii="仿宋_GB2312" w:eastAsia="仿宋_GB2312" w:cs="DengXian-Regular"/>
          <w:sz w:val="32"/>
          <w:szCs w:val="32"/>
        </w:rPr>
        <w:t>109.94</w:t>
      </w:r>
      <w:r>
        <w:rPr>
          <w:rFonts w:hint="eastAsia" w:ascii="仿宋_GB2312" w:eastAsia="仿宋_GB2312" w:cs="DengXian-Regular"/>
          <w:sz w:val="32"/>
          <w:szCs w:val="32"/>
        </w:rPr>
        <w:t>万元，减少</w:t>
      </w:r>
      <w:r>
        <w:rPr>
          <w:rFonts w:ascii="仿宋_GB2312" w:eastAsia="仿宋_GB2312" w:cs="DengXian-Regular"/>
          <w:sz w:val="32"/>
          <w:szCs w:val="32"/>
        </w:rPr>
        <w:t>17.99</w:t>
      </w:r>
      <w:r>
        <w:rPr>
          <w:rFonts w:hint="eastAsia" w:ascii="仿宋_GB2312" w:eastAsia="仿宋_GB2312" w:cs="DengXian-Regular"/>
          <w:sz w:val="32"/>
          <w:szCs w:val="32"/>
        </w:rPr>
        <w:t>万元，降低</w:t>
      </w:r>
      <w:r>
        <w:rPr>
          <w:rFonts w:ascii="仿宋_GB2312" w:eastAsia="仿宋_GB2312" w:cs="DengXian-Regular"/>
          <w:sz w:val="32"/>
          <w:szCs w:val="32"/>
        </w:rPr>
        <w:t>14.06%</w:t>
      </w:r>
      <w:r>
        <w:rPr>
          <w:rFonts w:hint="eastAsia" w:ascii="仿宋_GB2312" w:eastAsia="仿宋_GB2312" w:cs="DengXian-Regular"/>
          <w:sz w:val="32"/>
          <w:szCs w:val="32"/>
        </w:rPr>
        <w:t>，主要是项目资金调整。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o:spid="_x0000_s1027" o:spt="75" type="#_x0000_t75" style="position:absolute;left:0pt;margin-left:18.65pt;margin-top:3.1pt;height:300.5pt;width:401.3pt;z-index:251660288;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xcel.Chart.8" ShapeID="Picture 3" DrawAspect="Content" ObjectID="_1468075727" r:id="rId8">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109.94</w:t>
      </w:r>
      <w:r>
        <w:rPr>
          <w:rFonts w:hint="eastAsia" w:ascii="仿宋_GB2312" w:eastAsia="仿宋_GB2312" w:cs="DengXian-Regular"/>
          <w:sz w:val="32"/>
          <w:szCs w:val="32"/>
        </w:rPr>
        <w:t>万元，完成年初预算的</w:t>
      </w:r>
      <w:r>
        <w:rPr>
          <w:rFonts w:ascii="仿宋_GB2312" w:eastAsia="仿宋_GB2312" w:cs="DengXian-Regular"/>
          <w:sz w:val="32"/>
          <w:szCs w:val="32"/>
        </w:rPr>
        <w:t>85.34%,</w:t>
      </w:r>
      <w:r>
        <w:rPr>
          <w:rFonts w:hint="eastAsia" w:ascii="仿宋_GB2312" w:eastAsia="仿宋_GB2312" w:cs="DengXian-Regular"/>
          <w:sz w:val="32"/>
          <w:szCs w:val="32"/>
        </w:rPr>
        <w:t>比年初预算减少</w:t>
      </w:r>
      <w:r>
        <w:rPr>
          <w:rFonts w:ascii="仿宋_GB2312" w:eastAsia="仿宋_GB2312" w:cs="DengXian-Regular"/>
          <w:sz w:val="32"/>
          <w:szCs w:val="32"/>
        </w:rPr>
        <w:t>18.88</w:t>
      </w:r>
      <w:r>
        <w:rPr>
          <w:rFonts w:hint="eastAsia" w:ascii="仿宋_GB2312" w:eastAsia="仿宋_GB2312" w:cs="DengXian-Regular"/>
          <w:sz w:val="32"/>
          <w:szCs w:val="32"/>
        </w:rPr>
        <w:t>万元，决算数小于预算数主要是厉行节约，压减支出</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项目资金调整；本年支出</w:t>
      </w:r>
      <w:r>
        <w:rPr>
          <w:rFonts w:ascii="仿宋_GB2312" w:eastAsia="仿宋_GB2312" w:cs="DengXian-Regular"/>
          <w:sz w:val="32"/>
          <w:szCs w:val="32"/>
        </w:rPr>
        <w:t>109.94</w:t>
      </w:r>
      <w:r>
        <w:rPr>
          <w:rFonts w:hint="eastAsia" w:ascii="仿宋_GB2312" w:eastAsia="仿宋_GB2312" w:cs="DengXian-Regular"/>
          <w:sz w:val="32"/>
          <w:szCs w:val="32"/>
        </w:rPr>
        <w:t>万元，完成年初预算的</w:t>
      </w:r>
      <w:r>
        <w:rPr>
          <w:rFonts w:ascii="仿宋_GB2312" w:eastAsia="仿宋_GB2312" w:cs="DengXian-Regular"/>
          <w:sz w:val="32"/>
          <w:szCs w:val="32"/>
        </w:rPr>
        <w:t>85.34%,</w:t>
      </w:r>
      <w:r>
        <w:rPr>
          <w:rFonts w:hint="eastAsia" w:ascii="仿宋_GB2312" w:eastAsia="仿宋_GB2312" w:cs="DengXian-Regular"/>
          <w:sz w:val="32"/>
          <w:szCs w:val="32"/>
        </w:rPr>
        <w:t>比年初预算减少</w:t>
      </w:r>
      <w:r>
        <w:rPr>
          <w:rFonts w:ascii="仿宋_GB2312" w:eastAsia="仿宋_GB2312" w:cs="DengXian-Regular"/>
          <w:sz w:val="32"/>
          <w:szCs w:val="32"/>
        </w:rPr>
        <w:t>18.88</w:t>
      </w:r>
      <w:r>
        <w:rPr>
          <w:rFonts w:hint="eastAsia" w:ascii="仿宋_GB2312" w:eastAsia="仿宋_GB2312" w:cs="DengXian-Regular"/>
          <w:sz w:val="32"/>
          <w:szCs w:val="32"/>
        </w:rPr>
        <w:t>万元，决算数小于预算数主要是厉行节约，压减支出</w:t>
      </w:r>
      <w:r>
        <w:rPr>
          <w:rFonts w:hint="eastAsia" w:ascii="仿宋_GB2312" w:eastAsia="仿宋_GB2312" w:cs="DengXian-Regular"/>
          <w:sz w:val="32"/>
          <w:szCs w:val="32"/>
          <w:lang w:eastAsia="zh-CN"/>
        </w:rPr>
        <w:t>及</w:t>
      </w:r>
      <w:r>
        <w:rPr>
          <w:rFonts w:hint="eastAsia" w:ascii="仿宋_GB2312" w:eastAsia="仿宋_GB2312" w:cs="DengXian-Regular"/>
          <w:sz w:val="32"/>
          <w:szCs w:val="32"/>
        </w:rPr>
        <w:t>项目资金调整。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o:spid="_x0000_s1028" o:spt="75" type="#_x0000_t75" style="position:absolute;left:0pt;margin-left:19.4pt;margin-top:5.35pt;height:300.5pt;width:401.3pt;z-index:251661312;mso-width-relative:page;mso-height-relative:page;" o:ole="t" fillcolor="#FFFFFF" filled="f" o:preferrelative="t" stroked="f" coordsize="21600,21600">
            <v:path/>
            <v:fill on="f" color2="#FFFFFF" focussize="0,0"/>
            <v:stroke on="f"/>
            <v:imagedata r:id="rId11" gain="65536f" blacklevel="0f" gamma="0" o:title=""/>
            <o:lock v:ext="edit" position="f" selection="f" grouping="f" rotation="f" cropping="f" text="f" aspectratio="t"/>
          </v:shape>
          <o:OLEObject Type="Embed" ProgID="Excel.Chart.8" ShapeID="Picture 4" DrawAspect="Content" ObjectID="_1468075728" r:id="rId10">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109.94</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109.94</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；社会保障和就业（类）支出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o:spid="_x0000_s1029" o:spt="75" type="#_x0000_t75" style="position:absolute;left:0pt;margin-left:34.4pt;margin-top:4.35pt;height:285.6pt;width:378.25pt;z-index:251659264;mso-width-relative:page;mso-height-relative:page;" o:ole="t" fillcolor="#FFFFFF" filled="f" o:preferrelative="t" stroked="f" coordsize="21600,21600">
            <v:path/>
            <v:fill on="f" color2="#FFFFFF" focussize="0,0"/>
            <v:stroke on="f"/>
            <v:imagedata r:id="rId13" gain="65536f" blacklevel="0f" gamma="0" o:title=""/>
            <o:lock v:ext="edit" position="f" selection="f" grouping="f" rotation="f" cropping="f" text="f" aspectratio="t"/>
          </v:shape>
          <o:OLEObject Type="Embed" ProgID="Excel.Chart.8" ShapeID="Picture 5" DrawAspect="Content" ObjectID="_1468075729" r:id="rId12">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四</w:t>
      </w:r>
      <w:r>
        <w:rPr>
          <w:rFonts w:hint="eastAsia" w:ascii="楷体_GB2312" w:eastAsia="楷体_GB2312" w:cs="DengXian-Bold"/>
          <w:b/>
          <w:bCs/>
          <w:sz w:val="32"/>
          <w:szCs w:val="32"/>
          <w:lang w:eastAsia="zh-CN"/>
        </w:rPr>
        <w:t>）</w:t>
      </w:r>
      <w:r>
        <w:rPr>
          <w:rFonts w:hint="eastAsia" w:ascii="楷体_GB2312" w:eastAsia="楷体_GB2312" w:cs="DengXian-Bold"/>
          <w:b/>
          <w:bCs/>
          <w:sz w:val="32"/>
          <w:szCs w:val="32"/>
        </w:rPr>
        <w:t>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88.11</w:t>
      </w:r>
      <w:r>
        <w:rPr>
          <w:rFonts w:hint="eastAsia" w:ascii="仿宋_GB2312" w:eastAsia="仿宋_GB2312" w:cs="DengXian-Regular"/>
          <w:sz w:val="32"/>
          <w:szCs w:val="32"/>
        </w:rPr>
        <w:t>万元，其中：人员经费</w:t>
      </w:r>
      <w:r>
        <w:rPr>
          <w:rFonts w:ascii="仿宋_GB2312" w:eastAsia="仿宋_GB2312" w:cs="DengXian-Regular"/>
          <w:sz w:val="32"/>
          <w:szCs w:val="32"/>
        </w:rPr>
        <w:t xml:space="preserve"> 84.56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3.54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rPr>
          <w:rFonts w:ascii="黑体" w:eastAsia="黑体"/>
        </w:rPr>
      </w:pP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0</w:t>
      </w:r>
      <w:r>
        <w:rPr>
          <w:rFonts w:hint="eastAsia" w:eastAsia="仿宋_GB2312"/>
          <w:sz w:val="32"/>
          <w:szCs w:val="32"/>
        </w:rPr>
        <w:t>万元，比年初预算增加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w:t>
      </w:r>
      <w:r>
        <w:rPr>
          <w:rFonts w:eastAsia="仿宋_GB2312"/>
          <w:sz w:val="32"/>
          <w:szCs w:val="32"/>
        </w:rPr>
        <w:t>,</w:t>
      </w:r>
      <w:r>
        <w:rPr>
          <w:rFonts w:hint="eastAsia" w:eastAsia="仿宋_GB2312"/>
          <w:sz w:val="32"/>
          <w:szCs w:val="32"/>
        </w:rPr>
        <w:t>较年初预算无增减变化；比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经费支出，较</w:t>
      </w:r>
      <w:r>
        <w:rPr>
          <w:rFonts w:eastAsia="仿宋_GB2312"/>
          <w:sz w:val="32"/>
          <w:szCs w:val="32"/>
        </w:rPr>
        <w:t>2017</w:t>
      </w:r>
      <w:r>
        <w:rPr>
          <w:rFonts w:hint="eastAsia" w:eastAsia="仿宋_GB2312"/>
          <w:sz w:val="32"/>
          <w:szCs w:val="32"/>
        </w:rPr>
        <w:t>年决算无增减变化。具体情况如下：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0</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增加</w:t>
      </w:r>
      <w:r>
        <w:rPr>
          <w:rFonts w:eastAsia="仿宋_GB2312"/>
          <w:sz w:val="32"/>
          <w:szCs w:val="32"/>
        </w:rPr>
        <w:t>0</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增长</w:t>
      </w:r>
      <w:r>
        <w:rPr>
          <w:rFonts w:eastAsia="仿宋_GB2312"/>
          <w:sz w:val="32"/>
          <w:szCs w:val="32"/>
        </w:rPr>
        <w:t>0%</w:t>
      </w:r>
      <w:r>
        <w:rPr>
          <w:rFonts w:ascii="仿宋_GB2312" w:eastAsia="仿宋_GB2312" w:cs="DengXian-Regular"/>
          <w:sz w:val="32"/>
          <w:szCs w:val="32"/>
        </w:rPr>
        <w:t>,</w:t>
      </w:r>
      <w:r>
        <w:rPr>
          <w:rFonts w:hint="eastAsia" w:ascii="仿宋_GB2312" w:eastAsia="仿宋_GB2312" w:cs="DengXian-Regular"/>
          <w:sz w:val="32"/>
          <w:szCs w:val="32"/>
        </w:rPr>
        <w:t>主要是未发生公务用车购置及运行维护费支出；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w:t>
      </w:r>
      <w:r>
        <w:rPr>
          <w:rFonts w:hint="eastAsia" w:ascii="仿宋_GB2312" w:eastAsia="仿宋_GB2312" w:cs="DengXian-Regular"/>
          <w:sz w:val="32"/>
          <w:szCs w:val="32"/>
        </w:rPr>
        <w:t>公务用车购置及运行维护费支出</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0</w:t>
      </w:r>
      <w:r>
        <w:rPr>
          <w:rFonts w:hint="eastAsia" w:eastAsia="仿宋_GB2312"/>
          <w:sz w:val="32"/>
          <w:szCs w:val="32"/>
        </w:rPr>
        <w:t>辆。公车运行维护费支出比年初预算增加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，主要是未发生公车运行维护费支出；比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，主要是未发生公车运行维护费支出。</w:t>
      </w:r>
    </w:p>
    <w:p>
      <w:pPr>
        <w:widowControl w:val="0"/>
        <w:wordWrap/>
        <w:adjustRightInd/>
        <w:snapToGrid/>
        <w:spacing w:after="160" w:line="480" w:lineRule="auto"/>
        <w:ind w:left="0" w:leftChars="0" w:right="0" w:firstLine="643" w:firstLineChars="200"/>
        <w:jc w:val="both"/>
        <w:textAlignment w:val="auto"/>
        <w:outlineLvl w:val="9"/>
      </w:pPr>
      <w:r>
        <w:rPr>
          <w:rFonts w:hint="eastAsia" w:eastAsia="楷体_GB2312"/>
          <w:b/>
          <w:bCs/>
          <w:sz w:val="32"/>
          <w:szCs w:val="32"/>
        </w:rPr>
        <w:t>（三）公务接待费支出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eastAsia="仿宋_GB2312"/>
          <w:sz w:val="32"/>
          <w:szCs w:val="32"/>
        </w:rPr>
        <w:t>0</w:t>
      </w:r>
      <w:r>
        <w:rPr>
          <w:rFonts w:hint="eastAsia" w:eastAsia="仿宋_GB2312"/>
          <w:sz w:val="32"/>
          <w:szCs w:val="32"/>
        </w:rPr>
        <w:t>批次、</w:t>
      </w:r>
      <w:r>
        <w:rPr>
          <w:rFonts w:eastAsia="仿宋_GB2312"/>
          <w:sz w:val="32"/>
          <w:szCs w:val="32"/>
        </w:rPr>
        <w:t>0</w:t>
      </w:r>
      <w:r>
        <w:rPr>
          <w:rFonts w:hint="eastAsia" w:eastAsia="仿宋_GB2312"/>
          <w:sz w:val="32"/>
          <w:szCs w:val="32"/>
        </w:rPr>
        <w:t>人次。公务接待费支出比年初预算增加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，主要是未发生公务接待费支出。</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val="0"/>
        <w:wordWrap/>
        <w:spacing w:after="0" w:line="580" w:lineRule="exact"/>
        <w:ind w:left="0" w:leftChars="0" w:right="0"/>
        <w:jc w:val="both"/>
        <w:textAlignment w:val="auto"/>
        <w:outlineLvl w:val="9"/>
        <w:rPr>
          <w:rFonts w:ascii="仿宋" w:hAnsi="仿宋" w:eastAsia="仿宋" w:cs="仿宋"/>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（一）预算绩效管理工作开展情况。</w:t>
      </w:r>
      <w:r>
        <w:rPr>
          <w:rFonts w:ascii="仿宋" w:hAnsi="仿宋" w:eastAsia="仿宋" w:cs="仿宋"/>
          <w:sz w:val="32"/>
          <w:szCs w:val="32"/>
        </w:rPr>
        <w:t xml:space="preserve"> </w:t>
      </w:r>
    </w:p>
    <w:p>
      <w:pPr>
        <w:widowControl w:val="0"/>
        <w:wordWrap/>
        <w:adjustRightInd/>
        <w:snapToGrid/>
        <w:spacing w:after="0" w:line="58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相关预算绩效评价管理办法</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w:t>
      </w:r>
      <w:r>
        <w:rPr>
          <w:rFonts w:hint="eastAsia" w:ascii="仿宋_GB2312" w:hAnsi="仿宋_GB2312" w:eastAsia="仿宋_GB2312" w:cs="仿宋_GB2312"/>
          <w:sz w:val="32"/>
          <w:szCs w:val="32"/>
          <w:highlight w:val="none"/>
          <w:lang w:eastAsia="zh-CN"/>
        </w:rPr>
        <w:t>预算绩效自评</w:t>
      </w:r>
      <w:r>
        <w:rPr>
          <w:rFonts w:hint="eastAsia" w:ascii="仿宋_GB2312" w:hAnsi="仿宋_GB2312" w:eastAsia="仿宋_GB2312" w:cs="仿宋_GB2312"/>
          <w:sz w:val="32"/>
          <w:szCs w:val="32"/>
          <w:highlight w:val="none"/>
        </w:rPr>
        <w:t>工作。</w:t>
      </w:r>
    </w:p>
    <w:p>
      <w:pPr>
        <w:widowControl w:val="0"/>
        <w:numPr>
          <w:ilvl w:val="0"/>
          <w:numId w:val="0"/>
        </w:numPr>
        <w:wordWrap/>
        <w:adjustRightInd w:val="0"/>
        <w:snapToGrid w:val="0"/>
        <w:spacing w:after="0" w:line="580" w:lineRule="exact"/>
        <w:ind w:leftChars="200" w:right="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lang w:val="en-US" w:eastAsia="zh-CN"/>
        </w:rPr>
        <w:t xml:space="preserve"> </w:t>
      </w:r>
      <w:r>
        <w:rPr>
          <w:rFonts w:hint="eastAsia" w:ascii="仿宋_GB2312" w:eastAsia="仿宋_GB2312" w:cs="DengXian-Regular"/>
          <w:sz w:val="32"/>
          <w:szCs w:val="32"/>
          <w:lang w:eastAsia="zh-CN"/>
        </w:rPr>
        <w:t>（二）</w:t>
      </w:r>
      <w:r>
        <w:rPr>
          <w:rFonts w:hint="eastAsia" w:ascii="仿宋_GB2312" w:eastAsia="仿宋_GB2312" w:cs="DengXian-Regular"/>
          <w:sz w:val="32"/>
          <w:szCs w:val="32"/>
        </w:rPr>
        <w:t>项目绩效自评结果。</w:t>
      </w:r>
    </w:p>
    <w:p>
      <w:pPr>
        <w:widowControl w:val="0"/>
        <w:wordWrap/>
        <w:adjustRightInd w:val="0"/>
        <w:snapToGrid w:val="0"/>
        <w:spacing w:after="0" w:line="580" w:lineRule="exact"/>
        <w:ind w:left="0" w:leftChars="0" w:right="0"/>
        <w:jc w:val="both"/>
        <w:textAlignment w:val="auto"/>
        <w:outlineLvl w:val="9"/>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lang w:eastAsia="zh-CN"/>
        </w:rPr>
        <w:t>全年预算绩效目标基本完成。</w:t>
      </w:r>
      <w:r>
        <w:rPr>
          <w:rFonts w:hint="eastAsia" w:ascii="仿宋_GB2312" w:eastAsia="仿宋_GB2312" w:cs="DengXian-Regular"/>
          <w:sz w:val="32"/>
          <w:szCs w:val="32"/>
        </w:rPr>
        <w:t>客观、公正、合理出具价格鉴证结论，维护司法机关公平公正和当事人合法权益。接受司法机关、行政机关提出的价格认定事项，遵循依法、公正、科学、效率的原则，作出准确、可靠的价格认定结论，为司法机关办理相关案件、为行政工作提供依据，保障司法、行政工作顺利进行。接受纪检监察机关提出的价格认定事项，遵循依法、公正、科学、效率的原则，作出准确、可靠的价格认定结论，为纪检监察机关办理案件提供依据，保障纪检监察工作顺利进行。自评为优。</w:t>
      </w:r>
    </w:p>
    <w:p>
      <w:pPr>
        <w:keepNext/>
        <w:widowControl w:val="0"/>
        <w:numPr>
          <w:ilvl w:val="0"/>
          <w:numId w:val="0"/>
        </w:numPr>
        <w:wordWrap/>
        <w:adjustRightInd w:val="0"/>
        <w:snapToGrid w:val="0"/>
        <w:spacing w:beforeAutospacing="0" w:after="0" w:line="580" w:lineRule="exact"/>
        <w:ind w:left="0" w:leftChars="0" w:right="0" w:firstLine="640" w:firstLineChars="200"/>
        <w:jc w:val="both"/>
        <w:textAlignment w:val="auto"/>
        <w:outlineLvl w:val="9"/>
        <w:rPr>
          <w:rFonts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keepNext/>
        <w:widowControl w:val="0"/>
        <w:wordWrap/>
        <w:spacing w:beforeAutospacing="0" w:after="0" w:afterAutospacing="0" w:line="580" w:lineRule="exact"/>
        <w:ind w:left="0" w:leftChars="0" w:right="0" w:firstLine="640" w:firstLineChars="200"/>
        <w:jc w:val="both"/>
        <w:textAlignment w:val="auto"/>
        <w:outlineLvl w:val="9"/>
        <w:rPr>
          <w:rFonts w:hint="eastAsia" w:ascii="仿宋_GB2312" w:eastAsia="仿宋_GB2312" w:cs="DengXian-Regular"/>
          <w:sz w:val="32"/>
          <w:szCs w:val="32"/>
          <w:lang w:val="en-US"/>
        </w:rPr>
      </w:pPr>
      <w:r>
        <w:rPr>
          <w:rFonts w:hint="eastAsia" w:ascii="仿宋_GB2312" w:eastAsia="仿宋_GB2312" w:cs="DengXian-Regular"/>
          <w:kern w:val="2"/>
          <w:sz w:val="32"/>
          <w:szCs w:val="32"/>
          <w:lang w:val="en-US" w:eastAsia="zh-CN" w:bidi="ar-SA"/>
        </w:rPr>
        <w:t>1、</w:t>
      </w:r>
      <w:r>
        <w:rPr>
          <w:rFonts w:hint="eastAsia" w:ascii="仿宋_GB2312" w:hAnsi="Times New Roman" w:eastAsia="仿宋_GB2312" w:cs="DengXian-Regular"/>
          <w:kern w:val="2"/>
          <w:sz w:val="32"/>
          <w:szCs w:val="32"/>
          <w:lang w:val="en-US" w:eastAsia="zh-CN" w:bidi="ar-SA"/>
        </w:rPr>
        <w:t>司法案件涉案财物、行政工作所涉财物价格认定</w:t>
      </w:r>
      <w:r>
        <w:rPr>
          <w:rFonts w:hint="eastAsia" w:ascii="仿宋_GB2312" w:eastAsia="仿宋_GB2312" w:cs="DengXian-Regular"/>
          <w:kern w:val="2"/>
          <w:sz w:val="32"/>
          <w:szCs w:val="32"/>
          <w:lang w:val="en-US" w:eastAsia="zh-CN" w:bidi="ar-SA"/>
        </w:rPr>
        <w:t>。绩效目标：</w:t>
      </w:r>
      <w:r>
        <w:rPr>
          <w:rFonts w:hint="eastAsia" w:ascii="仿宋_GB2312" w:hAnsi="Times New Roman" w:eastAsia="仿宋_GB2312" w:cs="DengXian-Regular"/>
          <w:kern w:val="2"/>
          <w:sz w:val="32"/>
          <w:szCs w:val="32"/>
          <w:lang w:val="en-US" w:eastAsia="zh-CN" w:bidi="ar-SA"/>
        </w:rPr>
        <w:t>接受司法机关、行政机关提出的价格认定事项，遵循依法、公正、科学、效率的原则，作出准确、可靠的价格认定结论，为司法机关办理相关案件、为行政工作提供依据，保障司法、行政工作顺利进行</w:t>
      </w:r>
      <w:r>
        <w:rPr>
          <w:rFonts w:hint="eastAsia" w:ascii="仿宋_GB2312" w:eastAsia="仿宋_GB2312" w:cs="DengXian-Regular"/>
          <w:kern w:val="2"/>
          <w:sz w:val="32"/>
          <w:szCs w:val="32"/>
          <w:lang w:val="en-US" w:eastAsia="zh-CN" w:bidi="ar-SA"/>
        </w:rPr>
        <w:t>。评价结果：</w:t>
      </w:r>
      <w:r>
        <w:rPr>
          <w:rFonts w:hint="eastAsia" w:ascii="仿宋_GB2312" w:hAnsi="Times New Roman" w:eastAsia="仿宋_GB2312" w:cs="DengXian-Regular"/>
          <w:kern w:val="2"/>
          <w:sz w:val="32"/>
          <w:szCs w:val="32"/>
          <w:lang w:val="en-US" w:eastAsia="zh-CN" w:bidi="ar-SA"/>
        </w:rPr>
        <w:t>办案准确率9</w:t>
      </w:r>
      <w:r>
        <w:rPr>
          <w:rFonts w:hint="eastAsia" w:ascii="仿宋_GB2312" w:eastAsia="仿宋_GB2312" w:cs="DengXian-Regular"/>
          <w:kern w:val="2"/>
          <w:sz w:val="32"/>
          <w:szCs w:val="32"/>
          <w:lang w:val="en-US" w:eastAsia="zh-CN" w:bidi="ar-SA"/>
        </w:rPr>
        <w:t>8</w:t>
      </w:r>
      <w:r>
        <w:rPr>
          <w:rFonts w:hint="eastAsia" w:ascii="仿宋_GB2312" w:hAnsi="Times New Roman" w:eastAsia="仿宋_GB2312" w:cs="DengXian-Regular"/>
          <w:kern w:val="2"/>
          <w:sz w:val="32"/>
          <w:szCs w:val="32"/>
          <w:lang w:val="en-US" w:eastAsia="zh-CN" w:bidi="ar-SA"/>
        </w:rPr>
        <w:t>%,认定结论按期完成率90%,自评为优。</w:t>
      </w:r>
    </w:p>
    <w:p>
      <w:pPr>
        <w:keepNext/>
        <w:widowControl w:val="0"/>
        <w:wordWrap/>
        <w:spacing w:beforeAutospacing="0" w:after="0" w:afterAutospacing="0" w:line="580" w:lineRule="exact"/>
        <w:ind w:left="0" w:leftChars="0" w:right="0" w:firstLine="640" w:firstLineChars="200"/>
        <w:jc w:val="both"/>
        <w:textAlignment w:val="auto"/>
        <w:outlineLvl w:val="9"/>
        <w:rPr>
          <w:sz w:val="32"/>
          <w:szCs w:val="32"/>
        </w:rPr>
      </w:pPr>
      <w:r>
        <w:rPr>
          <w:rFonts w:hint="eastAsia" w:ascii="仿宋_GB2312" w:eastAsia="仿宋_GB2312" w:cs="DengXian-Regular"/>
          <w:kern w:val="2"/>
          <w:sz w:val="32"/>
          <w:szCs w:val="32"/>
          <w:lang w:val="en-US" w:eastAsia="zh-CN" w:bidi="ar-SA"/>
        </w:rPr>
        <w:t>2、</w:t>
      </w:r>
      <w:r>
        <w:rPr>
          <w:rFonts w:hint="eastAsia" w:ascii="仿宋_GB2312" w:hAnsi="Times New Roman" w:eastAsia="仿宋_GB2312" w:cs="DengXian-Regular"/>
          <w:kern w:val="2"/>
          <w:sz w:val="32"/>
          <w:szCs w:val="32"/>
          <w:lang w:val="en-US" w:eastAsia="zh-CN" w:bidi="ar-SA"/>
        </w:rPr>
        <w:t>纪检监察案件涉案财物价格认定</w:t>
      </w:r>
      <w:r>
        <w:rPr>
          <w:rFonts w:hint="eastAsia" w:ascii="仿宋_GB2312" w:eastAsia="仿宋_GB2312" w:cs="DengXian-Regular"/>
          <w:kern w:val="2"/>
          <w:sz w:val="32"/>
          <w:szCs w:val="32"/>
          <w:lang w:val="en-US" w:eastAsia="zh-CN" w:bidi="ar-SA"/>
        </w:rPr>
        <w:t>。绩效目标：</w:t>
      </w:r>
      <w:r>
        <w:rPr>
          <w:rFonts w:hint="eastAsia" w:ascii="仿宋_GB2312" w:hAnsi="Times New Roman" w:eastAsia="仿宋_GB2312" w:cs="DengXian-Regular"/>
          <w:kern w:val="2"/>
          <w:sz w:val="32"/>
          <w:szCs w:val="32"/>
          <w:lang w:val="en-US" w:eastAsia="zh-CN" w:bidi="ar-SA"/>
        </w:rPr>
        <w:t>接受纪检监察机关提出的价格认定事项，遵循依法、公正、科学、效率的原则，作出准确、可靠的价格认定结论，为纪检监察机关办理案件提供依据，保障纪检监察工作顺利进行。</w:t>
      </w:r>
      <w:r>
        <w:rPr>
          <w:rFonts w:hint="eastAsia" w:ascii="仿宋_GB2312" w:eastAsia="仿宋_GB2312" w:cs="DengXian-Regular"/>
          <w:kern w:val="2"/>
          <w:sz w:val="32"/>
          <w:szCs w:val="32"/>
          <w:lang w:val="en-US" w:eastAsia="zh-CN" w:bidi="ar-SA"/>
        </w:rPr>
        <w:t>评价结果：</w:t>
      </w:r>
      <w:r>
        <w:rPr>
          <w:rFonts w:hint="eastAsia" w:ascii="仿宋_GB2312" w:hAnsi="Times New Roman" w:eastAsia="仿宋_GB2312" w:cs="DengXian-Regular"/>
          <w:kern w:val="2"/>
          <w:sz w:val="32"/>
          <w:szCs w:val="32"/>
          <w:lang w:val="en-US" w:eastAsia="zh-CN" w:bidi="ar-SA"/>
        </w:rPr>
        <w:t>案件复核维持率95%，价格认定案件办结率93%，自评为优。</w:t>
      </w:r>
    </w:p>
    <w:p>
      <w:pPr>
        <w:keepNext/>
        <w:widowControl w:val="0"/>
        <w:numPr>
          <w:ilvl w:val="0"/>
          <w:numId w:val="0"/>
        </w:numPr>
        <w:wordWrap/>
        <w:adjustRightInd w:val="0"/>
        <w:snapToGrid w:val="0"/>
        <w:spacing w:after="0" w:line="580" w:lineRule="exact"/>
        <w:ind w:left="0" w:leftChars="0" w:right="0"/>
        <w:jc w:val="both"/>
        <w:textAlignment w:val="auto"/>
        <w:outlineLvl w:val="9"/>
        <w:rPr>
          <w:rFonts w:ascii="仿宋_GB2312" w:eastAsia="仿宋_GB2312" w:cs="DengXian-Regular"/>
          <w:sz w:val="32"/>
          <w:szCs w:val="32"/>
        </w:rPr>
      </w:pPr>
    </w:p>
    <w:p>
      <w:pPr>
        <w:pStyle w:val="3"/>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七、其他重要事项的说明</w:t>
      </w:r>
    </w:p>
    <w:p>
      <w:pPr>
        <w:pStyle w:val="4"/>
        <w:widowControl w:val="0"/>
        <w:wordWrap/>
        <w:adjustRightInd/>
        <w:snapToGrid/>
        <w:spacing w:before="0" w:after="0" w:line="580" w:lineRule="exact"/>
        <w:ind w:left="0" w:leftChars="0" w:right="0" w:firstLine="643" w:firstLineChars="200"/>
        <w:jc w:val="both"/>
        <w:textAlignment w:val="auto"/>
        <w:rPr>
          <w:rFonts w:ascii="楷体_GB2312" w:eastAsia="楷体_GB2312" w:cs="DengXian-Bold"/>
        </w:rPr>
      </w:pPr>
      <w:r>
        <w:rPr>
          <w:rFonts w:hint="eastAsia" w:ascii="楷体_GB2312" w:eastAsia="楷体_GB2312" w:cs="DengXian-Bold"/>
        </w:rPr>
        <w:t>（一）机关运行经费情况</w:t>
      </w:r>
    </w:p>
    <w:p>
      <w:pPr>
        <w:pStyle w:val="4"/>
        <w:widowControl w:val="0"/>
        <w:wordWrap/>
        <w:adjustRightInd/>
        <w:snapToGrid/>
        <w:spacing w:before="0" w:after="0" w:line="580" w:lineRule="exact"/>
        <w:ind w:left="0" w:leftChars="0" w:right="0" w:firstLine="640" w:firstLineChars="200"/>
        <w:jc w:val="both"/>
        <w:textAlignment w:val="auto"/>
        <w:rPr>
          <w:rFonts w:hint="eastAsia" w:ascii="仿宋_GB2312" w:eastAsia="仿宋_GB2312" w:cs="DengXian-Regular"/>
          <w:b w:val="0"/>
          <w:bCs w:val="0"/>
          <w:lang w:val="en-US" w:eastAsia="zh-CN"/>
        </w:rPr>
      </w:pPr>
      <w:r>
        <w:rPr>
          <w:rFonts w:hint="eastAsia" w:ascii="仿宋_GB2312" w:eastAsia="仿宋_GB2312" w:cs="DengXian-Regular"/>
          <w:b w:val="0"/>
          <w:bCs w:val="0"/>
          <w:lang w:eastAsia="zh-CN"/>
        </w:rPr>
        <w:t>本部门</w:t>
      </w:r>
      <w:r>
        <w:rPr>
          <w:rFonts w:hint="eastAsia" w:ascii="仿宋_GB2312" w:eastAsia="仿宋_GB2312" w:cs="DengXian-Regular"/>
          <w:b w:val="0"/>
          <w:bCs w:val="0"/>
          <w:lang w:val="en-US" w:eastAsia="zh-CN"/>
        </w:rPr>
        <w:t>2018年度机关运行经费支出0万元，比年初预算数增加0万元，增长0%。主要是本单位为财政补助事业单位，无机关运行经费。较2017年度决算增加0万元，增长0%，主要是本单位为财政补助事业单位，无机关运行经费。</w:t>
      </w:r>
    </w:p>
    <w:p>
      <w:pPr>
        <w:pStyle w:val="4"/>
        <w:widowControl w:val="0"/>
        <w:wordWrap/>
        <w:adjustRightInd/>
        <w:snapToGrid/>
        <w:spacing w:before="0" w:after="0" w:line="580" w:lineRule="exact"/>
        <w:ind w:left="0" w:leftChars="0" w:right="0" w:firstLine="643" w:firstLineChars="200"/>
        <w:jc w:val="both"/>
        <w:textAlignment w:val="auto"/>
        <w:rPr>
          <w:rFonts w:ascii="楷体_GB2312" w:eastAsia="楷体_GB2312" w:cs="DengXian-Bold"/>
        </w:rPr>
      </w:pPr>
      <w:r>
        <w:rPr>
          <w:rFonts w:hint="eastAsia" w:ascii="楷体_GB2312" w:eastAsia="楷体_GB2312" w:cs="DengXian-Bold"/>
        </w:rPr>
        <w:t>（二）政府采购情况</w:t>
      </w:r>
    </w:p>
    <w:p>
      <w:pPr>
        <w:pStyle w:val="4"/>
        <w:widowControl w:val="0"/>
        <w:wordWrap/>
        <w:spacing w:before="0" w:after="0" w:line="580" w:lineRule="exact"/>
        <w:ind w:left="0" w:leftChars="0" w:right="0" w:firstLine="640" w:firstLineChars="200"/>
        <w:textAlignment w:val="auto"/>
        <w:rPr>
          <w:rFonts w:ascii="仿宋_GB2312" w:hAnsi="仿宋_GB2312" w:eastAsia="仿宋_GB2312" w:cs="仿宋_GB2312"/>
          <w:b w:val="0"/>
          <w:bCs w:val="0"/>
          <w:color w:val="000000"/>
          <w:kern w:val="0"/>
        </w:rPr>
      </w:pPr>
      <w:r>
        <w:rPr>
          <w:rFonts w:hint="eastAsia" w:ascii="仿宋_GB2312" w:eastAsia="仿宋_GB2312" w:cs="DengXian-Regular"/>
          <w:b w:val="0"/>
          <w:bCs w:val="0"/>
        </w:rPr>
        <w:t>本部门</w:t>
      </w:r>
      <w:r>
        <w:rPr>
          <w:rFonts w:ascii="仿宋_GB2312" w:eastAsia="仿宋_GB2312" w:cs="DengXian-Regular"/>
          <w:b w:val="0"/>
          <w:bCs w:val="0"/>
        </w:rPr>
        <w:t>2018</w:t>
      </w:r>
      <w:r>
        <w:rPr>
          <w:rFonts w:hint="eastAsia" w:ascii="仿宋_GB2312" w:eastAsia="仿宋_GB2312" w:cs="DengXian-Regular"/>
          <w:b w:val="0"/>
          <w:bCs w:val="0"/>
        </w:rPr>
        <w:t>年度政府采购支出总额</w:t>
      </w:r>
      <w:r>
        <w:rPr>
          <w:rFonts w:ascii="仿宋_GB2312" w:eastAsia="仿宋_GB2312" w:cs="DengXian-Regular"/>
          <w:b w:val="0"/>
          <w:bCs w:val="0"/>
        </w:rPr>
        <w:t>0</w:t>
      </w:r>
      <w:r>
        <w:rPr>
          <w:rFonts w:hint="eastAsia" w:ascii="仿宋_GB2312" w:eastAsia="仿宋_GB2312" w:cs="DengXian-Regular"/>
          <w:b w:val="0"/>
          <w:bCs w:val="0"/>
        </w:rPr>
        <w:t>万元，从采购类型来看，</w:t>
      </w:r>
      <w:r>
        <w:rPr>
          <w:rFonts w:hint="eastAsia" w:ascii="仿宋_GB2312" w:hAnsi="仿宋_GB2312" w:eastAsia="仿宋_GB2312" w:cs="仿宋_GB2312"/>
          <w:b w:val="0"/>
          <w:bCs w:val="0"/>
          <w:color w:val="000000"/>
          <w:kern w:val="0"/>
        </w:rPr>
        <w:t>政府采购货物支出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万元、政府采购工程支出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万元、政府采购服务支出</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万元。授予中小企业合同金</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万元，占政府采购支出总额的</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，其中授予小微企业合同金额</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万元，占政府采购支出总额的</w:t>
      </w:r>
      <w:r>
        <w:rPr>
          <w:rFonts w:ascii="仿宋_GB2312" w:hAnsi="仿宋_GB2312" w:eastAsia="仿宋_GB2312" w:cs="仿宋_GB2312"/>
          <w:b w:val="0"/>
          <w:bCs w:val="0"/>
          <w:color w:val="000000"/>
          <w:kern w:val="0"/>
        </w:rPr>
        <w:t>0%</w:t>
      </w:r>
      <w:r>
        <w:rPr>
          <w:rFonts w:hint="eastAsia" w:ascii="仿宋_GB2312" w:hAnsi="仿宋_GB2312" w:eastAsia="仿宋_GB2312" w:cs="仿宋_GB2312"/>
          <w:b w:val="0"/>
          <w:bCs w:val="0"/>
          <w:color w:val="000000"/>
          <w:kern w:val="0"/>
        </w:rPr>
        <w:t>。</w:t>
      </w:r>
    </w:p>
    <w:p>
      <w:pPr>
        <w:pStyle w:val="4"/>
        <w:widowControl w:val="0"/>
        <w:wordWrap/>
        <w:spacing w:before="0" w:after="0" w:line="580" w:lineRule="exact"/>
        <w:ind w:left="0" w:leftChars="0" w:right="0" w:firstLine="643" w:firstLineChars="200"/>
        <w:textAlignment w:val="auto"/>
        <w:rPr>
          <w:rFonts w:ascii="楷体_GB2312" w:eastAsia="楷体_GB2312" w:cs="DengXian-Bold"/>
        </w:rPr>
      </w:pPr>
      <w:r>
        <w:rPr>
          <w:rFonts w:hint="eastAsia" w:ascii="楷体_GB2312" w:eastAsia="楷体_GB2312" w:cs="DengXian-Bold"/>
        </w:rPr>
        <w:t>（三）国有资产占用情况</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0</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ascii="仿宋_GB2312" w:eastAsia="仿宋_GB2312" w:cs="DengXian-Regular"/>
          <w:sz w:val="32"/>
          <w:szCs w:val="32"/>
        </w:rPr>
        <w:t>0</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0</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ascii="仿宋_GB2312" w:eastAsia="仿宋_GB2312" w:cs="DengXian-Regular"/>
          <w:sz w:val="32"/>
          <w:szCs w:val="32"/>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widowControl w:val="0"/>
        <w:wordWrap/>
        <w:spacing w:before="0" w:after="0" w:line="580" w:lineRule="exact"/>
        <w:ind w:left="0" w:leftChars="0" w:right="0" w:firstLine="643" w:firstLineChars="200"/>
        <w:textAlignment w:val="auto"/>
        <w:rPr>
          <w:rFonts w:ascii="楷体_GB2312" w:eastAsia="楷体_GB2312" w:cs="DengXian-Bold"/>
        </w:rPr>
      </w:pPr>
      <w:r>
        <w:rPr>
          <w:rFonts w:hint="eastAsia" w:ascii="楷体_GB2312" w:eastAsia="楷体_GB2312" w:cs="DengXian-Bold"/>
        </w:rPr>
        <w:t>（四）其他需要说明的情况</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年度一般公共预算财政拨款“三公”经费无收支及结转结余情况，故</w:t>
      </w:r>
      <w:r>
        <w:rPr>
          <w:rFonts w:ascii="仿宋_GB2312" w:eastAsia="仿宋_GB2312" w:cs="DengXian-Regular"/>
          <w:sz w:val="32"/>
          <w:szCs w:val="32"/>
        </w:rPr>
        <w:t>07</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年度政府性基金无收支及结转结余情况，故</w:t>
      </w:r>
      <w:r>
        <w:rPr>
          <w:rFonts w:ascii="仿宋_GB2312" w:eastAsia="仿宋_GB2312" w:cs="DengXian-Regular"/>
          <w:sz w:val="32"/>
          <w:szCs w:val="32"/>
        </w:rPr>
        <w:t>08</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年度政府采购无收支及结转结余情况，故</w:t>
      </w:r>
      <w:r>
        <w:rPr>
          <w:rFonts w:ascii="仿宋_GB2312" w:eastAsia="仿宋_GB2312" w:cs="DengXian-Regular"/>
          <w:sz w:val="32"/>
          <w:szCs w:val="32"/>
        </w:rPr>
        <w:t>10</w:t>
      </w:r>
      <w:r>
        <w:rPr>
          <w:rFonts w:hint="eastAsia" w:ascii="仿宋_GB2312" w:eastAsia="仿宋_GB2312" w:cs="DengXian-Regular"/>
          <w:sz w:val="32"/>
          <w:szCs w:val="32"/>
        </w:rPr>
        <w:t>表以空表列示。</w:t>
      </w:r>
    </w:p>
    <w:p>
      <w:pPr>
        <w:widowControl w:val="0"/>
        <w:wordWrap/>
        <w:adjustRightInd w:val="0"/>
        <w:snapToGrid w:val="0"/>
        <w:spacing w:after="0" w:line="580" w:lineRule="exact"/>
        <w:ind w:left="0" w:leftChars="0" w:right="0" w:firstLine="640" w:firstLineChars="200"/>
        <w:textAlignment w:val="auto"/>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val="0"/>
        <w:wordWrap/>
        <w:spacing w:after="0" w:line="580" w:lineRule="exact"/>
        <w:ind w:left="0" w:leftChars="0" w:right="0" w:firstLine="883" w:firstLineChars="200"/>
        <w:jc w:val="left"/>
        <w:textAlignment w:val="auto"/>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ArialUnicodeMS">
    <w:altName w:val="Dotum"/>
    <w:panose1 w:val="00000000000000000000"/>
    <w:charset w:val="81"/>
    <w:family w:val="auto"/>
    <w:pitch w:val="default"/>
    <w:sig w:usb0="00000000" w:usb1="00000000" w:usb2="00000010" w:usb3="00000000" w:csb0="00080000" w:csb1="00000000"/>
  </w:font>
  <w:font w:name="MS-UIGothic,Bold">
    <w:altName w:val="Dotum"/>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4E644A"/>
    <w:rsid w:val="004F74B0"/>
    <w:rsid w:val="0055466D"/>
    <w:rsid w:val="00575922"/>
    <w:rsid w:val="005A3C0D"/>
    <w:rsid w:val="005A6C90"/>
    <w:rsid w:val="005B1D2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2525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A53DE"/>
    <w:rsid w:val="00AB0A0E"/>
    <w:rsid w:val="00AD3B6E"/>
    <w:rsid w:val="00AF6D31"/>
    <w:rsid w:val="00B1751F"/>
    <w:rsid w:val="00B50F96"/>
    <w:rsid w:val="00B56722"/>
    <w:rsid w:val="00B67044"/>
    <w:rsid w:val="00B74D39"/>
    <w:rsid w:val="00B827C6"/>
    <w:rsid w:val="00B91DA4"/>
    <w:rsid w:val="00BA7174"/>
    <w:rsid w:val="00C10E02"/>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341DA"/>
    <w:rsid w:val="00F679C7"/>
    <w:rsid w:val="00F7711A"/>
    <w:rsid w:val="00F80C72"/>
    <w:rsid w:val="00FA0D58"/>
    <w:rsid w:val="00FA1580"/>
    <w:rsid w:val="00FA56F4"/>
    <w:rsid w:val="00FB4EDA"/>
    <w:rsid w:val="00FD3BD5"/>
    <w:rsid w:val="00FE3DC8"/>
    <w:rsid w:val="04073F84"/>
    <w:rsid w:val="06646A88"/>
    <w:rsid w:val="08DA7BE1"/>
    <w:rsid w:val="0B60750A"/>
    <w:rsid w:val="10686488"/>
    <w:rsid w:val="10DF728A"/>
    <w:rsid w:val="1264200E"/>
    <w:rsid w:val="141C5B77"/>
    <w:rsid w:val="18D8339D"/>
    <w:rsid w:val="1A21388F"/>
    <w:rsid w:val="1A570D2F"/>
    <w:rsid w:val="1A905FB9"/>
    <w:rsid w:val="1AE01026"/>
    <w:rsid w:val="1E4A7D3D"/>
    <w:rsid w:val="2422002A"/>
    <w:rsid w:val="28FB0B8D"/>
    <w:rsid w:val="2964636A"/>
    <w:rsid w:val="2B347CF1"/>
    <w:rsid w:val="2CE22EB0"/>
    <w:rsid w:val="2D2B7942"/>
    <w:rsid w:val="2D46481D"/>
    <w:rsid w:val="2E733B28"/>
    <w:rsid w:val="2EC067FB"/>
    <w:rsid w:val="31852B5A"/>
    <w:rsid w:val="32C01983"/>
    <w:rsid w:val="32D01238"/>
    <w:rsid w:val="343A55D7"/>
    <w:rsid w:val="36855FBE"/>
    <w:rsid w:val="369E339F"/>
    <w:rsid w:val="394D05AD"/>
    <w:rsid w:val="3C566EA0"/>
    <w:rsid w:val="3DFC59A8"/>
    <w:rsid w:val="3ECF245E"/>
    <w:rsid w:val="3FB96314"/>
    <w:rsid w:val="41F237A4"/>
    <w:rsid w:val="42232B1E"/>
    <w:rsid w:val="43224F3E"/>
    <w:rsid w:val="53A44FAF"/>
    <w:rsid w:val="55FA0EE7"/>
    <w:rsid w:val="566E6610"/>
    <w:rsid w:val="591F1D47"/>
    <w:rsid w:val="594329EC"/>
    <w:rsid w:val="5A2E13CA"/>
    <w:rsid w:val="5ABD4B49"/>
    <w:rsid w:val="5BEE1540"/>
    <w:rsid w:val="5D8705DF"/>
    <w:rsid w:val="5DE61A5D"/>
    <w:rsid w:val="620329DA"/>
    <w:rsid w:val="63C04243"/>
    <w:rsid w:val="649C01C7"/>
    <w:rsid w:val="69326B3A"/>
    <w:rsid w:val="696206B5"/>
    <w:rsid w:val="699A3F60"/>
    <w:rsid w:val="711F17EC"/>
    <w:rsid w:val="72902E62"/>
    <w:rsid w:val="73C61104"/>
    <w:rsid w:val="750E6B0F"/>
    <w:rsid w:val="776452EA"/>
    <w:rsid w:val="780A7DD5"/>
    <w:rsid w:val="7ACD7DBE"/>
    <w:rsid w:val="7DC663B9"/>
    <w:rsid w:val="7EB81375"/>
    <w:rsid w:val="7FD21032"/>
    <w:rsid w:val="7FF554F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unhideWhenUsed/>
    <w:qFormat/>
    <w:uiPriority w:val="99"/>
    <w:pPr>
      <w:widowControl/>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6">
    <w:name w:val="Date"/>
    <w:basedOn w:val="1"/>
    <w:next w:val="1"/>
    <w:link w:val="21"/>
    <w:qFormat/>
    <w:uiPriority w:val="99"/>
    <w:pPr>
      <w:ind w:left="100" w:leftChars="2500"/>
    </w:pPr>
  </w:style>
  <w:style w:type="paragraph" w:styleId="7">
    <w:name w:val="Balloon Text"/>
    <w:basedOn w:val="1"/>
    <w:link w:val="22"/>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5">
    <w:name w:val="无间隔1"/>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列出段落1"/>
    <w:basedOn w:val="1"/>
    <w:uiPriority w:val="99"/>
    <w:pPr>
      <w:ind w:firstLine="420" w:firstLineChars="200"/>
    </w:pPr>
  </w:style>
  <w:style w:type="character" w:customStyle="1" w:styleId="17">
    <w:name w:val="Heading 1 Char"/>
    <w:basedOn w:val="14"/>
    <w:link w:val="2"/>
    <w:locked/>
    <w:uiPriority w:val="99"/>
    <w:rPr>
      <w:rFonts w:ascii="Times New Roman" w:hAnsi="Times New Roman" w:eastAsia="宋体" w:cs="Times New Roman"/>
      <w:b/>
      <w:bCs/>
      <w:kern w:val="44"/>
      <w:sz w:val="44"/>
      <w:szCs w:val="44"/>
    </w:rPr>
  </w:style>
  <w:style w:type="character" w:customStyle="1" w:styleId="18">
    <w:name w:val="Heading 2 Char"/>
    <w:basedOn w:val="14"/>
    <w:link w:val="3"/>
    <w:qFormat/>
    <w:locked/>
    <w:uiPriority w:val="99"/>
    <w:rPr>
      <w:rFonts w:ascii="Calibri" w:hAnsi="Calibri" w:eastAsia="宋体" w:cs="Times New Roman"/>
      <w:b/>
      <w:bCs/>
      <w:sz w:val="32"/>
      <w:szCs w:val="32"/>
    </w:rPr>
  </w:style>
  <w:style w:type="character" w:customStyle="1" w:styleId="19">
    <w:name w:val="Heading 3 Char"/>
    <w:basedOn w:val="14"/>
    <w:link w:val="4"/>
    <w:qFormat/>
    <w:locked/>
    <w:uiPriority w:val="99"/>
    <w:rPr>
      <w:rFonts w:ascii="Times New Roman" w:hAnsi="Times New Roman" w:eastAsia="宋体" w:cs="Times New Roman"/>
      <w:b/>
      <w:bCs/>
      <w:sz w:val="32"/>
      <w:szCs w:val="32"/>
    </w:rPr>
  </w:style>
  <w:style w:type="character" w:customStyle="1" w:styleId="20">
    <w:name w:val="Heading 4 Char"/>
    <w:basedOn w:val="14"/>
    <w:link w:val="5"/>
    <w:qFormat/>
    <w:locked/>
    <w:uiPriority w:val="99"/>
    <w:rPr>
      <w:rFonts w:ascii="Calibri" w:hAnsi="Calibri" w:eastAsia="宋体" w:cs="Times New Roman"/>
      <w:b/>
      <w:bCs/>
      <w:sz w:val="28"/>
      <w:szCs w:val="28"/>
    </w:rPr>
  </w:style>
  <w:style w:type="character" w:customStyle="1" w:styleId="21">
    <w:name w:val="Date Char"/>
    <w:basedOn w:val="14"/>
    <w:link w:val="6"/>
    <w:semiHidden/>
    <w:qFormat/>
    <w:locked/>
    <w:uiPriority w:val="99"/>
    <w:rPr>
      <w:rFonts w:ascii="Times New Roman" w:hAnsi="Times New Roman" w:eastAsia="宋体" w:cs="Times New Roman"/>
      <w:sz w:val="24"/>
      <w:szCs w:val="24"/>
    </w:rPr>
  </w:style>
  <w:style w:type="character" w:customStyle="1" w:styleId="22">
    <w:name w:val="Balloon Text Char"/>
    <w:basedOn w:val="14"/>
    <w:link w:val="7"/>
    <w:semiHidden/>
    <w:qFormat/>
    <w:locked/>
    <w:uiPriority w:val="99"/>
    <w:rPr>
      <w:rFonts w:ascii="Times New Roman" w:hAnsi="Times New Roman" w:eastAsia="宋体" w:cs="Times New Roman"/>
      <w:sz w:val="18"/>
      <w:szCs w:val="18"/>
    </w:rPr>
  </w:style>
  <w:style w:type="character" w:customStyle="1" w:styleId="23">
    <w:name w:val="Footer Char"/>
    <w:basedOn w:val="14"/>
    <w:link w:val="8"/>
    <w:locked/>
    <w:uiPriority w:val="99"/>
    <w:rPr>
      <w:rFonts w:cs="Times New Roman"/>
      <w:sz w:val="18"/>
      <w:szCs w:val="18"/>
    </w:rPr>
  </w:style>
  <w:style w:type="character" w:customStyle="1" w:styleId="24">
    <w:name w:val="Header Char"/>
    <w:basedOn w:val="14"/>
    <w:link w:val="9"/>
    <w:qFormat/>
    <w:locked/>
    <w:uiPriority w:val="99"/>
    <w:rPr>
      <w:rFonts w:cs="Times New Roman"/>
      <w:sz w:val="18"/>
      <w:szCs w:val="18"/>
    </w:rPr>
  </w:style>
  <w:style w:type="character" w:customStyle="1" w:styleId="25">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6">
    <w:name w:val="Title Char"/>
    <w:basedOn w:val="14"/>
    <w:link w:val="11"/>
    <w:locked/>
    <w:uiPriority w:val="99"/>
    <w:rPr>
      <w:rFonts w:ascii="Calibri" w:hAnsi="Calibri" w:eastAsia="宋体" w:cs="Times New Roman"/>
      <w:color w:val="3A2C24"/>
      <w:spacing w:val="5"/>
      <w:kern w:val="28"/>
      <w:sz w:val="52"/>
      <w:szCs w:val="52"/>
    </w:rPr>
  </w:style>
  <w:style w:type="character" w:customStyle="1" w:styleId="27">
    <w:name w:val="无间隔 Char"/>
    <w:basedOn w:val="14"/>
    <w:link w:val="15"/>
    <w:locked/>
    <w:uiPriority w:val="99"/>
    <w:rPr>
      <w:rFonts w:cs="Times New Roman"/>
      <w:sz w:val="22"/>
      <w:szCs w:val="22"/>
      <w:lang w:val="en-US" w:eastAsia="zh-CN" w:bidi="ar-SA"/>
    </w:rPr>
  </w:style>
  <w:style w:type="character" w:customStyle="1" w:styleId="28">
    <w:name w:val="Style1"/>
    <w:basedOn w:val="14"/>
    <w:uiPriority w:val="99"/>
    <w:rPr>
      <w:rFonts w:ascii="Cambria" w:hAnsi="黑体" w:eastAsia="黑体" w:cs="Times New Roman"/>
      <w:sz w:val="22"/>
      <w:szCs w:val="22"/>
      <w:lang w:eastAsia="zh-CN"/>
    </w:rPr>
  </w:style>
  <w:style w:type="character" w:customStyle="1" w:styleId="29">
    <w:name w:val="Style2"/>
    <w:basedOn w:val="14"/>
    <w:qFormat/>
    <w:uiPriority w:val="99"/>
    <w:rPr>
      <w:rFonts w:ascii="Cambria" w:hAnsi="黑体" w:eastAsia="黑体" w:cs="Times New Roman"/>
      <w:sz w:val="22"/>
      <w:szCs w:val="22"/>
      <w:lang w:eastAsia="zh-CN"/>
    </w:rPr>
  </w:style>
  <w:style w:type="character" w:customStyle="1" w:styleId="30">
    <w:name w:val="Style3"/>
    <w:basedOn w:val="14"/>
    <w:uiPriority w:val="99"/>
    <w:rPr>
      <w:rFonts w:ascii="Cambria" w:hAnsi="黑体" w:eastAsia="黑体" w:cs="Times New Roman"/>
      <w:sz w:val="22"/>
      <w:szCs w:val="22"/>
      <w:lang w:eastAsia="zh-CN"/>
    </w:rPr>
  </w:style>
  <w:style w:type="character" w:customStyle="1" w:styleId="31">
    <w:name w:val="Style4"/>
    <w:basedOn w:val="14"/>
    <w:uiPriority w:val="99"/>
    <w:rPr>
      <w:rFonts w:ascii="Cambria" w:hAnsi="黑体" w:eastAsia="黑体" w:cs="Times New Roman"/>
      <w:sz w:val="22"/>
      <w:szCs w:val="22"/>
      <w:lang w:eastAsia="zh-CN"/>
    </w:rPr>
  </w:style>
  <w:style w:type="character" w:customStyle="1" w:styleId="32">
    <w:name w:val="Style5"/>
    <w:basedOn w:val="14"/>
    <w:qFormat/>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932</Words>
  <Characters>5316</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2019-11-13T08:29:00Z</cp:lastPrinted>
  <dcterms:modified xsi:type="dcterms:W3CDTF">2022-03-23T07:15:00Z</dcterms:modified>
  <dc:subject>石家庄市xxx部门</dc:subject>
  <dc:title>2017年度部门决算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29A8630E09FE4EA7923A78389453CBEE</vt:lpwstr>
  </property>
</Properties>
</file>