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bookmarkEnd w:id="4"/>
      <w:r>
        <w:rPr>
          <w:rFonts w:hint="eastAsia" w:ascii="Times New Roman" w:hAnsi="Times New Roman" w:eastAsia="方正小标宋简体" w:cs="Times New Roman"/>
          <w:sz w:val="44"/>
          <w:szCs w:val="44"/>
          <w:lang w:eastAsia="zh-CN"/>
        </w:rPr>
        <w:t>大城县价格认证中心</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大城县价格认证中心</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接受国家机关委托，对各类案件涉案物品进行价格认证。主要包括对行政执法机关、司法机关办理行政、刑事、民事、经济案件涉及的扣押、没收、追缴物品及纠纷财务等物品价格的认证。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委托对各类有形和无形资产、各种劳务进行价格评估。主要包括依法对国有资产、房产、地产的评估、对各类生产资料和生活资料的评估，对抵押物、拍卖物、过期无主物、留置物及保险理赔等物品价格的评估，对需要的评估服务项目价格进行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社会和生产经营者、各类组织和公民提供关于价格政策法规、市场行情、价格予测等咨询，接受委托，为部门、行业或企业的调定价工作提供前期调研和可行性研究咨询，为政府价格管理和经济决策提供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协助政府价格管理部门做好有关价格管理方面的事务性工作，接受价格管理部门委托，协调、指导本行政区内价格事务所的业务工作。</w:t>
      </w:r>
    </w:p>
    <w:p>
      <w:pPr>
        <w:autoSpaceDE w:val="0"/>
        <w:autoSpaceDN w:val="0"/>
        <w:adjustRightInd w:val="0"/>
        <w:spacing w:line="584" w:lineRule="exact"/>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接受单位或个人委托，办理其它涉及价格方面的事务性工作。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大城县价格认证中心</w:t>
            </w:r>
          </w:p>
        </w:tc>
        <w:tc>
          <w:tcPr>
            <w:tcW w:w="1134"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事业</w:t>
            </w:r>
          </w:p>
        </w:tc>
        <w:tc>
          <w:tcPr>
            <w:tcW w:w="1276"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正股级</w:t>
            </w:r>
          </w:p>
        </w:tc>
        <w:tc>
          <w:tcPr>
            <w:tcW w:w="2902"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大城县价格认证中心</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130.15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130.15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大城县价格认证中心</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130.15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85.15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78.8</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6.35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万元，</w:t>
      </w:r>
      <w:r>
        <w:rPr>
          <w:rFonts w:hint="eastAsia" w:ascii="仿宋" w:hAnsi="仿宋" w:eastAsia="仿宋" w:cs="仿宋_GB2312"/>
          <w:sz w:val="32"/>
          <w:szCs w:val="32"/>
        </w:rPr>
        <w:t>全部为本级支出，主要为涉案评估资金等。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130.15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shd w:val="clear" w:color="auto" w:fill="auto"/>
          <w:lang w:val="en-US" w:eastAsia="zh-CN"/>
        </w:rPr>
        <w:t>1.33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人员工资增加的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6.35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lang w:val="en-US" w:eastAsia="zh-CN"/>
        </w:rPr>
        <w:t>无增减变化</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1、客观、公正、合理出具价格鉴证结论，维护司法机关公平公正和当事人合法权益。</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2、接受司法机关、行政机关提出的价格认定事项，遵循依法、公正、科学、效率的原则，作出准确、可靠的价格认定结论，为司法机关办理相关案件、为行政工作提供依据，保障司法、行政工作顺利进行。</w:t>
      </w:r>
    </w:p>
    <w:p>
      <w:pPr>
        <w:widowControl w:val="0"/>
        <w:wordWrap/>
        <w:adjustRightInd/>
        <w:snapToGrid/>
        <w:spacing w:line="560" w:lineRule="exact"/>
        <w:ind w:left="0" w:leftChars="0" w:right="0" w:firstLine="640" w:firstLineChars="200"/>
        <w:jc w:val="both"/>
        <w:textAlignment w:val="auto"/>
        <w:outlineLvl w:val="9"/>
        <w:rPr>
          <w:rFonts w:ascii="Times New Roman" w:hAnsi="Times New Roman" w:eastAsia="楷体_GB2312" w:cs="Times New Roman"/>
          <w:b/>
          <w:sz w:val="32"/>
          <w:szCs w:val="32"/>
        </w:rPr>
      </w:pPr>
      <w:r>
        <w:rPr>
          <w:rFonts w:hint="eastAsia" w:ascii="仿宋_GB2312" w:hAnsi="仿宋_GB2312" w:eastAsia="仿宋_GB2312" w:cs="仿宋_GB2312"/>
          <w:sz w:val="32"/>
          <w:szCs w:val="32"/>
        </w:rPr>
        <w:t xml:space="preserve"> 3、接受纪检监察机关提出的价格认定事项，遵循依法、公正、科学、效率的原则，作出准确、可靠的价格认定结论，为纪检监察机关办理案件提供依据，保障纪检监察工作顺利进行。</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楷体_GB2312" w:cs="Times New Roman"/>
          <w:b/>
          <w:sz w:val="32"/>
          <w:szCs w:val="32"/>
        </w:rPr>
      </w:pPr>
      <w:r>
        <w:rPr>
          <w:rFonts w:ascii="Times New Roman" w:hAnsi="Times New Roman" w:eastAsia="仿宋_GB2312" w:cs="Times New Roman"/>
          <w:b/>
          <w:sz w:val="32"/>
        </w:rPr>
        <w:t>部门职责-工作活动绩效目标</w:t>
      </w:r>
    </w:p>
    <w:bookmarkEnd w:id="0"/>
    <w:tbl>
      <w:tblPr>
        <w:tblStyle w:val="8"/>
        <w:tblpPr w:leftFromText="180" w:rightFromText="180" w:vertAnchor="text" w:horzAnchor="page" w:tblpX="1548" w:tblpY="582"/>
        <w:tblOverlap w:val="never"/>
        <w:tblW w:w="1393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0399" w:type="dxa"/>
            <w:gridSpan w:val="5"/>
            <w:tcBorders>
              <w:top w:val="single" w:color="FFFFFF" w:sz="6" w:space="0"/>
              <w:left w:val="single" w:color="FFFFFF" w:sz="6" w:space="0"/>
              <w:right w:val="single" w:color="FFFFFF" w:sz="6" w:space="0"/>
            </w:tcBorders>
            <w:vAlign w:val="center"/>
          </w:tcPr>
          <w:p>
            <w:pPr>
              <w:spacing w:line="584" w:lineRule="exact"/>
              <w:jc w:val="left"/>
              <w:rPr>
                <w:rFonts w:hint="eastAsia" w:ascii="Times New Roman" w:hAnsi="Times New Roman" w:eastAsia="仿宋_GB2312" w:cs="Times New Roman"/>
                <w:sz w:val="24"/>
                <w:lang w:eastAsia="zh-CN"/>
              </w:rPr>
            </w:pPr>
            <w:bookmarkStart w:id="1" w:name="_Toc504489147"/>
            <w:r>
              <w:rPr>
                <w:rFonts w:hint="eastAsia" w:ascii="Times New Roman" w:hAnsi="Times New Roman" w:eastAsia="仿宋_GB2312" w:cs="Times New Roman"/>
                <w:sz w:val="24"/>
                <w:lang w:eastAsia="zh-CN"/>
              </w:rPr>
              <w:t>大城县价格认证中心</w:t>
            </w:r>
          </w:p>
        </w:tc>
        <w:tc>
          <w:tcPr>
            <w:tcW w:w="3535" w:type="dxa"/>
            <w:gridSpan w:val="4"/>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trPr>
        <w:tc>
          <w:tcPr>
            <w:tcW w:w="2341" w:type="dxa"/>
            <w:vMerge w:val="restart"/>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trPr>
        <w:tc>
          <w:tcPr>
            <w:tcW w:w="2341" w:type="dxa"/>
            <w:vMerge w:val="continue"/>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p>
        </w:tc>
        <w:tc>
          <w:tcPr>
            <w:tcW w:w="1276" w:type="dxa"/>
            <w:vMerge w:val="continue"/>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p>
        </w:tc>
        <w:tc>
          <w:tcPr>
            <w:tcW w:w="2976" w:type="dxa"/>
            <w:vMerge w:val="continue"/>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p>
        </w:tc>
        <w:tc>
          <w:tcPr>
            <w:tcW w:w="2672" w:type="dxa"/>
            <w:vMerge w:val="continue"/>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p>
        </w:tc>
        <w:tc>
          <w:tcPr>
            <w:tcW w:w="1134" w:type="dxa"/>
            <w:vMerge w:val="continue"/>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p>
        </w:tc>
        <w:tc>
          <w:tcPr>
            <w:tcW w:w="883"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优</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良</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中</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rPr>
        <w:tc>
          <w:tcPr>
            <w:tcW w:w="2341"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涉案资产价格鉴定、认定</w:t>
            </w:r>
          </w:p>
        </w:tc>
        <w:tc>
          <w:tcPr>
            <w:tcW w:w="1276"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45</w:t>
            </w:r>
          </w:p>
        </w:tc>
        <w:tc>
          <w:tcPr>
            <w:tcW w:w="2976"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在所属行政区域内，具有刑事、民事、经济、行政以及仲裁案件涉及的各种扣押、追缴、没收及纠纷财务的价格鉴定、价格行为合法性，价格水平合理性认证、价格纠纷调解的资质。</w:t>
            </w:r>
          </w:p>
        </w:tc>
        <w:tc>
          <w:tcPr>
            <w:tcW w:w="2672"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客观、公正、合理出具价格鉴证结论，维护司法机关公平公正和当事人合法权益。</w:t>
            </w:r>
          </w:p>
        </w:tc>
        <w:tc>
          <w:tcPr>
            <w:tcW w:w="1134"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办案准确率</w:t>
            </w:r>
          </w:p>
        </w:tc>
        <w:tc>
          <w:tcPr>
            <w:tcW w:w="883"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w:t>
            </w:r>
            <w:r>
              <w:rPr>
                <w:rFonts w:hint="eastAsia" w:ascii="Times New Roman" w:hAnsi="Times New Roman" w:eastAsia="仿宋_GB2312" w:cs="Times New Roman"/>
                <w:lang w:eastAsia="zh-CN"/>
              </w:rPr>
              <w:t>0%</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7</w:t>
            </w:r>
            <w:r>
              <w:rPr>
                <w:rFonts w:hint="eastAsia" w:ascii="Times New Roman" w:hAnsi="Times New Roman" w:eastAsia="仿宋_GB2312" w:cs="Times New Roman"/>
                <w:lang w:eastAsia="zh-CN"/>
              </w:rPr>
              <w:t>0%</w:t>
            </w:r>
          </w:p>
        </w:tc>
        <w:tc>
          <w:tcPr>
            <w:tcW w:w="884" w:type="dxa"/>
            <w:vAlign w:val="top"/>
          </w:tcPr>
          <w:p>
            <w:pPr>
              <w:widowControl w:val="0"/>
              <w:wordWrap/>
              <w:adjustRightInd/>
              <w:snapToGrid/>
              <w:spacing w:line="440" w:lineRule="exact"/>
              <w:ind w:left="0" w:leftChars="0" w:right="0" w:firstLine="0" w:firstLineChars="0"/>
              <w:jc w:val="center"/>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&lt;70%</w:t>
            </w:r>
          </w:p>
        </w:tc>
      </w:tr>
    </w:tbl>
    <w:p>
      <w:pPr>
        <w:spacing w:line="584" w:lineRule="exact"/>
        <w:jc w:val="center"/>
        <w:outlineLvl w:val="0"/>
        <w:rPr>
          <w:rFonts w:ascii="Times New Roman" w:hAnsi="Times New Roman" w:eastAsia="仿宋_GB2312" w:cs="Times New Roman"/>
          <w:b/>
          <w:sz w:val="32"/>
        </w:rPr>
      </w:pPr>
    </w:p>
    <w:bookmarkEnd w:id="1"/>
    <w:p>
      <w:pPr>
        <w:widowControl w:val="0"/>
        <w:wordWrap/>
        <w:autoSpaceDE w:val="0"/>
        <w:autoSpaceDN w:val="0"/>
        <w:adjustRightInd w:val="0"/>
        <w:snapToGrid/>
        <w:spacing w:line="584" w:lineRule="exact"/>
        <w:ind w:right="0"/>
        <w:jc w:val="left"/>
        <w:textAlignment w:val="auto"/>
        <w:rPr>
          <w:rFonts w:ascii="Times New Roman" w:hAnsi="黑体" w:eastAsia="黑体" w:cs="Times New Roman"/>
          <w:sz w:val="32"/>
          <w:szCs w:val="32"/>
        </w:rPr>
      </w:pPr>
    </w:p>
    <w:p>
      <w:pPr>
        <w:widowControl w:val="0"/>
        <w:wordWrap/>
        <w:autoSpaceDE w:val="0"/>
        <w:autoSpaceDN w:val="0"/>
        <w:adjustRightInd w:val="0"/>
        <w:snapToGrid/>
        <w:spacing w:line="584" w:lineRule="exact"/>
        <w:ind w:left="0" w:leftChars="0" w:right="0"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widowControl w:val="0"/>
        <w:wordWrap/>
        <w:snapToGrid/>
        <w:spacing w:line="584" w:lineRule="exact"/>
        <w:ind w:left="0" w:leftChars="0" w:right="0" w:firstLine="640" w:firstLineChars="200"/>
        <w:textAlignment w:val="auto"/>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4"/>
        </w:rPr>
        <w:t>具体内容见下表。</w:t>
      </w:r>
    </w:p>
    <w:p>
      <w:pPr>
        <w:spacing w:line="584" w:lineRule="exact"/>
        <w:jc w:val="center"/>
        <w:outlineLvl w:val="0"/>
        <w:rPr>
          <w:rFonts w:ascii="Times New Roman" w:hAnsi="Times New Roman" w:eastAsia="仿宋_GB2312" w:cs="Times New Roman"/>
          <w:sz w:val="32"/>
        </w:rPr>
      </w:pPr>
      <w:bookmarkStart w:id="3" w:name="_Toc504489153"/>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lang w:eastAsia="zh-CN"/>
              </w:rPr>
              <w:t>大城县价格认证中心</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vAlign w:val="center"/>
          </w:tcPr>
          <w:p>
            <w:pPr>
              <w:spacing w:line="584" w:lineRule="exact"/>
              <w:jc w:val="left"/>
              <w:outlineLvl w:val="0"/>
              <w:rPr>
                <w:rFonts w:ascii="Times New Roman" w:hAnsi="Times New Roman" w:eastAsia="仿宋_GB2312" w:cs="Times New Roman"/>
              </w:rPr>
            </w:pPr>
          </w:p>
        </w:tc>
        <w:tc>
          <w:tcPr>
            <w:tcW w:w="1057" w:type="dxa"/>
            <w:vMerge w:val="continue"/>
            <w:vAlign w:val="center"/>
          </w:tcPr>
          <w:p>
            <w:pPr>
              <w:spacing w:line="584" w:lineRule="exact"/>
              <w:jc w:val="left"/>
              <w:outlineLvl w:val="0"/>
              <w:rPr>
                <w:rFonts w:ascii="Times New Roman" w:hAnsi="Times New Roman" w:eastAsia="仿宋_GB2312" w:cs="Times New Roman"/>
              </w:rPr>
            </w:pP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continue"/>
            <w:vAlign w:val="center"/>
          </w:tcPr>
          <w:p>
            <w:pPr>
              <w:spacing w:line="584" w:lineRule="exact"/>
              <w:jc w:val="left"/>
              <w:outlineLvl w:val="0"/>
              <w:rPr>
                <w:rFonts w:ascii="Times New Roman" w:hAnsi="Times New Roman" w:eastAsia="仿宋_GB2312" w:cs="Times New Roman"/>
              </w:rPr>
            </w:pP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p>
        </w:tc>
        <w:tc>
          <w:tcPr>
            <w:tcW w:w="1057" w:type="dxa"/>
            <w:vAlign w:val="center"/>
          </w:tcPr>
          <w:p>
            <w:pPr>
              <w:spacing w:line="300" w:lineRule="exact"/>
              <w:jc w:val="right"/>
              <w:rPr>
                <w:rFonts w:ascii="Times New Roman" w:hAnsi="Times New Roman" w:eastAsia="仿宋_GB2312" w:cs="Times New Roman"/>
                <w:b/>
              </w:rPr>
            </w:pPr>
          </w:p>
        </w:tc>
        <w:tc>
          <w:tcPr>
            <w:tcW w:w="932" w:type="dxa"/>
            <w:vAlign w:val="center"/>
          </w:tcPr>
          <w:p>
            <w:pPr>
              <w:spacing w:line="300" w:lineRule="exact"/>
              <w:jc w:val="left"/>
              <w:rPr>
                <w:rFonts w:ascii="Times New Roman" w:hAnsi="Times New Roman" w:eastAsia="仿宋_GB2312" w:cs="Times New Roman"/>
                <w:b/>
              </w:rPr>
            </w:pPr>
          </w:p>
        </w:tc>
        <w:tc>
          <w:tcPr>
            <w:tcW w:w="1372" w:type="dxa"/>
            <w:vAlign w:val="center"/>
          </w:tcPr>
          <w:p>
            <w:pPr>
              <w:spacing w:line="300" w:lineRule="exact"/>
              <w:jc w:val="left"/>
              <w:rPr>
                <w:rFonts w:ascii="Times New Roman" w:hAnsi="Times New Roman" w:eastAsia="仿宋_GB2312" w:cs="Times New Roman"/>
                <w:b/>
              </w:rPr>
            </w:pPr>
          </w:p>
        </w:tc>
        <w:tc>
          <w:tcPr>
            <w:tcW w:w="720" w:type="dxa"/>
            <w:vAlign w:val="center"/>
          </w:tcPr>
          <w:p>
            <w:pPr>
              <w:spacing w:line="300" w:lineRule="exact"/>
              <w:jc w:val="left"/>
              <w:rPr>
                <w:rFonts w:ascii="Times New Roman" w:hAnsi="Times New Roman" w:eastAsia="仿宋_GB2312" w:cs="Times New Roman"/>
                <w:b/>
              </w:rPr>
            </w:pPr>
          </w:p>
        </w:tc>
        <w:tc>
          <w:tcPr>
            <w:tcW w:w="740" w:type="dxa"/>
            <w:vAlign w:val="center"/>
          </w:tcPr>
          <w:p>
            <w:pPr>
              <w:spacing w:line="300" w:lineRule="exact"/>
              <w:jc w:val="right"/>
              <w:rPr>
                <w:rFonts w:ascii="Times New Roman" w:hAnsi="Times New Roman" w:eastAsia="仿宋_GB2312" w:cs="Times New Roman"/>
                <w:b/>
              </w:rPr>
            </w:pPr>
          </w:p>
        </w:tc>
        <w:tc>
          <w:tcPr>
            <w:tcW w:w="950" w:type="dxa"/>
            <w:vAlign w:val="center"/>
          </w:tcPr>
          <w:p>
            <w:pPr>
              <w:spacing w:line="300"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bl>
    <w:p>
      <w:pPr>
        <w:widowControl w:val="0"/>
        <w:wordWrap/>
        <w:snapToGrid/>
        <w:spacing w:line="584" w:lineRule="exact"/>
        <w:ind w:left="0" w:leftChars="0" w:right="0" w:firstLine="640" w:firstLineChars="200"/>
        <w:textAlignment w:val="auto"/>
        <w:outlineLvl w:val="0"/>
        <w:rPr>
          <w:rFonts w:hint="eastAsia" w:ascii="仿宋" w:hAnsi="仿宋" w:eastAsia="仿宋" w:cs="仿宋_GB2312"/>
          <w:sz w:val="32"/>
          <w:szCs w:val="32"/>
        </w:rPr>
      </w:pPr>
    </w:p>
    <w:p>
      <w:pPr>
        <w:widowControl w:val="0"/>
        <w:wordWrap/>
        <w:snapToGrid/>
        <w:spacing w:line="584" w:lineRule="exact"/>
        <w:ind w:left="0" w:leftChars="0" w:right="0" w:firstLine="640" w:firstLineChars="200"/>
        <w:textAlignment w:val="auto"/>
        <w:outlineLvl w:val="0"/>
        <w:rPr>
          <w:rFonts w:hint="eastAsia" w:ascii="仿宋" w:hAnsi="仿宋" w:eastAsia="仿宋" w:cs="仿宋_GB2312"/>
          <w:sz w:val="32"/>
          <w:szCs w:val="32"/>
        </w:rPr>
      </w:pPr>
    </w:p>
    <w:p>
      <w:pPr>
        <w:widowControl w:val="0"/>
        <w:wordWrap/>
        <w:snapToGrid/>
        <w:spacing w:line="584" w:lineRule="exact"/>
        <w:ind w:left="0" w:leftChars="0" w:right="0" w:firstLine="640" w:firstLineChars="200"/>
        <w:textAlignment w:val="auto"/>
        <w:outlineLvl w:val="0"/>
        <w:rPr>
          <w:rFonts w:hint="eastAsia" w:ascii="仿宋" w:hAnsi="仿宋" w:eastAsia="仿宋" w:cs="仿宋_GB2312"/>
          <w:sz w:val="32"/>
          <w:szCs w:val="32"/>
        </w:rPr>
      </w:pPr>
    </w:p>
    <w:p>
      <w:pPr>
        <w:widowControl w:val="0"/>
        <w:wordWrap/>
        <w:snapToGrid/>
        <w:spacing w:line="584" w:lineRule="exact"/>
        <w:ind w:right="0"/>
        <w:textAlignment w:val="auto"/>
        <w:outlineLvl w:val="0"/>
        <w:rPr>
          <w:rFonts w:hint="eastAsia" w:ascii="仿宋" w:hAnsi="仿宋" w:eastAsia="仿宋" w:cs="仿宋_GB2312"/>
          <w:sz w:val="32"/>
          <w:szCs w:val="32"/>
        </w:rPr>
      </w:pPr>
    </w:p>
    <w:bookmarkEnd w:id="2"/>
    <w:p>
      <w:pPr>
        <w:widowControl w:val="0"/>
        <w:wordWrap/>
        <w:autoSpaceDE w:val="0"/>
        <w:autoSpaceDN w:val="0"/>
        <w:adjustRightInd w:val="0"/>
        <w:snapToGrid/>
        <w:spacing w:line="584" w:lineRule="exact"/>
        <w:ind w:left="0" w:leftChars="0" w:right="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widowControl w:val="0"/>
        <w:wordWrap/>
        <w:snapToGrid/>
        <w:ind w:left="0" w:leftChars="0" w:right="0" w:firstLine="640" w:firstLineChars="200"/>
        <w:textAlignment w:val="auto"/>
        <w:rPr>
          <w:rFonts w:ascii="仿宋" w:hAnsi="仿宋" w:eastAsia="仿宋" w:cs="仿宋_GB2312"/>
          <w:sz w:val="32"/>
          <w:szCs w:val="32"/>
        </w:rPr>
      </w:pPr>
      <w:r>
        <w:rPr>
          <w:rFonts w:hint="eastAsia" w:ascii="Times New Roman" w:hAnsi="Times New Roman" w:eastAsia="仿宋_GB2312" w:cs="Times New Roman"/>
          <w:sz w:val="32"/>
          <w:szCs w:val="32"/>
          <w:lang w:eastAsia="zh-CN"/>
        </w:rPr>
        <w:t>大城县价格认证中心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13.98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大城县价格认证中心</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lang w:val="en-US" w:eastAsia="zh-CN"/>
              </w:rPr>
              <w:t>8</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13.98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9" w:h="11907" w:orient="landscape"/>
      <w:pgMar w:top="1020" w:right="1361" w:bottom="1020" w:left="136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1D1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3CC5ECA"/>
    <w:rsid w:val="09256FAD"/>
    <w:rsid w:val="1155307D"/>
    <w:rsid w:val="145271E3"/>
    <w:rsid w:val="14E36AD2"/>
    <w:rsid w:val="21AA4A7C"/>
    <w:rsid w:val="240A244D"/>
    <w:rsid w:val="27D305E4"/>
    <w:rsid w:val="311963A8"/>
    <w:rsid w:val="3EFF6BE9"/>
    <w:rsid w:val="44872DB6"/>
    <w:rsid w:val="56154289"/>
    <w:rsid w:val="690B44E7"/>
    <w:rsid w:val="76E836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2022-03-23T07:11:53Z</dcterms:modified>
  <dc:title>大城县价格认证中心2019年部门预算信息公开情况说明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