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bookmarkStart w:id="0" w:name="_GoBack"/>
      <w:bookmarkEnd w:id="0"/>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auto"/>
          <w:sz w:val="84"/>
          <w:szCs w:val="84"/>
        </w:rPr>
      </w:pPr>
      <w:r>
        <w:rPr>
          <w:color w:val="auto"/>
          <w:sz w:val="84"/>
          <w:szCs w:val="84"/>
        </w:rPr>
        <w:t>201</w:t>
      </w:r>
      <w:r>
        <w:rPr>
          <w:color w:val="auto"/>
          <w:sz w:val="84"/>
          <w:szCs w:val="84"/>
          <w:lang w:val="en-IE"/>
        </w:rPr>
        <w:t>7</w:t>
      </w:r>
      <w:r>
        <w:rPr>
          <w:color w:val="auto"/>
          <w:sz w:val="84"/>
          <w:szCs w:val="84"/>
        </w:rPr>
        <w:t>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b/>
          <w:sz w:val="44"/>
          <w:szCs w:val="44"/>
        </w:rPr>
      </w:pPr>
      <w:r>
        <w:rPr>
          <w:rFonts w:hint="eastAsia"/>
          <w:b/>
          <w:sz w:val="44"/>
          <w:szCs w:val="44"/>
          <w:lang w:eastAsia="zh-CN"/>
        </w:rPr>
        <w:t>中共</w:t>
      </w:r>
      <w:r>
        <w:rPr>
          <w:b/>
          <w:sz w:val="44"/>
          <w:szCs w:val="44"/>
        </w:rPr>
        <w:t>廊坊市</w:t>
      </w:r>
      <w:r>
        <w:rPr>
          <w:rFonts w:hint="eastAsia"/>
          <w:b/>
          <w:sz w:val="44"/>
          <w:szCs w:val="44"/>
          <w:lang w:eastAsia="zh-CN"/>
        </w:rPr>
        <w:t>大城县委老干部局</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lang w:eastAsia="zh-CN"/>
        </w:rPr>
        <w:t>中共大城县委老干部局</w:t>
      </w:r>
      <w:r>
        <w:rPr>
          <w:rFonts w:eastAsia="黑体"/>
          <w:sz w:val="32"/>
          <w:szCs w:val="32"/>
        </w:rPr>
        <w:t>部门概况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lang w:eastAsia="zh-CN"/>
        </w:rPr>
        <w:t>中共大城县委老干部局</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中共大城县委老干部局</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 xml:space="preserve">第一部分 </w:t>
      </w:r>
      <w:r>
        <w:rPr>
          <w:rFonts w:hint="eastAsia"/>
          <w:color w:val="000000"/>
          <w:kern w:val="0"/>
          <w:lang w:eastAsia="zh-CN"/>
        </w:rPr>
        <w:t>中共大城县委老干部局</w:t>
      </w:r>
      <w:r>
        <w:rPr>
          <w:color w:val="000000"/>
          <w:kern w:val="0"/>
        </w:rPr>
        <w:t>部门概况</w:t>
      </w:r>
    </w:p>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一、</w:t>
      </w:r>
      <w:r>
        <w:rPr>
          <w:rFonts w:hint="eastAsia" w:ascii="Times New Roman" w:hAnsi="Times New Roman" w:eastAsia="黑体"/>
          <w:kern w:val="0"/>
          <w:lang w:eastAsia="zh-CN"/>
        </w:rPr>
        <w:t>中共大城县委老干部局</w:t>
      </w:r>
      <w:r>
        <w:rPr>
          <w:rFonts w:ascii="Times New Roman" w:hAnsi="Times New Roman" w:eastAsia="黑体"/>
          <w:kern w:val="0"/>
        </w:rPr>
        <w:t>部门职责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一、</w:t>
      </w:r>
      <w:r>
        <w:rPr>
          <w:rFonts w:hint="eastAsia" w:ascii="仿宋_GB2312" w:hAnsi="仿宋_GB2312" w:eastAsia="仿宋_GB2312" w:cs="仿宋_GB2312"/>
          <w:sz w:val="32"/>
        </w:rPr>
        <w:t>负责贯彻落实党中央、国务院、省委、省政府、市委、市政府和县委县政府关于老干部工作的方针、政策、规定；向县委、县政府报告全县老干部工作情况，并提出意见和建议；协助县委县政府制定、完善本县老干部工作的政策、规定。</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二、</w:t>
      </w:r>
      <w:r>
        <w:rPr>
          <w:rFonts w:hint="eastAsia" w:ascii="仿宋_GB2312" w:hAnsi="仿宋_GB2312" w:eastAsia="仿宋_GB2312" w:cs="仿宋_GB2312"/>
          <w:sz w:val="32"/>
        </w:rPr>
        <w:t>指导全县各单位落实老干部工作的方针、政策、规定，并对具体执行情况进行督促、检查。</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三、</w:t>
      </w:r>
      <w:r>
        <w:rPr>
          <w:rFonts w:hint="eastAsia" w:ascii="仿宋_GB2312" w:hAnsi="仿宋_GB2312" w:eastAsia="仿宋_GB2312" w:cs="仿宋_GB2312"/>
          <w:sz w:val="32"/>
        </w:rPr>
        <w:t>调查研究落实老干部政治待遇和生活待遇工作中存在的问题，并协助有关部门提出解决办法。</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四、</w:t>
      </w:r>
      <w:r>
        <w:rPr>
          <w:rFonts w:hint="eastAsia" w:ascii="仿宋_GB2312" w:hAnsi="仿宋_GB2312" w:eastAsia="仿宋_GB2312" w:cs="仿宋_GB2312"/>
          <w:sz w:val="32"/>
        </w:rPr>
        <w:t>指导老干部党支部建设和老干部思想政治工作。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五、</w:t>
      </w:r>
      <w:r>
        <w:rPr>
          <w:rFonts w:hint="eastAsia" w:ascii="仿宋_GB2312" w:hAnsi="仿宋_GB2312" w:eastAsia="仿宋_GB2312" w:cs="仿宋_GB2312"/>
          <w:sz w:val="32"/>
        </w:rPr>
        <w:t>负责宣传老干部的历史功绩、现实作用和先进事迹，以及老干部工作的重要意义；引导老干部在新形势下发挥作用；总结老干部工作经验，表彰优秀老干部和老干部先进机构及个人。</w:t>
      </w:r>
    </w:p>
    <w:p>
      <w:pPr>
        <w:keepNext w:val="0"/>
        <w:keepLines w:val="0"/>
        <w:pageBreakBefore w:val="0"/>
        <w:widowControl w:val="0"/>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 xml:space="preserve">  六、</w:t>
      </w:r>
      <w:r>
        <w:rPr>
          <w:rFonts w:hint="eastAsia" w:ascii="仿宋_GB2312" w:hAnsi="仿宋_GB2312" w:eastAsia="仿宋_GB2312" w:cs="仿宋_GB2312"/>
          <w:sz w:val="32"/>
        </w:rPr>
        <w:t>承办县委、县政府和上级有关部门交办的其他事项。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七、</w:t>
      </w:r>
      <w:r>
        <w:rPr>
          <w:rFonts w:hint="eastAsia" w:ascii="仿宋_GB2312" w:hAnsi="仿宋_GB2312" w:eastAsia="仿宋_GB2312" w:cs="仿宋_GB2312"/>
          <w:sz w:val="32"/>
        </w:rPr>
        <w:t>处理老干部来信来访；报告老干部工作信息；负责易地安置老干部的服务和管理工作。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八、</w:t>
      </w:r>
      <w:r>
        <w:rPr>
          <w:rFonts w:hint="eastAsia" w:ascii="仿宋_GB2312" w:hAnsi="仿宋_GB2312" w:eastAsia="仿宋_GB2312" w:cs="仿宋_GB2312"/>
          <w:sz w:val="32"/>
        </w:rPr>
        <w:t>抓好本县老干部工作队伍的自身建设。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九、</w:t>
      </w:r>
      <w:r>
        <w:rPr>
          <w:rFonts w:hint="eastAsia" w:ascii="仿宋_GB2312" w:hAnsi="仿宋_GB2312" w:eastAsia="仿宋_GB2312" w:cs="仿宋_GB2312"/>
          <w:sz w:val="32"/>
        </w:rPr>
        <w:t>负责局管老干部的服务管理工作；按照有关规定接待外地来我县老干部和有关人员。</w:t>
      </w:r>
    </w:p>
    <w:p>
      <w:pPr>
        <w:keepNext w:val="0"/>
        <w:keepLines w:val="0"/>
        <w:pageBreakBefore w:val="0"/>
        <w:widowControl w:val="0"/>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eastAsia="zh-CN"/>
        </w:rPr>
        <w:t>十、</w:t>
      </w:r>
      <w:r>
        <w:rPr>
          <w:rFonts w:hint="eastAsia" w:ascii="仿宋_GB2312" w:hAnsi="仿宋_GB2312" w:eastAsia="仿宋_GB2312" w:cs="仿宋_GB2312"/>
          <w:sz w:val="32"/>
        </w:rPr>
        <w:t>负责承担中共大城县委老干部工作领导小组办公室的日常工作。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sz w:val="32"/>
          <w:lang w:eastAsia="zh-CN"/>
        </w:rPr>
        <w:t>十一、</w:t>
      </w:r>
      <w:r>
        <w:rPr>
          <w:rFonts w:hint="eastAsia" w:ascii="仿宋_GB2312" w:hAnsi="仿宋_GB2312" w:eastAsia="仿宋_GB2312" w:cs="仿宋_GB2312"/>
          <w:sz w:val="32"/>
        </w:rPr>
        <w:t>指导各单位老干部活动站（室）的建设和管理；组织、指导老干部开展健康科学的文化健身、健康修养、参观全县建设成就等活动。</w:t>
      </w:r>
    </w:p>
    <w:p>
      <w:pPr>
        <w:autoSpaceDE w:val="0"/>
        <w:autoSpaceDN w:val="0"/>
        <w:adjustRightInd w:val="0"/>
        <w:spacing w:line="584" w:lineRule="exact"/>
        <w:jc w:val="left"/>
        <w:rPr>
          <w:rFonts w:eastAsia="仿宋_GB2312"/>
          <w:kern w:val="0"/>
          <w:sz w:val="32"/>
          <w:szCs w:val="32"/>
        </w:rPr>
      </w:pP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w:t>
      </w:r>
      <w:r>
        <w:rPr>
          <w:rFonts w:hint="eastAsia" w:ascii="Times New Roman" w:hAnsi="Times New Roman" w:eastAsia="黑体"/>
          <w:kern w:val="0"/>
          <w:lang w:eastAsia="zh-CN"/>
        </w:rPr>
        <w:t>中共大城县委老干部局</w:t>
      </w:r>
      <w:r>
        <w:rPr>
          <w:rFonts w:ascii="Times New Roman" w:hAnsi="Times New Roman" w:eastAsia="黑体"/>
          <w:kern w:val="0"/>
        </w:rPr>
        <w:t>部门决算单位构成</w:t>
      </w:r>
    </w:p>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outlineLvl w:val="0"/>
        <w:rPr>
          <w:rFonts w:hint="eastAsia" w:ascii="仿宋_GB2312" w:hAnsi="仿宋_GB2312" w:eastAsia="仿宋_GB2312" w:cs="仿宋_GB2312"/>
          <w:sz w:val="32"/>
          <w:szCs w:val="24"/>
        </w:rPr>
      </w:pPr>
    </w:p>
    <w:tbl>
      <w:tblPr>
        <w:tblStyle w:val="7"/>
        <w:tblW w:w="104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91"/>
        <w:gridCol w:w="2635"/>
        <w:gridCol w:w="1652"/>
        <w:gridCol w:w="2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891" w:type="dxa"/>
            <w:vMerge w:val="restart"/>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单位名称</w:t>
            </w:r>
          </w:p>
        </w:tc>
        <w:tc>
          <w:tcPr>
            <w:tcW w:w="2635" w:type="dxa"/>
            <w:vMerge w:val="restart"/>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lang w:eastAsia="zh-CN"/>
              </w:rPr>
              <w:t>单位</w:t>
            </w:r>
            <w:r>
              <w:rPr>
                <w:rFonts w:hint="eastAsia" w:ascii="仿宋" w:hAnsi="仿宋" w:eastAsia="仿宋" w:cs="仿宋"/>
                <w:b/>
                <w:sz w:val="28"/>
                <w:szCs w:val="28"/>
              </w:rPr>
              <w:t>性质</w:t>
            </w:r>
          </w:p>
        </w:tc>
        <w:tc>
          <w:tcPr>
            <w:tcW w:w="1652" w:type="dxa"/>
            <w:vMerge w:val="restart"/>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rPr>
                <w:rFonts w:hint="eastAsia" w:ascii="仿宋" w:hAnsi="仿宋" w:eastAsia="仿宋" w:cs="仿宋"/>
                <w:b/>
                <w:sz w:val="28"/>
                <w:szCs w:val="28"/>
              </w:rPr>
            </w:pPr>
            <w:r>
              <w:rPr>
                <w:rFonts w:hint="eastAsia" w:ascii="仿宋" w:hAnsi="仿宋" w:eastAsia="仿宋" w:cs="仿宋"/>
                <w:b/>
                <w:sz w:val="28"/>
                <w:szCs w:val="28"/>
              </w:rPr>
              <w:t>单位规格</w:t>
            </w:r>
          </w:p>
        </w:tc>
        <w:tc>
          <w:tcPr>
            <w:tcW w:w="2282" w:type="dxa"/>
            <w:vMerge w:val="restart"/>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rPr>
                <w:rFonts w:hint="eastAsia" w:ascii="仿宋" w:hAnsi="仿宋" w:eastAsia="仿宋" w:cs="仿宋"/>
                <w:b/>
                <w:sz w:val="28"/>
                <w:szCs w:val="28"/>
              </w:rPr>
            </w:pPr>
            <w:r>
              <w:rPr>
                <w:rFonts w:hint="eastAsia" w:ascii="仿宋" w:hAnsi="仿宋" w:eastAsia="仿宋"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891" w:type="dxa"/>
            <w:vMerge w:val="continue"/>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outlineLvl w:val="0"/>
              <w:rPr>
                <w:rFonts w:hint="eastAsia" w:ascii="仿宋" w:hAnsi="仿宋" w:eastAsia="仿宋" w:cs="仿宋"/>
                <w:sz w:val="32"/>
                <w:szCs w:val="32"/>
              </w:rPr>
            </w:pPr>
          </w:p>
        </w:tc>
        <w:tc>
          <w:tcPr>
            <w:tcW w:w="2635" w:type="dxa"/>
            <w:vMerge w:val="continue"/>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outlineLvl w:val="0"/>
              <w:rPr>
                <w:rFonts w:hint="eastAsia" w:ascii="仿宋" w:hAnsi="仿宋" w:eastAsia="仿宋" w:cs="仿宋"/>
                <w:sz w:val="32"/>
                <w:szCs w:val="32"/>
              </w:rPr>
            </w:pPr>
          </w:p>
        </w:tc>
        <w:tc>
          <w:tcPr>
            <w:tcW w:w="1652" w:type="dxa"/>
            <w:vMerge w:val="continue"/>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outlineLvl w:val="0"/>
              <w:rPr>
                <w:rFonts w:hint="eastAsia" w:ascii="仿宋" w:hAnsi="仿宋" w:eastAsia="仿宋" w:cs="仿宋"/>
                <w:sz w:val="32"/>
                <w:szCs w:val="32"/>
              </w:rPr>
            </w:pPr>
          </w:p>
        </w:tc>
        <w:tc>
          <w:tcPr>
            <w:tcW w:w="2282" w:type="dxa"/>
            <w:vMerge w:val="continue"/>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both"/>
              <w:textAlignment w:val="auto"/>
              <w:outlineLvl w:val="0"/>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3891" w:type="dxa"/>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中共大城县委老干部局</w:t>
            </w:r>
          </w:p>
        </w:tc>
        <w:tc>
          <w:tcPr>
            <w:tcW w:w="2635" w:type="dxa"/>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行政机关</w:t>
            </w:r>
          </w:p>
        </w:tc>
        <w:tc>
          <w:tcPr>
            <w:tcW w:w="1652" w:type="dxa"/>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正科</w:t>
            </w:r>
            <w:r>
              <w:rPr>
                <w:rFonts w:hint="eastAsia" w:ascii="仿宋" w:hAnsi="仿宋" w:eastAsia="仿宋" w:cs="仿宋"/>
                <w:sz w:val="28"/>
                <w:szCs w:val="28"/>
                <w:lang w:eastAsia="zh-CN"/>
              </w:rPr>
              <w:t>级</w:t>
            </w:r>
          </w:p>
        </w:tc>
        <w:tc>
          <w:tcPr>
            <w:tcW w:w="2282" w:type="dxa"/>
            <w:vAlign w:val="center"/>
          </w:tcPr>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财政拨款</w:t>
            </w:r>
          </w:p>
        </w:tc>
      </w:tr>
    </w:tbl>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both"/>
        <w:rPr>
          <w:rFonts w:eastAsia="黑体"/>
          <w:bCs/>
          <w:kern w:val="0"/>
          <w:sz w:val="52"/>
          <w:szCs w:val="52"/>
        </w:rPr>
      </w:pPr>
    </w:p>
    <w:p>
      <w:pPr>
        <w:pStyle w:val="2"/>
        <w:spacing w:before="0" w:after="0" w:line="584" w:lineRule="exact"/>
        <w:jc w:val="center"/>
        <w:rPr>
          <w:color w:val="000000"/>
          <w:kern w:val="0"/>
        </w:rPr>
      </w:pPr>
      <w:r>
        <w:rPr>
          <w:color w:val="000000"/>
          <w:kern w:val="0"/>
        </w:rPr>
        <w:t xml:space="preserve">第二部分 </w:t>
      </w:r>
      <w:r>
        <w:rPr>
          <w:rFonts w:hint="eastAsia"/>
          <w:color w:val="000000"/>
          <w:kern w:val="0"/>
          <w:lang w:eastAsia="zh-CN"/>
        </w:rPr>
        <w:t>中共大城县委老干部局</w:t>
      </w:r>
      <w:r>
        <w:rPr>
          <w:color w:val="000000"/>
          <w:kern w:val="0"/>
        </w:rPr>
        <w:t>2017年度部门决算报表</w:t>
      </w:r>
    </w:p>
    <w:p/>
    <w:p>
      <w:pPr>
        <w:pStyle w:val="2"/>
        <w:spacing w:before="0" w:after="0" w:line="584" w:lineRule="exact"/>
        <w:jc w:val="left"/>
        <w:rPr>
          <w:rFonts w:hint="eastAsia" w:eastAsia="仿宋_GB2312"/>
          <w:b/>
          <w:sz w:val="28"/>
          <w:szCs w:val="28"/>
          <w:lang w:eastAsia="zh-CN"/>
        </w:rPr>
      </w:pPr>
      <w:r>
        <w:rPr>
          <w:rFonts w:hint="eastAsia" w:eastAsia="仿宋_GB2312"/>
          <w:b/>
          <w:sz w:val="28"/>
          <w:szCs w:val="28"/>
          <w:lang w:eastAsia="zh-CN"/>
        </w:rPr>
        <w:t>（附表）</w:t>
      </w: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rPr>
          <w:rFonts w:hint="eastAsia" w:eastAsia="仿宋_GB2312"/>
          <w:b/>
          <w:sz w:val="28"/>
          <w:szCs w:val="28"/>
          <w:lang w:eastAsia="zh-CN"/>
        </w:rPr>
      </w:pPr>
    </w:p>
    <w:p>
      <w:pPr>
        <w:pStyle w:val="2"/>
        <w:spacing w:before="0" w:after="0" w:line="584" w:lineRule="exact"/>
        <w:jc w:val="center"/>
        <w:rPr>
          <w:color w:val="000000"/>
          <w:kern w:val="0"/>
        </w:rPr>
      </w:pPr>
      <w:r>
        <w:rPr>
          <w:color w:val="000000"/>
          <w:kern w:val="0"/>
        </w:rPr>
        <w:t>第三部分</w:t>
      </w:r>
      <w:r>
        <w:rPr>
          <w:rFonts w:hint="eastAsia"/>
          <w:color w:val="000000"/>
          <w:kern w:val="0"/>
          <w:lang w:eastAsia="zh-CN"/>
        </w:rPr>
        <w:t>中共大城县委老干部局</w:t>
      </w:r>
      <w:r>
        <w:rPr>
          <w:color w:val="000000"/>
          <w:kern w:val="0"/>
        </w:rPr>
        <w:t>部门决算</w:t>
      </w:r>
    </w:p>
    <w:p>
      <w:pPr>
        <w:pStyle w:val="2"/>
        <w:spacing w:before="0" w:after="0" w:line="584" w:lineRule="exact"/>
        <w:jc w:val="center"/>
        <w:rPr>
          <w:color w:val="000000"/>
          <w:kern w:val="0"/>
        </w:rPr>
      </w:pPr>
      <w:r>
        <w:rPr>
          <w:color w:val="000000"/>
          <w:kern w:val="0"/>
        </w:rPr>
        <w:t>情况说明</w:t>
      </w:r>
    </w:p>
    <w:p/>
    <w:p>
      <w:pPr>
        <w:pStyle w:val="3"/>
        <w:spacing w:before="0" w:after="0" w:line="584" w:lineRule="exact"/>
        <w:ind w:firstLine="640" w:firstLineChars="200"/>
        <w:rPr>
          <w:rFonts w:ascii="Times New Roman" w:hAnsi="Times New Roman" w:eastAsia="黑体"/>
        </w:rPr>
      </w:pPr>
      <w:r>
        <w:rPr>
          <w:rFonts w:ascii="Times New Roman" w:hAnsi="Times New Roman" w:eastAsia="黑体"/>
          <w:b w:val="0"/>
          <w:bCs w:val="0"/>
        </w:rPr>
        <w:t>一、</w:t>
      </w:r>
      <w:r>
        <w:rPr>
          <w:rFonts w:hint="eastAsia" w:ascii="Times New Roman" w:hAnsi="Times New Roman" w:eastAsia="黑体"/>
          <w:b w:val="0"/>
          <w:bCs w:val="0"/>
          <w:lang w:eastAsia="zh-CN"/>
        </w:rPr>
        <w:t>中共大城县委老干部局</w:t>
      </w:r>
      <w:r>
        <w:rPr>
          <w:rFonts w:ascii="Times New Roman" w:hAnsi="Times New Roman" w:eastAsia="黑体"/>
          <w:b w:val="0"/>
          <w:bCs w:val="0"/>
        </w:rPr>
        <w:t>收入</w:t>
      </w:r>
      <w:r>
        <w:rPr>
          <w:rFonts w:ascii="Times New Roman" w:hAnsi="Times New Roman" w:eastAsia="黑体"/>
          <w:b w:val="0"/>
          <w:bCs w:val="0"/>
          <w:kern w:val="0"/>
        </w:rPr>
        <w:t>支出</w:t>
      </w:r>
      <w:r>
        <w:rPr>
          <w:rFonts w:ascii="Times New Roman" w:hAnsi="Times New Roman" w:eastAsia="黑体"/>
          <w:b w:val="0"/>
          <w:bCs w:val="0"/>
        </w:rPr>
        <w:t>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lang w:val="en-US" w:eastAsia="zh-CN"/>
        </w:rPr>
        <w:t>0.17</w:t>
      </w:r>
      <w:r>
        <w:rPr>
          <w:rFonts w:eastAsia="仿宋_GB2312"/>
          <w:sz w:val="32"/>
          <w:szCs w:val="32"/>
        </w:rPr>
        <w:t>万元，本年收入</w:t>
      </w:r>
      <w:r>
        <w:rPr>
          <w:rFonts w:hint="eastAsia" w:eastAsia="仿宋_GB2312"/>
          <w:sz w:val="32"/>
          <w:szCs w:val="32"/>
          <w:lang w:val="en-US" w:eastAsia="zh-CN"/>
        </w:rPr>
        <w:t>1042.57</w:t>
      </w:r>
      <w:r>
        <w:rPr>
          <w:rFonts w:eastAsia="仿宋_GB2312"/>
          <w:sz w:val="32"/>
          <w:szCs w:val="32"/>
        </w:rPr>
        <w:t>万元；本年支出</w:t>
      </w:r>
      <w:r>
        <w:rPr>
          <w:rFonts w:hint="eastAsia" w:eastAsia="仿宋_GB2312"/>
          <w:sz w:val="32"/>
          <w:szCs w:val="32"/>
          <w:lang w:val="en-US" w:eastAsia="zh-CN"/>
        </w:rPr>
        <w:t>1038.67</w:t>
      </w:r>
      <w:r>
        <w:rPr>
          <w:rFonts w:eastAsia="仿宋_GB2312"/>
          <w:sz w:val="32"/>
          <w:szCs w:val="32"/>
        </w:rPr>
        <w:t>万元、年末结转和结余</w:t>
      </w:r>
      <w:r>
        <w:rPr>
          <w:rFonts w:hint="eastAsia" w:eastAsia="仿宋_GB2312"/>
          <w:sz w:val="32"/>
          <w:szCs w:val="32"/>
          <w:lang w:val="en-US" w:eastAsia="zh-CN"/>
        </w:rPr>
        <w:t>2.36</w:t>
      </w:r>
      <w:r>
        <w:rPr>
          <w:rFonts w:eastAsia="仿宋_GB2312"/>
          <w:sz w:val="32"/>
          <w:szCs w:val="32"/>
        </w:rPr>
        <w:t>万元。与2016年度决算相比，本年收入增加</w:t>
      </w:r>
      <w:r>
        <w:rPr>
          <w:rFonts w:hint="eastAsia" w:eastAsia="仿宋_GB2312"/>
          <w:sz w:val="32"/>
          <w:szCs w:val="32"/>
          <w:lang w:val="en-US" w:eastAsia="zh-CN"/>
        </w:rPr>
        <w:t>102.47</w:t>
      </w:r>
      <w:r>
        <w:rPr>
          <w:rFonts w:eastAsia="仿宋_GB2312"/>
          <w:sz w:val="32"/>
          <w:szCs w:val="32"/>
        </w:rPr>
        <w:t>万元，增长</w:t>
      </w:r>
      <w:r>
        <w:rPr>
          <w:rFonts w:hint="eastAsia" w:eastAsia="仿宋_GB2312"/>
          <w:sz w:val="32"/>
          <w:szCs w:val="32"/>
          <w:lang w:val="en-US" w:eastAsia="zh-CN"/>
        </w:rPr>
        <w:t>10.9</w:t>
      </w:r>
      <w:r>
        <w:rPr>
          <w:rFonts w:eastAsia="仿宋_GB2312"/>
          <w:sz w:val="32"/>
          <w:szCs w:val="32"/>
        </w:rPr>
        <w:t>%，主要是</w:t>
      </w:r>
      <w:r>
        <w:rPr>
          <w:rFonts w:hint="eastAsia" w:eastAsia="仿宋_GB2312"/>
          <w:sz w:val="32"/>
          <w:szCs w:val="32"/>
          <w:lang w:eastAsia="zh-CN"/>
        </w:rPr>
        <w:t>离休干部医疗费增加，在职人员养老保险各项缴费增加</w:t>
      </w:r>
      <w:r>
        <w:rPr>
          <w:rFonts w:eastAsia="仿宋_GB2312"/>
          <w:sz w:val="32"/>
          <w:szCs w:val="32"/>
        </w:rPr>
        <w:t>；本年支出增加</w:t>
      </w:r>
      <w:r>
        <w:rPr>
          <w:rFonts w:hint="eastAsia" w:eastAsia="仿宋_GB2312"/>
          <w:sz w:val="32"/>
          <w:szCs w:val="32"/>
          <w:lang w:val="en-US" w:eastAsia="zh-CN"/>
        </w:rPr>
        <w:t>67.57</w:t>
      </w:r>
      <w:r>
        <w:rPr>
          <w:rFonts w:eastAsia="仿宋_GB2312"/>
          <w:sz w:val="32"/>
          <w:szCs w:val="32"/>
        </w:rPr>
        <w:t>万元，增长</w:t>
      </w:r>
      <w:r>
        <w:rPr>
          <w:rFonts w:hint="eastAsia" w:eastAsia="仿宋_GB2312"/>
          <w:sz w:val="32"/>
          <w:szCs w:val="32"/>
          <w:lang w:val="en-US" w:eastAsia="zh-CN"/>
        </w:rPr>
        <w:t>6.9</w:t>
      </w:r>
      <w:r>
        <w:rPr>
          <w:rFonts w:eastAsia="仿宋_GB2312"/>
          <w:sz w:val="32"/>
          <w:szCs w:val="32"/>
        </w:rPr>
        <w:t>%，主要</w:t>
      </w:r>
      <w:r>
        <w:rPr>
          <w:rFonts w:hint="eastAsia" w:eastAsia="仿宋_GB2312"/>
          <w:sz w:val="32"/>
          <w:szCs w:val="32"/>
          <w:lang w:eastAsia="zh-CN"/>
        </w:rPr>
        <w:t>离休干部医疗费增加，在职人员养老保险各项缴费增加</w:t>
      </w:r>
      <w:r>
        <w:rPr>
          <w:rFonts w:eastAsia="仿宋_GB2312"/>
          <w:sz w:val="32"/>
          <w:szCs w:val="32"/>
        </w:rPr>
        <w:t>。</w:t>
      </w:r>
    </w:p>
    <w:p>
      <w:pPr>
        <w:pStyle w:val="3"/>
        <w:adjustRightInd w:val="0"/>
        <w:spacing w:before="0" w:after="0" w:line="584" w:lineRule="exact"/>
        <w:ind w:firstLine="640" w:firstLineChars="200"/>
        <w:rPr>
          <w:rFonts w:ascii="Times New Roman" w:hAnsi="Times New Roman" w:eastAsia="黑体"/>
        </w:rPr>
      </w:pPr>
      <w:r>
        <w:rPr>
          <w:rFonts w:ascii="Times New Roman" w:hAnsi="Times New Roman" w:eastAsia="黑体"/>
          <w:b w:val="0"/>
          <w:bCs w:val="0"/>
        </w:rPr>
        <w:t>二、收入决算情况说明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本部门2017年度本年收入合计</w:t>
      </w:r>
      <w:r>
        <w:rPr>
          <w:rFonts w:hint="eastAsia" w:eastAsia="仿宋_GB2312"/>
          <w:sz w:val="32"/>
          <w:szCs w:val="32"/>
          <w:lang w:val="en-US" w:eastAsia="zh-CN"/>
        </w:rPr>
        <w:t>1042.57</w:t>
      </w:r>
      <w:r>
        <w:rPr>
          <w:rFonts w:eastAsia="仿宋_GB2312"/>
          <w:sz w:val="32"/>
          <w:szCs w:val="32"/>
        </w:rPr>
        <w:t>万元，其中：财政拨款收入</w:t>
      </w:r>
      <w:r>
        <w:rPr>
          <w:rFonts w:hint="eastAsia" w:eastAsia="仿宋_GB2312"/>
          <w:sz w:val="32"/>
          <w:szCs w:val="32"/>
          <w:lang w:val="en-US" w:eastAsia="zh-CN"/>
        </w:rPr>
        <w:t>1038.67</w:t>
      </w:r>
      <w:r>
        <w:rPr>
          <w:rFonts w:eastAsia="仿宋_GB2312"/>
          <w:sz w:val="32"/>
          <w:szCs w:val="32"/>
        </w:rPr>
        <w:t>万元，占</w:t>
      </w:r>
      <w:r>
        <w:rPr>
          <w:rFonts w:hint="eastAsia" w:eastAsia="仿宋_GB2312"/>
          <w:sz w:val="32"/>
          <w:szCs w:val="32"/>
          <w:lang w:val="en-US" w:eastAsia="zh-CN"/>
        </w:rPr>
        <w:t>99.6</w:t>
      </w:r>
      <w:r>
        <w:rPr>
          <w:rFonts w:eastAsia="仿宋_GB2312"/>
          <w:sz w:val="32"/>
          <w:szCs w:val="32"/>
        </w:rPr>
        <w:t>%；事业收入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%；经营收入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%；其他收入</w:t>
      </w:r>
      <w:r>
        <w:rPr>
          <w:rFonts w:hint="eastAsia" w:eastAsia="仿宋_GB2312"/>
          <w:sz w:val="32"/>
          <w:szCs w:val="32"/>
          <w:lang w:val="en-US" w:eastAsia="zh-CN"/>
        </w:rPr>
        <w:t>3.9</w:t>
      </w:r>
      <w:r>
        <w:rPr>
          <w:rFonts w:eastAsia="仿宋_GB2312"/>
          <w:sz w:val="32"/>
          <w:szCs w:val="32"/>
        </w:rPr>
        <w:t>万元，占</w:t>
      </w:r>
      <w:r>
        <w:rPr>
          <w:rFonts w:hint="eastAsia" w:eastAsia="仿宋_GB2312"/>
          <w:sz w:val="32"/>
          <w:szCs w:val="32"/>
          <w:lang w:val="en-US" w:eastAsia="zh-CN"/>
        </w:rPr>
        <w:t>0.4</w:t>
      </w:r>
      <w:r>
        <w:rPr>
          <w:rFonts w:eastAsia="仿宋_GB2312"/>
          <w:sz w:val="32"/>
          <w:szCs w:val="32"/>
        </w:rPr>
        <w:t>%</w:t>
      </w:r>
      <w:r>
        <w:rPr>
          <w:rFonts w:hint="eastAsia" w:eastAsia="仿宋_GB2312"/>
          <w:sz w:val="32"/>
          <w:szCs w:val="32"/>
          <w:lang w:eastAsia="zh-CN"/>
        </w:rPr>
        <w:t>。</w:t>
      </w:r>
    </w:p>
    <w:p>
      <w:pPr>
        <w:pStyle w:val="3"/>
        <w:spacing w:before="0" w:after="0" w:line="584" w:lineRule="exact"/>
        <w:ind w:firstLine="640" w:firstLineChars="200"/>
        <w:rPr>
          <w:rFonts w:ascii="Times New Roman" w:hAnsi="Times New Roman" w:eastAsia="黑体"/>
          <w:b w:val="0"/>
          <w:bCs w:val="0"/>
        </w:rPr>
      </w:pPr>
      <w:r>
        <w:rPr>
          <w:rFonts w:ascii="Times New Roman" w:hAnsi="Times New Roman" w:eastAsia="黑体"/>
          <w:b w:val="0"/>
          <w:bCs w:val="0"/>
        </w:rPr>
        <w:t>三、支出决算情况说明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本部门2017年度本年支出合计</w:t>
      </w:r>
      <w:r>
        <w:rPr>
          <w:rFonts w:hint="eastAsia" w:eastAsia="仿宋_GB2312"/>
          <w:sz w:val="32"/>
          <w:szCs w:val="32"/>
          <w:lang w:val="en-US" w:eastAsia="zh-CN"/>
        </w:rPr>
        <w:t>1040.37</w:t>
      </w:r>
      <w:r>
        <w:rPr>
          <w:rFonts w:eastAsia="仿宋_GB2312"/>
          <w:sz w:val="32"/>
          <w:szCs w:val="32"/>
        </w:rPr>
        <w:t>万元，其中：基本支出</w:t>
      </w:r>
      <w:r>
        <w:rPr>
          <w:rFonts w:hint="eastAsia" w:eastAsia="仿宋_GB2312"/>
          <w:sz w:val="32"/>
          <w:szCs w:val="32"/>
          <w:lang w:val="en-US" w:eastAsia="zh-CN"/>
        </w:rPr>
        <w:t>1040.37</w:t>
      </w:r>
      <w:r>
        <w:rPr>
          <w:rFonts w:eastAsia="仿宋_GB2312"/>
          <w:sz w:val="32"/>
          <w:szCs w:val="32"/>
        </w:rPr>
        <w:t>万元，占</w:t>
      </w:r>
      <w:r>
        <w:rPr>
          <w:rFonts w:hint="eastAsia" w:eastAsia="仿宋_GB2312"/>
          <w:sz w:val="32"/>
          <w:szCs w:val="32"/>
          <w:lang w:val="en-US" w:eastAsia="zh-CN"/>
        </w:rPr>
        <w:t>100</w:t>
      </w:r>
      <w:r>
        <w:rPr>
          <w:rFonts w:eastAsia="仿宋_GB2312"/>
          <w:sz w:val="32"/>
          <w:szCs w:val="32"/>
        </w:rPr>
        <w:t>%；项目支出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%；经营支出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w:t>
      </w:r>
    </w:p>
    <w:p>
      <w:pPr>
        <w:pStyle w:val="3"/>
        <w:spacing w:before="0" w:after="0" w:line="584" w:lineRule="exact"/>
        <w:ind w:firstLine="640" w:firstLineChars="200"/>
        <w:rPr>
          <w:rFonts w:ascii="Times New Roman" w:hAnsi="Times New Roman" w:eastAsia="黑体"/>
          <w:b w:val="0"/>
          <w:bCs w:val="0"/>
        </w:rPr>
      </w:pPr>
      <w:r>
        <w:rPr>
          <w:rFonts w:ascii="Times New Roman" w:hAnsi="Times New Roman" w:eastAsia="黑体"/>
          <w:b w:val="0"/>
          <w:bCs w:val="0"/>
        </w:rPr>
        <w:t>四、</w:t>
      </w:r>
      <w:r>
        <w:rPr>
          <w:rFonts w:ascii="Times New Roman" w:hAnsi="Times New Roman" w:eastAsia="黑体"/>
          <w:b w:val="0"/>
          <w:bCs w:val="0"/>
          <w:kern w:val="0"/>
        </w:rPr>
        <w:t>财政</w:t>
      </w:r>
      <w:r>
        <w:rPr>
          <w:rFonts w:ascii="Times New Roman" w:hAnsi="Times New Roman" w:eastAsia="黑体"/>
          <w:b w:val="0"/>
          <w:bCs w:val="0"/>
        </w:rPr>
        <w:t>拨款收入支出决算总体情况说明</w:t>
      </w:r>
    </w:p>
    <w:p>
      <w:pPr>
        <w:spacing w:line="584" w:lineRule="exact"/>
        <w:ind w:firstLine="643" w:firstLineChars="200"/>
        <w:rPr>
          <w:rFonts w:eastAsia="楷体_GB2312"/>
          <w:b/>
          <w:bCs/>
          <w:sz w:val="32"/>
          <w:szCs w:val="32"/>
        </w:rPr>
      </w:pPr>
      <w:r>
        <w:rPr>
          <w:rFonts w:eastAsia="楷体_GB2312"/>
          <w:b/>
          <w:bCs/>
          <w:sz w:val="32"/>
          <w:szCs w:val="32"/>
        </w:rPr>
        <w:t>（一）财政拨款收支与2016 年度决算对比情况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本部门2017年度财政拨款年初结转和结余</w:t>
      </w:r>
      <w:r>
        <w:rPr>
          <w:rFonts w:hint="eastAsia" w:eastAsia="仿宋_GB2312"/>
          <w:sz w:val="32"/>
          <w:szCs w:val="32"/>
          <w:lang w:val="en-US" w:eastAsia="zh-CN"/>
        </w:rPr>
        <w:t>0.17</w:t>
      </w:r>
      <w:r>
        <w:rPr>
          <w:rFonts w:eastAsia="仿宋_GB2312"/>
          <w:sz w:val="32"/>
          <w:szCs w:val="32"/>
        </w:rPr>
        <w:t>万元、本年收入</w:t>
      </w:r>
      <w:r>
        <w:rPr>
          <w:rFonts w:hint="eastAsia" w:eastAsia="仿宋_GB2312"/>
          <w:sz w:val="32"/>
          <w:szCs w:val="32"/>
          <w:lang w:val="en-US" w:eastAsia="zh-CN"/>
        </w:rPr>
        <w:t>1038.67</w:t>
      </w:r>
      <w:r>
        <w:rPr>
          <w:rFonts w:eastAsia="仿宋_GB2312"/>
          <w:sz w:val="32"/>
          <w:szCs w:val="32"/>
        </w:rPr>
        <w:t>万元；本年支出</w:t>
      </w:r>
      <w:r>
        <w:rPr>
          <w:rFonts w:hint="eastAsia" w:eastAsia="仿宋_GB2312"/>
          <w:sz w:val="32"/>
          <w:szCs w:val="32"/>
          <w:lang w:val="en-US" w:eastAsia="zh-CN"/>
        </w:rPr>
        <w:t>1036.47</w:t>
      </w:r>
      <w:r>
        <w:rPr>
          <w:rFonts w:eastAsia="仿宋_GB2312"/>
          <w:sz w:val="32"/>
          <w:szCs w:val="32"/>
        </w:rPr>
        <w:t>万元、年末结转和结余</w:t>
      </w:r>
      <w:r>
        <w:rPr>
          <w:rFonts w:hint="eastAsia" w:eastAsia="仿宋_GB2312"/>
          <w:sz w:val="32"/>
          <w:szCs w:val="32"/>
          <w:lang w:val="en-US" w:eastAsia="zh-CN"/>
        </w:rPr>
        <w:t>2.36</w:t>
      </w:r>
      <w:r>
        <w:rPr>
          <w:rFonts w:eastAsia="仿宋_GB2312"/>
          <w:sz w:val="32"/>
          <w:szCs w:val="32"/>
        </w:rPr>
        <w:t>万元。与2016年度决算相比，财政拨款本年收入增加</w:t>
      </w:r>
      <w:r>
        <w:rPr>
          <w:rFonts w:hint="eastAsia" w:eastAsia="仿宋_GB2312"/>
          <w:sz w:val="32"/>
          <w:szCs w:val="32"/>
          <w:lang w:val="en-US" w:eastAsia="zh-CN"/>
        </w:rPr>
        <w:t>108.17</w:t>
      </w:r>
      <w:r>
        <w:rPr>
          <w:rFonts w:eastAsia="仿宋_GB2312"/>
          <w:sz w:val="32"/>
          <w:szCs w:val="32"/>
        </w:rPr>
        <w:t>万元，增长</w:t>
      </w:r>
      <w:r>
        <w:rPr>
          <w:rFonts w:hint="eastAsia" w:eastAsia="仿宋_GB2312"/>
          <w:sz w:val="32"/>
          <w:szCs w:val="32"/>
          <w:lang w:val="en-US" w:eastAsia="zh-CN"/>
        </w:rPr>
        <w:t>11.6</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；本年支出增加</w:t>
      </w:r>
      <w:r>
        <w:rPr>
          <w:rFonts w:hint="eastAsia" w:eastAsia="仿宋_GB2312"/>
          <w:sz w:val="32"/>
          <w:szCs w:val="32"/>
          <w:lang w:val="en-US" w:eastAsia="zh-CN"/>
        </w:rPr>
        <w:t>73.27</w:t>
      </w:r>
      <w:r>
        <w:rPr>
          <w:rFonts w:eastAsia="仿宋_GB2312"/>
          <w:sz w:val="32"/>
          <w:szCs w:val="32"/>
        </w:rPr>
        <w:t>万元，增长</w:t>
      </w:r>
      <w:r>
        <w:rPr>
          <w:rFonts w:hint="eastAsia" w:eastAsia="仿宋_GB2312"/>
          <w:sz w:val="32"/>
          <w:szCs w:val="32"/>
          <w:lang w:val="en-US" w:eastAsia="zh-CN"/>
        </w:rPr>
        <w:t>7.6</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其中，一般公共预算财政拨款年初结转和结余</w:t>
      </w:r>
      <w:r>
        <w:rPr>
          <w:rFonts w:hint="eastAsia" w:eastAsia="仿宋_GB2312"/>
          <w:sz w:val="32"/>
          <w:szCs w:val="32"/>
          <w:lang w:val="en-US" w:eastAsia="zh-CN"/>
        </w:rPr>
        <w:t>0.17</w:t>
      </w:r>
      <w:r>
        <w:rPr>
          <w:rFonts w:eastAsia="仿宋_GB2312"/>
          <w:sz w:val="32"/>
          <w:szCs w:val="32"/>
        </w:rPr>
        <w:t>万元、本年收入</w:t>
      </w:r>
      <w:r>
        <w:rPr>
          <w:rFonts w:hint="eastAsia" w:eastAsia="仿宋_GB2312"/>
          <w:sz w:val="32"/>
          <w:szCs w:val="32"/>
          <w:lang w:val="en-US" w:eastAsia="zh-CN"/>
        </w:rPr>
        <w:t>1026.57</w:t>
      </w:r>
      <w:r>
        <w:rPr>
          <w:rFonts w:eastAsia="仿宋_GB2312"/>
          <w:sz w:val="32"/>
          <w:szCs w:val="32"/>
        </w:rPr>
        <w:t>万元；本年支出</w:t>
      </w:r>
      <w:r>
        <w:rPr>
          <w:rFonts w:hint="eastAsia" w:eastAsia="仿宋_GB2312"/>
          <w:sz w:val="32"/>
          <w:szCs w:val="32"/>
          <w:lang w:val="en-US" w:eastAsia="zh-CN"/>
        </w:rPr>
        <w:t>1024.37</w:t>
      </w:r>
      <w:r>
        <w:rPr>
          <w:rFonts w:eastAsia="仿宋_GB2312"/>
          <w:sz w:val="32"/>
          <w:szCs w:val="32"/>
        </w:rPr>
        <w:t>万元、年末结转和结余</w:t>
      </w:r>
      <w:r>
        <w:rPr>
          <w:rFonts w:hint="eastAsia" w:eastAsia="仿宋_GB2312"/>
          <w:sz w:val="32"/>
          <w:szCs w:val="32"/>
          <w:lang w:val="en-US" w:eastAsia="zh-CN"/>
        </w:rPr>
        <w:t>2.36</w:t>
      </w:r>
      <w:r>
        <w:rPr>
          <w:rFonts w:eastAsia="仿宋_GB2312"/>
          <w:sz w:val="32"/>
          <w:szCs w:val="32"/>
        </w:rPr>
        <w:t>万元。与2016年度决算相比，一般公共预算财政拨款本年收入增加</w:t>
      </w:r>
      <w:r>
        <w:rPr>
          <w:rFonts w:hint="eastAsia" w:eastAsia="仿宋_GB2312"/>
          <w:sz w:val="32"/>
          <w:szCs w:val="32"/>
          <w:lang w:val="en-US" w:eastAsia="zh-CN"/>
        </w:rPr>
        <w:t>99.07</w:t>
      </w:r>
      <w:r>
        <w:rPr>
          <w:rFonts w:eastAsia="仿宋_GB2312"/>
          <w:sz w:val="32"/>
          <w:szCs w:val="32"/>
        </w:rPr>
        <w:t>万元，</w:t>
      </w:r>
      <w:r>
        <w:rPr>
          <w:rFonts w:hint="eastAsia" w:eastAsia="仿宋_GB2312"/>
          <w:sz w:val="32"/>
          <w:szCs w:val="32"/>
          <w:lang w:val="en-US" w:eastAsia="zh-CN"/>
        </w:rPr>
        <w:t>10.7</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；本年支出增加</w:t>
      </w:r>
      <w:r>
        <w:rPr>
          <w:rFonts w:hint="eastAsia" w:eastAsia="仿宋_GB2312"/>
          <w:sz w:val="32"/>
          <w:szCs w:val="32"/>
          <w:lang w:val="en-US" w:eastAsia="zh-CN"/>
        </w:rPr>
        <w:t>64.17</w:t>
      </w:r>
      <w:r>
        <w:rPr>
          <w:rFonts w:eastAsia="仿宋_GB2312"/>
          <w:sz w:val="32"/>
          <w:szCs w:val="32"/>
        </w:rPr>
        <w:t>万元，增长</w:t>
      </w:r>
      <w:r>
        <w:rPr>
          <w:rFonts w:hint="eastAsia" w:eastAsia="仿宋_GB2312"/>
          <w:sz w:val="32"/>
          <w:szCs w:val="32"/>
          <w:lang w:val="en-US" w:eastAsia="zh-CN"/>
        </w:rPr>
        <w:t>6.7</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政府性基金预算财政拨款年初结转和结余</w:t>
      </w:r>
      <w:r>
        <w:rPr>
          <w:rFonts w:hint="eastAsia" w:eastAsia="仿宋_GB2312"/>
          <w:sz w:val="32"/>
          <w:szCs w:val="32"/>
          <w:lang w:val="en-US" w:eastAsia="zh-CN"/>
        </w:rPr>
        <w:t>0</w:t>
      </w:r>
      <w:r>
        <w:rPr>
          <w:rFonts w:eastAsia="仿宋_GB2312"/>
          <w:sz w:val="32"/>
          <w:szCs w:val="32"/>
        </w:rPr>
        <w:t>万元、本年收入</w:t>
      </w:r>
      <w:r>
        <w:rPr>
          <w:rFonts w:hint="eastAsia" w:eastAsia="仿宋_GB2312"/>
          <w:sz w:val="32"/>
          <w:szCs w:val="32"/>
          <w:lang w:val="en-US" w:eastAsia="zh-CN"/>
        </w:rPr>
        <w:t>12.1</w:t>
      </w:r>
      <w:r>
        <w:rPr>
          <w:rFonts w:eastAsia="仿宋_GB2312"/>
          <w:sz w:val="32"/>
          <w:szCs w:val="32"/>
        </w:rPr>
        <w:t>万元；本年支出</w:t>
      </w:r>
      <w:r>
        <w:rPr>
          <w:rFonts w:hint="eastAsia" w:eastAsia="仿宋_GB2312"/>
          <w:sz w:val="32"/>
          <w:szCs w:val="32"/>
          <w:lang w:val="en-US" w:eastAsia="zh-CN"/>
        </w:rPr>
        <w:t>12.1</w:t>
      </w:r>
      <w:r>
        <w:rPr>
          <w:rFonts w:eastAsia="仿宋_GB2312"/>
          <w:sz w:val="32"/>
          <w:szCs w:val="32"/>
        </w:rPr>
        <w:t>万元、年末结转和结余</w:t>
      </w:r>
      <w:r>
        <w:rPr>
          <w:rFonts w:hint="eastAsia" w:eastAsia="仿宋_GB2312"/>
          <w:sz w:val="32"/>
          <w:szCs w:val="32"/>
          <w:lang w:val="en-US" w:eastAsia="zh-CN"/>
        </w:rPr>
        <w:t>0</w:t>
      </w:r>
      <w:r>
        <w:rPr>
          <w:rFonts w:eastAsia="仿宋_GB2312"/>
          <w:sz w:val="32"/>
          <w:szCs w:val="32"/>
        </w:rPr>
        <w:t>万元。与2016年度决算相比，政府性基金预算财政拨款本年收入增加</w:t>
      </w:r>
      <w:r>
        <w:rPr>
          <w:rFonts w:hint="eastAsia" w:eastAsia="仿宋_GB2312"/>
          <w:sz w:val="32"/>
          <w:szCs w:val="32"/>
          <w:lang w:val="en-US" w:eastAsia="zh-CN"/>
        </w:rPr>
        <w:t>9.1</w:t>
      </w:r>
      <w:r>
        <w:rPr>
          <w:rFonts w:eastAsia="仿宋_GB2312"/>
          <w:sz w:val="32"/>
          <w:szCs w:val="32"/>
        </w:rPr>
        <w:t>万元，增长</w:t>
      </w:r>
      <w:r>
        <w:rPr>
          <w:rFonts w:hint="eastAsia" w:eastAsia="仿宋_GB2312"/>
          <w:sz w:val="32"/>
          <w:szCs w:val="32"/>
          <w:lang w:val="en-US" w:eastAsia="zh-CN"/>
        </w:rPr>
        <w:t>303</w:t>
      </w:r>
      <w:r>
        <w:rPr>
          <w:rFonts w:eastAsia="仿宋_GB2312"/>
          <w:sz w:val="32"/>
          <w:szCs w:val="32"/>
        </w:rPr>
        <w:t>%，主要原因是</w:t>
      </w:r>
      <w:r>
        <w:rPr>
          <w:rFonts w:hint="eastAsia" w:eastAsia="仿宋_GB2312"/>
          <w:sz w:val="32"/>
          <w:szCs w:val="32"/>
          <w:lang w:eastAsia="zh-CN"/>
        </w:rPr>
        <w:t>老年团体活动经费增加</w:t>
      </w:r>
      <w:r>
        <w:rPr>
          <w:rFonts w:eastAsia="仿宋_GB2312"/>
          <w:sz w:val="32"/>
          <w:szCs w:val="32"/>
        </w:rPr>
        <w:t>；本年支出增加</w:t>
      </w:r>
      <w:r>
        <w:rPr>
          <w:rFonts w:hint="eastAsia" w:eastAsia="仿宋_GB2312"/>
          <w:sz w:val="32"/>
          <w:szCs w:val="32"/>
          <w:lang w:val="en-US" w:eastAsia="zh-CN"/>
        </w:rPr>
        <w:t>9.1</w:t>
      </w:r>
      <w:r>
        <w:rPr>
          <w:rFonts w:eastAsia="仿宋_GB2312"/>
          <w:sz w:val="32"/>
          <w:szCs w:val="32"/>
        </w:rPr>
        <w:t>万元，增长</w:t>
      </w:r>
      <w:r>
        <w:rPr>
          <w:rFonts w:hint="eastAsia" w:eastAsia="仿宋_GB2312"/>
          <w:sz w:val="32"/>
          <w:szCs w:val="32"/>
          <w:lang w:val="en-US" w:eastAsia="zh-CN"/>
        </w:rPr>
        <w:t>303</w:t>
      </w:r>
      <w:r>
        <w:rPr>
          <w:rFonts w:eastAsia="仿宋_GB2312"/>
          <w:sz w:val="32"/>
          <w:szCs w:val="32"/>
        </w:rPr>
        <w:t>%，主要原因是</w:t>
      </w:r>
      <w:r>
        <w:rPr>
          <w:rFonts w:hint="eastAsia" w:eastAsia="仿宋_GB2312"/>
          <w:sz w:val="32"/>
          <w:szCs w:val="32"/>
          <w:lang w:eastAsia="zh-CN"/>
        </w:rPr>
        <w:t>老年团体活动经费增加</w:t>
      </w:r>
      <w:r>
        <w:rPr>
          <w:rFonts w:eastAsia="仿宋_GB2312"/>
          <w:sz w:val="32"/>
          <w:szCs w:val="32"/>
        </w:rPr>
        <w:t>。</w:t>
      </w:r>
    </w:p>
    <w:p>
      <w:pPr>
        <w:spacing w:line="584" w:lineRule="exact"/>
        <w:ind w:firstLine="643" w:firstLineChars="200"/>
        <w:rPr>
          <w:rFonts w:eastAsia="仿宋_GB2312"/>
          <w:b/>
          <w:bCs/>
          <w:sz w:val="32"/>
          <w:szCs w:val="32"/>
        </w:rPr>
      </w:pPr>
      <w:r>
        <w:rPr>
          <w:rFonts w:eastAsia="楷体_GB2312"/>
          <w:b/>
          <w:bCs/>
          <w:sz w:val="32"/>
          <w:szCs w:val="32"/>
        </w:rPr>
        <w:t>（二）财政拨款收支与年初预算数对比情况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本部门2017年度财政拨款本年收入较2017年初预算增加</w:t>
      </w:r>
      <w:r>
        <w:rPr>
          <w:rFonts w:hint="eastAsia" w:eastAsia="仿宋_GB2312"/>
          <w:sz w:val="32"/>
          <w:szCs w:val="32"/>
          <w:lang w:val="en-US" w:eastAsia="zh-CN"/>
        </w:rPr>
        <w:t>149.69</w:t>
      </w:r>
      <w:r>
        <w:rPr>
          <w:rFonts w:eastAsia="仿宋_GB2312"/>
          <w:sz w:val="32"/>
          <w:szCs w:val="32"/>
        </w:rPr>
        <w:t>万元，增长</w:t>
      </w:r>
      <w:r>
        <w:rPr>
          <w:rFonts w:hint="eastAsia" w:eastAsia="仿宋_GB2312"/>
          <w:sz w:val="32"/>
          <w:szCs w:val="32"/>
          <w:lang w:val="en-US" w:eastAsia="zh-CN"/>
        </w:rPr>
        <w:t>16.8</w:t>
      </w:r>
      <w:r>
        <w:rPr>
          <w:rFonts w:eastAsia="仿宋_GB2312"/>
          <w:sz w:val="32"/>
          <w:szCs w:val="32"/>
        </w:rPr>
        <w:t>%，主要原因</w:t>
      </w:r>
      <w:r>
        <w:rPr>
          <w:rFonts w:hint="eastAsia" w:eastAsia="仿宋_GB2312"/>
          <w:sz w:val="32"/>
          <w:szCs w:val="32"/>
          <w:lang w:eastAsia="zh-CN"/>
        </w:rPr>
        <w:t>是离休干部医疗费增加，在职人员养老保险各项缴费增加</w:t>
      </w:r>
      <w:r>
        <w:rPr>
          <w:rFonts w:eastAsia="仿宋_GB2312"/>
          <w:sz w:val="32"/>
          <w:szCs w:val="32"/>
        </w:rPr>
        <w:t>；本年支出增加</w:t>
      </w:r>
      <w:r>
        <w:rPr>
          <w:rFonts w:hint="eastAsia" w:eastAsia="仿宋_GB2312"/>
          <w:sz w:val="32"/>
          <w:szCs w:val="32"/>
          <w:lang w:val="en-US" w:eastAsia="zh-CN"/>
        </w:rPr>
        <w:t>149.85</w:t>
      </w:r>
      <w:r>
        <w:rPr>
          <w:rFonts w:eastAsia="仿宋_GB2312"/>
          <w:sz w:val="32"/>
          <w:szCs w:val="32"/>
        </w:rPr>
        <w:t>万元，增长</w:t>
      </w:r>
      <w:r>
        <w:rPr>
          <w:rFonts w:hint="eastAsia" w:eastAsia="仿宋_GB2312"/>
          <w:sz w:val="32"/>
          <w:szCs w:val="32"/>
          <w:lang w:val="en-US" w:eastAsia="zh-CN"/>
        </w:rPr>
        <w:t>16.9</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其中，本部门2017年度一般公共预算财政拨款本年收入较2017年初预算增加</w:t>
      </w:r>
      <w:r>
        <w:rPr>
          <w:rFonts w:hint="eastAsia" w:eastAsia="仿宋_GB2312"/>
          <w:sz w:val="32"/>
          <w:szCs w:val="32"/>
          <w:lang w:val="en-US" w:eastAsia="zh-CN"/>
        </w:rPr>
        <w:t>137.59</w:t>
      </w:r>
      <w:r>
        <w:rPr>
          <w:rFonts w:eastAsia="仿宋_GB2312"/>
          <w:sz w:val="32"/>
          <w:szCs w:val="32"/>
        </w:rPr>
        <w:t>万元，增长</w:t>
      </w:r>
      <w:r>
        <w:rPr>
          <w:rFonts w:hint="eastAsia" w:eastAsia="仿宋_GB2312"/>
          <w:sz w:val="32"/>
          <w:szCs w:val="32"/>
          <w:lang w:val="en-US" w:eastAsia="zh-CN"/>
        </w:rPr>
        <w:t>15.5</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；本年支出</w:t>
      </w:r>
      <w:r>
        <w:rPr>
          <w:rFonts w:hint="eastAsia" w:eastAsia="仿宋_GB2312"/>
          <w:sz w:val="32"/>
          <w:szCs w:val="32"/>
          <w:lang w:eastAsia="zh-CN"/>
        </w:rPr>
        <w:t>增加</w:t>
      </w:r>
      <w:r>
        <w:rPr>
          <w:rFonts w:hint="eastAsia" w:eastAsia="仿宋_GB2312"/>
          <w:sz w:val="32"/>
          <w:szCs w:val="32"/>
          <w:lang w:val="en-US" w:eastAsia="zh-CN"/>
        </w:rPr>
        <w:t>137.75</w:t>
      </w:r>
      <w:r>
        <w:rPr>
          <w:rFonts w:eastAsia="仿宋_GB2312"/>
          <w:sz w:val="32"/>
          <w:szCs w:val="32"/>
        </w:rPr>
        <w:t>万元，增长</w:t>
      </w:r>
      <w:r>
        <w:rPr>
          <w:rFonts w:hint="eastAsia" w:eastAsia="仿宋_GB2312"/>
          <w:sz w:val="32"/>
          <w:szCs w:val="32"/>
          <w:lang w:val="en-US" w:eastAsia="zh-CN"/>
        </w:rPr>
        <w:t>15.5</w:t>
      </w:r>
      <w:r>
        <w:rPr>
          <w:rFonts w:eastAsia="仿宋_GB2312"/>
          <w:sz w:val="32"/>
          <w:szCs w:val="32"/>
        </w:rPr>
        <w:t>%，主要原因是</w:t>
      </w:r>
      <w:r>
        <w:rPr>
          <w:rFonts w:hint="eastAsia" w:eastAsia="仿宋_GB2312"/>
          <w:sz w:val="32"/>
          <w:szCs w:val="32"/>
          <w:lang w:eastAsia="zh-CN"/>
        </w:rPr>
        <w:t>离休干部医疗费增加，在职人员养老保险各项缴费增加</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本部门2017年度政府性基金预算财政拨款本年收入较2017年初预算增加</w:t>
      </w:r>
      <w:r>
        <w:rPr>
          <w:rFonts w:hint="eastAsia" w:eastAsia="仿宋_GB2312"/>
          <w:sz w:val="32"/>
          <w:szCs w:val="32"/>
          <w:lang w:val="en-US" w:eastAsia="zh-CN"/>
        </w:rPr>
        <w:t>12.1</w:t>
      </w:r>
      <w:r>
        <w:rPr>
          <w:rFonts w:eastAsia="仿宋_GB2312"/>
          <w:sz w:val="32"/>
          <w:szCs w:val="32"/>
        </w:rPr>
        <w:t>万元，增长</w:t>
      </w:r>
      <w:r>
        <w:rPr>
          <w:rFonts w:hint="eastAsia" w:eastAsia="仿宋_GB2312"/>
          <w:sz w:val="32"/>
          <w:szCs w:val="32"/>
          <w:lang w:val="en-US" w:eastAsia="zh-CN"/>
        </w:rPr>
        <w:t>100</w:t>
      </w:r>
      <w:r>
        <w:rPr>
          <w:rFonts w:eastAsia="仿宋_GB2312"/>
          <w:sz w:val="32"/>
          <w:szCs w:val="32"/>
        </w:rPr>
        <w:t>%，主要原因是</w:t>
      </w:r>
      <w:r>
        <w:rPr>
          <w:rFonts w:hint="eastAsia" w:eastAsia="仿宋_GB2312"/>
          <w:sz w:val="32"/>
          <w:szCs w:val="32"/>
          <w:lang w:eastAsia="zh-CN"/>
        </w:rPr>
        <w:t>老年团体活动经费由一般预算改为基金预算</w:t>
      </w:r>
      <w:r>
        <w:rPr>
          <w:rFonts w:eastAsia="仿宋_GB2312"/>
          <w:sz w:val="32"/>
          <w:szCs w:val="32"/>
        </w:rPr>
        <w:t>；本年支出增加</w:t>
      </w:r>
      <w:r>
        <w:rPr>
          <w:rFonts w:hint="eastAsia" w:eastAsia="仿宋_GB2312"/>
          <w:sz w:val="32"/>
          <w:szCs w:val="32"/>
          <w:lang w:val="en-US" w:eastAsia="zh-CN"/>
        </w:rPr>
        <w:t>12.1</w:t>
      </w:r>
      <w:r>
        <w:rPr>
          <w:rFonts w:eastAsia="仿宋_GB2312"/>
          <w:sz w:val="32"/>
          <w:szCs w:val="32"/>
        </w:rPr>
        <w:t>万元，增长</w:t>
      </w:r>
      <w:r>
        <w:rPr>
          <w:rFonts w:hint="eastAsia" w:eastAsia="仿宋_GB2312"/>
          <w:sz w:val="32"/>
          <w:szCs w:val="32"/>
          <w:lang w:val="en-US" w:eastAsia="zh-CN"/>
        </w:rPr>
        <w:t>100</w:t>
      </w:r>
      <w:r>
        <w:rPr>
          <w:rFonts w:eastAsia="仿宋_GB2312"/>
          <w:sz w:val="32"/>
          <w:szCs w:val="32"/>
        </w:rPr>
        <w:t>%，主要原因是</w:t>
      </w:r>
      <w:r>
        <w:rPr>
          <w:rFonts w:hint="eastAsia" w:eastAsia="仿宋_GB2312"/>
          <w:sz w:val="32"/>
          <w:szCs w:val="32"/>
          <w:lang w:eastAsia="zh-CN"/>
        </w:rPr>
        <w:t>老年团体活动经费由一般预算改为基金预算</w:t>
      </w:r>
      <w:r>
        <w:rPr>
          <w:rFonts w:eastAsia="仿宋_GB2312"/>
          <w:sz w:val="32"/>
          <w:szCs w:val="32"/>
        </w:rPr>
        <w:t>。</w:t>
      </w:r>
    </w:p>
    <w:p>
      <w:pPr>
        <w:pStyle w:val="3"/>
        <w:spacing w:before="0" w:after="0" w:line="584" w:lineRule="exact"/>
        <w:ind w:firstLine="640" w:firstLineChars="200"/>
        <w:rPr>
          <w:rFonts w:hint="eastAsia" w:ascii="黑体" w:hAnsi="黑体" w:eastAsia="黑体" w:cs="黑体"/>
          <w:b w:val="0"/>
          <w:bCs w:val="0"/>
        </w:rPr>
      </w:pPr>
      <w:r>
        <w:rPr>
          <w:rFonts w:hint="eastAsia" w:ascii="黑体" w:hAnsi="黑体" w:eastAsia="黑体" w:cs="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lang w:val="en-US" w:eastAsia="zh-CN"/>
        </w:rPr>
        <w:t>0.27</w:t>
      </w:r>
      <w:r>
        <w:rPr>
          <w:rFonts w:eastAsia="仿宋_GB2312"/>
          <w:sz w:val="32"/>
          <w:szCs w:val="32"/>
        </w:rPr>
        <w:t>万元，较年初预算</w:t>
      </w:r>
      <w:r>
        <w:rPr>
          <w:rFonts w:hint="eastAsia" w:eastAsia="仿宋_GB2312"/>
          <w:sz w:val="32"/>
          <w:szCs w:val="32"/>
          <w:lang w:eastAsia="zh-CN"/>
        </w:rPr>
        <w:t>降低</w:t>
      </w:r>
      <w:r>
        <w:rPr>
          <w:rFonts w:hint="eastAsia" w:eastAsia="仿宋_GB2312"/>
          <w:sz w:val="32"/>
          <w:szCs w:val="32"/>
          <w:lang w:val="en-US" w:eastAsia="zh-CN"/>
        </w:rPr>
        <w:t>0.73万元</w:t>
      </w:r>
      <w:r>
        <w:rPr>
          <w:rFonts w:eastAsia="仿宋_GB2312"/>
          <w:sz w:val="32"/>
          <w:szCs w:val="32"/>
        </w:rPr>
        <w:t>，降低</w:t>
      </w:r>
      <w:r>
        <w:rPr>
          <w:rFonts w:hint="eastAsia" w:eastAsia="仿宋_GB2312"/>
          <w:sz w:val="32"/>
          <w:szCs w:val="32"/>
          <w:lang w:val="en-US" w:eastAsia="zh-CN"/>
        </w:rPr>
        <w:t>73</w:t>
      </w:r>
      <w:r>
        <w:rPr>
          <w:rFonts w:eastAsia="仿宋_GB2312"/>
          <w:sz w:val="32"/>
          <w:szCs w:val="32"/>
        </w:rPr>
        <w:t>%，主要原因是</w:t>
      </w:r>
      <w:r>
        <w:rPr>
          <w:rFonts w:hint="eastAsia" w:eastAsia="仿宋_GB2312"/>
          <w:sz w:val="32"/>
          <w:szCs w:val="32"/>
          <w:lang w:eastAsia="zh-CN"/>
        </w:rPr>
        <w:t>厉行节俭</w:t>
      </w:r>
      <w:r>
        <w:rPr>
          <w:rFonts w:eastAsia="仿宋_GB2312"/>
          <w:sz w:val="32"/>
          <w:szCs w:val="32"/>
        </w:rPr>
        <w:t>；较2016年度决算减少</w:t>
      </w:r>
      <w:r>
        <w:rPr>
          <w:rFonts w:hint="eastAsia" w:eastAsia="仿宋_GB2312"/>
          <w:sz w:val="32"/>
          <w:szCs w:val="32"/>
          <w:lang w:val="en-US" w:eastAsia="zh-CN"/>
        </w:rPr>
        <w:t>0.73</w:t>
      </w:r>
      <w:r>
        <w:rPr>
          <w:rFonts w:eastAsia="仿宋_GB2312"/>
          <w:sz w:val="32"/>
          <w:szCs w:val="32"/>
        </w:rPr>
        <w:t>万元，降低</w:t>
      </w:r>
      <w:r>
        <w:rPr>
          <w:rFonts w:hint="eastAsia" w:eastAsia="仿宋_GB2312"/>
          <w:sz w:val="32"/>
          <w:szCs w:val="32"/>
          <w:lang w:val="en-US" w:eastAsia="zh-CN"/>
        </w:rPr>
        <w:t>73</w:t>
      </w:r>
      <w:r>
        <w:rPr>
          <w:rFonts w:eastAsia="仿宋_GB2312"/>
          <w:sz w:val="32"/>
          <w:szCs w:val="32"/>
        </w:rPr>
        <w:t>%，主要原因是</w:t>
      </w:r>
      <w:r>
        <w:rPr>
          <w:rFonts w:hint="eastAsia" w:eastAsia="仿宋_GB2312"/>
          <w:sz w:val="32"/>
          <w:szCs w:val="32"/>
          <w:lang w:eastAsia="zh-CN"/>
        </w:rPr>
        <w:t>厉行节俭</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本部门2017年度因公出国（境）团组</w:t>
      </w:r>
      <w:r>
        <w:rPr>
          <w:rFonts w:hint="eastAsia" w:eastAsia="仿宋_GB2312"/>
          <w:sz w:val="32"/>
          <w:szCs w:val="32"/>
          <w:lang w:val="en-US" w:eastAsia="zh-CN"/>
        </w:rPr>
        <w:t>0</w:t>
      </w:r>
      <w:r>
        <w:rPr>
          <w:rFonts w:eastAsia="仿宋_GB2312"/>
          <w:sz w:val="32"/>
          <w:szCs w:val="32"/>
        </w:rPr>
        <w:t>个，因公出国（境）人次数</w:t>
      </w:r>
      <w:r>
        <w:rPr>
          <w:rFonts w:hint="eastAsia" w:eastAsia="仿宋_GB2312"/>
          <w:sz w:val="32"/>
          <w:szCs w:val="32"/>
          <w:lang w:val="en-US" w:eastAsia="zh-CN"/>
        </w:rPr>
        <w:t>0</w:t>
      </w:r>
      <w:r>
        <w:rPr>
          <w:rFonts w:eastAsia="仿宋_GB2312"/>
          <w:sz w:val="32"/>
          <w:szCs w:val="32"/>
        </w:rPr>
        <w:t>人。因公出国（境）费支出较年初预算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；较2016年度决算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w:t>
      </w:r>
      <w:r>
        <w:rPr>
          <w:rFonts w:eastAsia="楷体_GB2312"/>
          <w:b/>
          <w:bCs/>
          <w:sz w:val="32"/>
          <w:szCs w:val="32"/>
        </w:rPr>
        <w:t>万元。</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lang w:val="en-US" w:eastAsia="zh-CN"/>
        </w:rPr>
        <w:t>0</w:t>
      </w:r>
      <w:r>
        <w:rPr>
          <w:rFonts w:eastAsia="仿宋_GB2312"/>
          <w:sz w:val="32"/>
          <w:szCs w:val="32"/>
        </w:rPr>
        <w:t>辆。公务用车购置费支出较年初预算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；较2016年度决算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本部门2017年末单位公务用车保有量</w:t>
      </w:r>
      <w:r>
        <w:rPr>
          <w:rFonts w:hint="eastAsia" w:eastAsia="仿宋_GB2312"/>
          <w:sz w:val="32"/>
          <w:szCs w:val="32"/>
          <w:lang w:val="en-US" w:eastAsia="zh-CN"/>
        </w:rPr>
        <w:t>0</w:t>
      </w:r>
      <w:r>
        <w:rPr>
          <w:rFonts w:eastAsia="仿宋_GB2312"/>
          <w:sz w:val="32"/>
          <w:szCs w:val="32"/>
        </w:rPr>
        <w:t>辆。公车运行维护费支出较年初预算减少</w:t>
      </w:r>
      <w:r>
        <w:rPr>
          <w:rFonts w:hint="eastAsia" w:eastAsia="仿宋_GB2312"/>
          <w:sz w:val="32"/>
          <w:szCs w:val="32"/>
          <w:lang w:val="en-US" w:eastAsia="zh-CN"/>
        </w:rPr>
        <w:t>3.5</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%,主要原因是</w:t>
      </w:r>
      <w:r>
        <w:rPr>
          <w:rFonts w:hint="eastAsia" w:eastAsia="仿宋_GB2312"/>
          <w:sz w:val="32"/>
          <w:szCs w:val="32"/>
          <w:lang w:eastAsia="zh-CN"/>
        </w:rPr>
        <w:t>单位无公务用车</w:t>
      </w:r>
      <w:r>
        <w:rPr>
          <w:rFonts w:eastAsia="仿宋_GB2312"/>
          <w:sz w:val="32"/>
          <w:szCs w:val="32"/>
        </w:rPr>
        <w:t>；较2016年度决算</w:t>
      </w:r>
      <w:r>
        <w:rPr>
          <w:rFonts w:hint="eastAsia" w:eastAsia="仿宋_GB2312"/>
          <w:sz w:val="32"/>
          <w:szCs w:val="32"/>
          <w:lang w:eastAsia="zh-CN"/>
        </w:rPr>
        <w:t>无</w:t>
      </w:r>
      <w:r>
        <w:rPr>
          <w:rFonts w:eastAsia="仿宋_GB2312"/>
          <w:sz w:val="32"/>
          <w:szCs w:val="32"/>
        </w:rPr>
        <w:t>增减</w:t>
      </w:r>
      <w:r>
        <w:rPr>
          <w:rFonts w:hint="eastAsia" w:eastAsia="仿宋_GB2312"/>
          <w:sz w:val="32"/>
          <w:szCs w:val="32"/>
          <w:lang w:eastAsia="zh-CN"/>
        </w:rPr>
        <w:t>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w:t>
      </w:r>
      <w:r>
        <w:rPr>
          <w:rFonts w:hint="eastAsia" w:eastAsia="楷体_GB2312"/>
          <w:b/>
          <w:bCs/>
          <w:sz w:val="32"/>
          <w:szCs w:val="32"/>
          <w:lang w:val="en-US" w:eastAsia="zh-CN"/>
        </w:rPr>
        <w:t>0.27</w:t>
      </w:r>
      <w:r>
        <w:rPr>
          <w:rFonts w:eastAsia="楷体_GB2312"/>
          <w:b/>
          <w:bCs/>
          <w:sz w:val="32"/>
          <w:szCs w:val="32"/>
        </w:rPr>
        <w:t>万元。</w:t>
      </w:r>
      <w:r>
        <w:rPr>
          <w:rFonts w:eastAsia="仿宋_GB2312"/>
          <w:sz w:val="32"/>
          <w:szCs w:val="32"/>
        </w:rPr>
        <w:t>本部门2017年度公务接待共</w:t>
      </w:r>
      <w:r>
        <w:rPr>
          <w:rFonts w:hint="eastAsia" w:eastAsia="仿宋_GB2312"/>
          <w:sz w:val="32"/>
          <w:szCs w:val="32"/>
          <w:lang w:val="en-US" w:eastAsia="zh-CN"/>
        </w:rPr>
        <w:t>4</w:t>
      </w:r>
      <w:r>
        <w:rPr>
          <w:rFonts w:eastAsia="仿宋_GB2312"/>
          <w:sz w:val="32"/>
          <w:szCs w:val="32"/>
        </w:rPr>
        <w:t>批次、</w:t>
      </w:r>
      <w:r>
        <w:rPr>
          <w:rFonts w:hint="eastAsia" w:eastAsia="仿宋_GB2312"/>
          <w:sz w:val="32"/>
          <w:szCs w:val="32"/>
          <w:lang w:val="en-US" w:eastAsia="zh-CN"/>
        </w:rPr>
        <w:t>20</w:t>
      </w:r>
      <w:r>
        <w:rPr>
          <w:rFonts w:eastAsia="仿宋_GB2312"/>
          <w:sz w:val="32"/>
          <w:szCs w:val="32"/>
        </w:rPr>
        <w:t>人次。公务接待费支出较年初预算减少</w:t>
      </w:r>
      <w:r>
        <w:rPr>
          <w:rFonts w:hint="eastAsia" w:eastAsia="仿宋_GB2312"/>
          <w:sz w:val="32"/>
          <w:szCs w:val="32"/>
          <w:lang w:val="en-US" w:eastAsia="zh-CN"/>
        </w:rPr>
        <w:t>0.73</w:t>
      </w:r>
      <w:r>
        <w:rPr>
          <w:rFonts w:eastAsia="仿宋_GB2312"/>
          <w:sz w:val="32"/>
          <w:szCs w:val="32"/>
        </w:rPr>
        <w:t>万元，降低</w:t>
      </w:r>
      <w:r>
        <w:rPr>
          <w:rFonts w:hint="eastAsia" w:eastAsia="仿宋_GB2312"/>
          <w:sz w:val="32"/>
          <w:szCs w:val="32"/>
          <w:lang w:val="en-US" w:eastAsia="zh-CN"/>
        </w:rPr>
        <w:t>73</w:t>
      </w:r>
      <w:r>
        <w:rPr>
          <w:rFonts w:eastAsia="仿宋_GB2312"/>
          <w:sz w:val="32"/>
          <w:szCs w:val="32"/>
        </w:rPr>
        <w:t>%,主要原因是</w:t>
      </w:r>
      <w:r>
        <w:rPr>
          <w:rFonts w:hint="eastAsia" w:eastAsia="仿宋_GB2312"/>
          <w:sz w:val="32"/>
          <w:szCs w:val="32"/>
          <w:lang w:eastAsia="zh-CN"/>
        </w:rPr>
        <w:t>厉行节俭</w:t>
      </w:r>
      <w:r>
        <w:rPr>
          <w:rFonts w:eastAsia="仿宋_GB2312"/>
          <w:sz w:val="32"/>
          <w:szCs w:val="32"/>
        </w:rPr>
        <w:t>；较2016年度决算减少</w:t>
      </w:r>
      <w:r>
        <w:rPr>
          <w:rFonts w:hint="eastAsia" w:eastAsia="仿宋_GB2312"/>
          <w:sz w:val="32"/>
          <w:szCs w:val="32"/>
          <w:lang w:val="en-US" w:eastAsia="zh-CN"/>
        </w:rPr>
        <w:t>0.73</w:t>
      </w:r>
      <w:r>
        <w:rPr>
          <w:rFonts w:eastAsia="仿宋_GB2312"/>
          <w:sz w:val="32"/>
          <w:szCs w:val="32"/>
        </w:rPr>
        <w:t>万元，降低</w:t>
      </w:r>
      <w:r>
        <w:rPr>
          <w:rFonts w:hint="eastAsia" w:eastAsia="仿宋_GB2312"/>
          <w:sz w:val="32"/>
          <w:szCs w:val="32"/>
          <w:lang w:val="en-US" w:eastAsia="zh-CN"/>
        </w:rPr>
        <w:t>73</w:t>
      </w:r>
      <w:r>
        <w:rPr>
          <w:rFonts w:eastAsia="仿宋_GB2312"/>
          <w:sz w:val="32"/>
          <w:szCs w:val="32"/>
        </w:rPr>
        <w:t>%,主要原因是</w:t>
      </w:r>
      <w:r>
        <w:rPr>
          <w:rFonts w:hint="eastAsia" w:eastAsia="仿宋_GB2312"/>
          <w:sz w:val="32"/>
          <w:szCs w:val="32"/>
          <w:lang w:eastAsia="zh-CN"/>
        </w:rPr>
        <w:t>厉行节俭</w:t>
      </w:r>
      <w:r>
        <w:rPr>
          <w:rFonts w:eastAsia="仿宋_GB2312"/>
          <w:sz w:val="32"/>
          <w:szCs w:val="32"/>
        </w:rPr>
        <w:t>。</w:t>
      </w:r>
    </w:p>
    <w:p>
      <w:pPr>
        <w:pStyle w:val="3"/>
        <w:spacing w:before="0" w:after="0" w:line="584" w:lineRule="exact"/>
        <w:ind w:firstLine="640" w:firstLineChars="200"/>
        <w:rPr>
          <w:rFonts w:ascii="Times New Roman" w:hAnsi="Times New Roman" w:eastAsia="黑体"/>
          <w:b w:val="0"/>
          <w:bCs w:val="0"/>
        </w:rPr>
      </w:pPr>
      <w:r>
        <w:rPr>
          <w:rFonts w:ascii="Times New Roman" w:hAnsi="Times New Roman" w:eastAsia="黑体"/>
          <w:b w:val="0"/>
          <w:bCs w:val="0"/>
        </w:rPr>
        <w:t>六、绩效预算</w:t>
      </w:r>
      <w:r>
        <w:rPr>
          <w:rFonts w:ascii="Times New Roman" w:hAnsi="Times New Roman" w:eastAsia="黑体"/>
          <w:b w:val="0"/>
          <w:bCs w:val="0"/>
          <w:kern w:val="0"/>
        </w:rPr>
        <w:t>管理</w:t>
      </w:r>
      <w:r>
        <w:rPr>
          <w:rFonts w:ascii="Times New Roman" w:hAnsi="Times New Roman" w:eastAsia="黑体"/>
          <w:b w:val="0"/>
          <w:bCs w:val="0"/>
        </w:rPr>
        <w:t>工作开展情况说明</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（一）绩效管理工作开展情况：</w:t>
      </w:r>
    </w:p>
    <w:p>
      <w:pPr>
        <w:keepNext w:val="0"/>
        <w:keepLines w:val="0"/>
        <w:pageBreakBefore w:val="0"/>
        <w:widowControl w:val="0"/>
        <w:numPr>
          <w:ilvl w:val="0"/>
          <w:numId w:val="0"/>
        </w:numPr>
        <w:kinsoku/>
        <w:wordWrap/>
        <w:overflowPunct/>
        <w:topLinePunct w:val="0"/>
        <w:autoSpaceDE/>
        <w:autoSpaceDN/>
        <w:bidi w:val="0"/>
        <w:adjustRightInd/>
        <w:snapToGrid w:val="0"/>
        <w:spacing w:line="524"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根据财政预算绩效管理要求，我局以“部门职责</w:t>
      </w:r>
      <w:r>
        <w:rPr>
          <w:rFonts w:hint="eastAsia" w:ascii="仿宋_GB2312" w:hAnsi="仿宋_GB2312" w:eastAsia="仿宋_GB2312" w:cs="仿宋_GB2312"/>
          <w:b w:val="0"/>
          <w:bCs w:val="0"/>
          <w:sz w:val="32"/>
          <w:szCs w:val="32"/>
          <w:lang w:val="en-US" w:eastAsia="zh-CN"/>
        </w:rPr>
        <w:t>--工作活动--预算项目</w:t>
      </w:r>
      <w:r>
        <w:rPr>
          <w:rFonts w:hint="eastAsia" w:ascii="仿宋_GB2312" w:hAnsi="仿宋_GB2312" w:eastAsia="仿宋_GB2312" w:cs="仿宋_GB2312"/>
          <w:b w:val="0"/>
          <w:bCs w:val="0"/>
          <w:sz w:val="32"/>
          <w:szCs w:val="32"/>
          <w:lang w:eastAsia="zh-CN"/>
        </w:rPr>
        <w:t>”为依据，确定部门预算项目和预算额度，清晰描述预算项目开支范围和内容，确定预算项目的绩效目标、绩效指标和评价标准，为预算绩效控制、绩效分析、绩效评价打下好的基础。</w:t>
      </w:r>
    </w:p>
    <w:p>
      <w:pPr>
        <w:keepNext w:val="0"/>
        <w:keepLines w:val="0"/>
        <w:pageBreakBefore w:val="0"/>
        <w:widowControl w:val="0"/>
        <w:numPr>
          <w:ilvl w:val="0"/>
          <w:numId w:val="0"/>
        </w:numPr>
        <w:kinsoku/>
        <w:wordWrap/>
        <w:overflowPunct/>
        <w:topLinePunct w:val="0"/>
        <w:autoSpaceDE/>
        <w:autoSpaceDN/>
        <w:bidi w:val="0"/>
        <w:adjustRightInd/>
        <w:snapToGrid w:val="0"/>
        <w:spacing w:line="524" w:lineRule="exact"/>
        <w:ind w:right="0" w:rightChars="0" w:firstLine="643" w:firstLineChars="200"/>
        <w:jc w:val="both"/>
        <w:textAlignment w:val="auto"/>
        <w:outlineLvl w:val="9"/>
        <w:rPr>
          <w:rFonts w:hint="eastAsia" w:ascii="仿宋_GB2312" w:eastAsia="仿宋_GB2312"/>
          <w:b/>
          <w:bCs/>
          <w:sz w:val="32"/>
          <w:szCs w:val="32"/>
        </w:rPr>
      </w:pPr>
      <w:r>
        <w:rPr>
          <w:rFonts w:hint="eastAsia" w:ascii="仿宋_GB2312" w:hAnsi="仿宋_GB2312" w:eastAsia="仿宋_GB2312" w:cs="仿宋_GB2312"/>
          <w:b/>
          <w:bCs/>
          <w:sz w:val="32"/>
          <w:szCs w:val="32"/>
          <w:lang w:eastAsia="zh-CN"/>
        </w:rPr>
        <w:t>（二）预算项目绩效评价开展情况：</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贯彻落实好中办发[2016]3号文件。持续抓好中央3号文件的贯彻落实</w:t>
      </w:r>
      <w:r>
        <w:rPr>
          <w:rFonts w:hint="eastAsia" w:ascii="仿宋_GB2312" w:eastAsia="仿宋_GB2312"/>
          <w:sz w:val="32"/>
          <w:szCs w:val="32"/>
          <w:lang w:eastAsia="zh-CN"/>
        </w:rPr>
        <w:t>，</w:t>
      </w:r>
      <w:r>
        <w:rPr>
          <w:rFonts w:hint="eastAsia" w:ascii="仿宋_GB2312" w:eastAsia="仿宋_GB2312"/>
          <w:sz w:val="32"/>
          <w:szCs w:val="32"/>
        </w:rPr>
        <w:t>不断提升老干部思想政治建设工作水平。进一步完善制度、健全机制，着力从政治上、思想上关心老干部。</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巩固加强老干部党支部建设。引导老干部积极参加“两学一做”学习教育，按照《准则》《条例》要求，认真过好组织生活。要选好配强离退休干部党支部书记，发挥他们敢抓善管的作用。进一步加强老干部党支部规范化建设。加强与老干部基层党组织建设联系点的工作交流，指导他们开展工作，总结宣传其工作经验。积极推进建立老干部党工委</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认真落实老干部政治待遇。以老干部政治待遇八项制度为重点，保证老干部能够按规定阅读文件、参观学习、参加重要会议活动</w:t>
      </w:r>
      <w:r>
        <w:rPr>
          <w:rFonts w:hint="eastAsia" w:ascii="仿宋_GB2312" w:eastAsia="仿宋_GB2312"/>
          <w:sz w:val="32"/>
          <w:szCs w:val="32"/>
          <w:lang w:eastAsia="zh-CN"/>
        </w:rPr>
        <w:t>。</w:t>
      </w:r>
      <w:r>
        <w:rPr>
          <w:rFonts w:hint="eastAsia" w:ascii="仿宋_GB2312" w:eastAsia="仿宋_GB2312"/>
          <w:sz w:val="32"/>
          <w:szCs w:val="32"/>
        </w:rPr>
        <w:t>巩固和完善老干部生活待遇。深入做好离休干部服务工作</w:t>
      </w:r>
      <w:r>
        <w:rPr>
          <w:rFonts w:hint="eastAsia" w:ascii="仿宋_GB2312" w:eastAsia="仿宋_GB2312"/>
          <w:sz w:val="32"/>
          <w:szCs w:val="32"/>
          <w:lang w:eastAsia="zh-CN"/>
        </w:rPr>
        <w:t>。</w:t>
      </w:r>
      <w:r>
        <w:rPr>
          <w:rFonts w:hint="eastAsia" w:ascii="仿宋_GB2312" w:eastAsia="仿宋_GB2312"/>
          <w:sz w:val="32"/>
          <w:szCs w:val="32"/>
        </w:rPr>
        <w:t>积极探索退休干部管理服务，综合利用政府公共服务、志愿服务和市场化服务，做好“四就近”工作，更好满足退休干部养老服务需求。</w:t>
      </w:r>
    </w:p>
    <w:p>
      <w:pPr>
        <w:keepNext w:val="0"/>
        <w:keepLines w:val="0"/>
        <w:pageBreakBefore w:val="0"/>
        <w:widowControl w:val="0"/>
        <w:kinsoku/>
        <w:wordWrap/>
        <w:overflowPunct/>
        <w:topLinePunct w:val="0"/>
        <w:autoSpaceDE/>
        <w:autoSpaceDN/>
        <w:bidi w:val="0"/>
        <w:adjustRightInd/>
        <w:snapToGrid w:val="0"/>
        <w:spacing w:line="524"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利用四个阵地搞好服务。老年大学要健全完善老年教育管理体制，进一步整合教育文化资源，做好老年教育的分析与展望。同时，全力抓好硬件建设。关工委要突出好“学习、创新、教育、服务”的工作主基调，按照“巩固基层组织，拓展教育阵地，注重教育实效，强化典型示范，搞好协调配合”的工作思路，继续加强和完善基层“五老”青少年服务中心创建工作。活动中心要依托学习活动阵地，定期组织开展老干部文艺演出、书画展览、趣味运动比赛等活动，真正把这一阵地建设成为老同志强身健体、陶冶情操的乐园，丰富文化养老内涵。</w:t>
      </w:r>
    </w:p>
    <w:p>
      <w:pPr>
        <w:keepNext w:val="0"/>
        <w:keepLines w:val="0"/>
        <w:pageBreakBefore w:val="0"/>
        <w:widowControl w:val="0"/>
        <w:numPr>
          <w:ilvl w:val="0"/>
          <w:numId w:val="0"/>
        </w:numPr>
        <w:kinsoku/>
        <w:wordWrap/>
        <w:overflowPunct/>
        <w:topLinePunct w:val="0"/>
        <w:autoSpaceDE/>
        <w:autoSpaceDN/>
        <w:bidi w:val="0"/>
        <w:adjustRightInd/>
        <w:snapToGrid w:val="0"/>
        <w:spacing w:line="524" w:lineRule="exact"/>
        <w:ind w:right="0" w:rightChars="0" w:firstLine="643" w:firstLineChars="200"/>
        <w:jc w:val="both"/>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eastAsia="zh-CN"/>
        </w:rPr>
        <w:t>（三）预算项目绩效自评选例：</w:t>
      </w:r>
    </w:p>
    <w:p>
      <w:pPr>
        <w:keepNext w:val="0"/>
        <w:keepLines w:val="0"/>
        <w:pageBreakBefore w:val="0"/>
        <w:widowControl w:val="0"/>
        <w:numPr>
          <w:ilvl w:val="0"/>
          <w:numId w:val="0"/>
        </w:numPr>
        <w:kinsoku/>
        <w:wordWrap/>
        <w:overflowPunct/>
        <w:topLinePunct w:val="0"/>
        <w:autoSpaceDE/>
        <w:autoSpaceDN/>
        <w:bidi w:val="0"/>
        <w:adjustRightInd/>
        <w:snapToGrid w:val="0"/>
        <w:spacing w:line="524"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为</w:t>
      </w:r>
      <w:r>
        <w:rPr>
          <w:rFonts w:hint="eastAsia" w:ascii="仿宋_GB2312" w:eastAsia="仿宋_GB2312"/>
          <w:sz w:val="32"/>
          <w:szCs w:val="32"/>
        </w:rPr>
        <w:t>加强</w:t>
      </w:r>
      <w:r>
        <w:rPr>
          <w:rFonts w:hint="eastAsia" w:ascii="仿宋_GB2312" w:eastAsia="仿宋_GB2312"/>
          <w:sz w:val="32"/>
          <w:szCs w:val="32"/>
          <w:lang w:eastAsia="zh-CN"/>
        </w:rPr>
        <w:t>预算绩效管理，切实提高财政资金使用效益，进一步做好</w:t>
      </w:r>
      <w:r>
        <w:rPr>
          <w:rFonts w:hint="eastAsia" w:ascii="仿宋_GB2312" w:eastAsia="仿宋_GB2312"/>
          <w:sz w:val="32"/>
          <w:szCs w:val="32"/>
          <w:lang w:val="en-US" w:eastAsia="zh-CN"/>
        </w:rPr>
        <w:t>2017年绩效评价工作，我局继续对专项项目进行重点绩效评价，同时积极创新开展“工作活动”层面的绩效评价</w:t>
      </w:r>
      <w:r>
        <w:rPr>
          <w:rFonts w:hint="eastAsia" w:ascii="仿宋_GB2312" w:eastAsia="仿宋_GB2312"/>
          <w:sz w:val="32"/>
          <w:szCs w:val="32"/>
        </w:rPr>
        <w:t>。</w:t>
      </w:r>
      <w:r>
        <w:rPr>
          <w:rFonts w:hint="eastAsia" w:ascii="仿宋_GB2312" w:eastAsia="仿宋_GB2312"/>
          <w:sz w:val="32"/>
          <w:szCs w:val="32"/>
          <w:lang w:val="en-US" w:eastAsia="zh-CN"/>
        </w:rPr>
        <w:t>2017年筛选了5个项目开展了重点绩效评价工作。截至12月31日这项工作已全部完成，取得了良好的成效。此项自评结果为优秀。</w:t>
      </w:r>
    </w:p>
    <w:p>
      <w:pPr>
        <w:pStyle w:val="3"/>
        <w:spacing w:before="0" w:after="0" w:line="584" w:lineRule="exact"/>
        <w:ind w:firstLine="640" w:firstLineChars="200"/>
        <w:rPr>
          <w:rFonts w:ascii="Times New Roman" w:hAnsi="Times New Roman" w:eastAsia="黑体"/>
          <w:b w:val="0"/>
          <w:bCs w:val="0"/>
        </w:rPr>
      </w:pPr>
      <w:r>
        <w:rPr>
          <w:rFonts w:ascii="Times New Roman" w:hAnsi="Times New Roman" w:eastAsia="黑体"/>
          <w:b w:val="0"/>
          <w:bCs w:val="0"/>
        </w:rPr>
        <w:t>七、其他重要事项的说明</w:t>
      </w:r>
    </w:p>
    <w:p>
      <w:pPr>
        <w:pStyle w:val="4"/>
        <w:spacing w:before="0" w:after="0" w:line="584" w:lineRule="exact"/>
        <w:ind w:firstLine="643" w:firstLineChars="200"/>
        <w:rPr>
          <w:rFonts w:eastAsia="楷体_GB2312"/>
        </w:rPr>
      </w:pPr>
      <w:r>
        <w:rPr>
          <w:rFonts w:eastAsia="楷体_GB2312"/>
        </w:rPr>
        <w:t>（一）机关运行经费情况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本部门2017年度机关运行经费支出</w:t>
      </w:r>
      <w:r>
        <w:rPr>
          <w:rFonts w:hint="eastAsia" w:eastAsia="仿宋_GB2312"/>
          <w:sz w:val="32"/>
          <w:szCs w:val="32"/>
          <w:lang w:val="en-US" w:eastAsia="zh-CN"/>
        </w:rPr>
        <w:t>89.3</w:t>
      </w:r>
      <w:r>
        <w:rPr>
          <w:rFonts w:eastAsia="仿宋_GB2312"/>
          <w:sz w:val="32"/>
          <w:szCs w:val="32"/>
        </w:rPr>
        <w:t>万元，比2016年度增加</w:t>
      </w:r>
      <w:r>
        <w:rPr>
          <w:rFonts w:hint="eastAsia" w:eastAsia="仿宋_GB2312"/>
          <w:sz w:val="32"/>
          <w:szCs w:val="32"/>
          <w:lang w:val="en-US" w:eastAsia="zh-CN"/>
        </w:rPr>
        <w:t>4.5</w:t>
      </w:r>
      <w:r>
        <w:rPr>
          <w:rFonts w:eastAsia="仿宋_GB2312"/>
          <w:sz w:val="32"/>
          <w:szCs w:val="32"/>
        </w:rPr>
        <w:t>万元，增长</w:t>
      </w:r>
      <w:r>
        <w:rPr>
          <w:rFonts w:hint="eastAsia" w:eastAsia="仿宋_GB2312"/>
          <w:sz w:val="32"/>
          <w:szCs w:val="32"/>
          <w:lang w:val="en-US" w:eastAsia="zh-CN"/>
        </w:rPr>
        <w:t>5.3</w:t>
      </w:r>
      <w:r>
        <w:rPr>
          <w:rFonts w:eastAsia="仿宋_GB2312"/>
          <w:sz w:val="32"/>
          <w:szCs w:val="32"/>
        </w:rPr>
        <w:t>%。主要原因是</w:t>
      </w:r>
      <w:r>
        <w:rPr>
          <w:rFonts w:hint="eastAsia" w:ascii="仿宋_GB2312" w:hAnsi="仿宋_GB2312" w:eastAsia="仿宋_GB2312" w:cs="仿宋_GB2312"/>
          <w:sz w:val="32"/>
          <w:szCs w:val="32"/>
          <w:lang w:val="en-US" w:eastAsia="zh-CN"/>
        </w:rPr>
        <w:t>办公楼取暖设备集中改造</w:t>
      </w:r>
    </w:p>
    <w:p>
      <w:pPr>
        <w:pStyle w:val="4"/>
        <w:spacing w:before="0" w:after="0" w:line="584" w:lineRule="exact"/>
        <w:ind w:firstLine="643" w:firstLineChars="200"/>
        <w:rPr>
          <w:rFonts w:eastAsia="楷体_GB2312"/>
        </w:rPr>
      </w:pPr>
      <w:r>
        <w:rPr>
          <w:rFonts w:eastAsia="楷体_GB2312"/>
        </w:rPr>
        <w:t>（二）政府采购情况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w:t>
      </w:r>
      <w:r>
        <w:rPr>
          <w:rFonts w:hint="eastAsia" w:ascii="仿宋_GB2312" w:hAnsi="仿宋_GB2312" w:eastAsia="仿宋_GB2312" w:cs="仿宋_GB2312"/>
          <w:kern w:val="0"/>
          <w:sz w:val="32"/>
          <w:szCs w:val="32"/>
          <w:lang w:val="en-IE" w:eastAsia="zh-CN"/>
        </w:rPr>
        <w:t>没有安排政府采购项目</w:t>
      </w:r>
      <w:r>
        <w:rPr>
          <w:rFonts w:eastAsia="仿宋_GB2312"/>
          <w:sz w:val="32"/>
          <w:szCs w:val="32"/>
        </w:rPr>
        <w:t>。</w:t>
      </w:r>
    </w:p>
    <w:p>
      <w:pPr>
        <w:pStyle w:val="4"/>
        <w:spacing w:before="0" w:after="0" w:line="584" w:lineRule="exact"/>
        <w:ind w:firstLine="643" w:firstLineChars="200"/>
        <w:rPr>
          <w:rFonts w:eastAsia="楷体_GB2312"/>
        </w:rPr>
      </w:pPr>
      <w:r>
        <w:rPr>
          <w:rFonts w:eastAsia="楷体_GB2312"/>
        </w:rPr>
        <w:t>（三）国有资产占用情况</w:t>
      </w:r>
    </w:p>
    <w:p>
      <w:pPr>
        <w:keepNext w:val="0"/>
        <w:keepLines w:val="0"/>
        <w:pageBreakBefore w:val="0"/>
        <w:numPr>
          <w:ilvl w:val="0"/>
          <w:numId w:val="0"/>
        </w:numPr>
        <w:kinsoku/>
        <w:wordWrap/>
        <w:overflowPunct/>
        <w:topLinePunct w:val="0"/>
        <w:bidi w:val="0"/>
        <w:spacing w:beforeAutospacing="0" w:afterAutospacing="0" w:line="560" w:lineRule="exact"/>
        <w:ind w:leftChars="200" w:right="0" w:rightChars="0" w:firstLine="320" w:firstLineChars="100"/>
        <w:jc w:val="both"/>
        <w:textAlignment w:val="auto"/>
        <w:rPr>
          <w:rFonts w:hint="eastAsia" w:ascii="仿宋_GB2312" w:hAnsi="仿宋_GB2312" w:eastAsia="仿宋_GB2312" w:cs="仿宋_GB2312"/>
          <w:color w:val="auto"/>
          <w:sz w:val="32"/>
          <w:szCs w:val="32"/>
          <w:lang w:val="en-US" w:eastAsia="zh-CN"/>
        </w:rPr>
      </w:pPr>
      <w:r>
        <w:rPr>
          <w:rFonts w:hint="eastAsia" w:eastAsia="仿宋_GB2312"/>
          <w:sz w:val="32"/>
          <w:szCs w:val="32"/>
          <w:lang w:eastAsia="zh-CN"/>
        </w:rPr>
        <w:t>本部门国有资产占有总体情况是</w:t>
      </w:r>
      <w:r>
        <w:rPr>
          <w:rFonts w:hint="eastAsia" w:eastAsia="仿宋_GB2312"/>
          <w:sz w:val="32"/>
          <w:szCs w:val="32"/>
          <w:lang w:val="en-US" w:eastAsia="zh-CN"/>
        </w:rPr>
        <w:t>204.4万元，分布构成为房屋2483平方米</w:t>
      </w:r>
      <w:r>
        <w:rPr>
          <w:rFonts w:hint="eastAsia" w:ascii="仿宋_GB2312" w:hAnsi="仿宋_GB2312" w:eastAsia="仿宋_GB2312" w:cs="仿宋_GB2312"/>
          <w:color w:val="auto"/>
          <w:sz w:val="32"/>
          <w:szCs w:val="32"/>
          <w:lang w:eastAsia="zh-CN"/>
        </w:rPr>
        <w:t>，价值</w:t>
      </w:r>
      <w:r>
        <w:rPr>
          <w:rFonts w:hint="eastAsia" w:ascii="仿宋_GB2312" w:hAnsi="仿宋_GB2312" w:eastAsia="仿宋_GB2312" w:cs="仿宋_GB2312"/>
          <w:color w:val="auto"/>
          <w:sz w:val="32"/>
          <w:szCs w:val="32"/>
          <w:lang w:val="en-US" w:eastAsia="zh-CN"/>
        </w:rPr>
        <w:t>193.95万元，本年与上年相比无变化；无车辆；其他办公设备10.45万元，本年比上年减少了1.52万元，主要原因是处置了部分已报废的办公桌椅和电脑、空调等办公设备。</w:t>
      </w:r>
    </w:p>
    <w:p>
      <w:pPr>
        <w:keepNext w:val="0"/>
        <w:keepLines w:val="0"/>
        <w:pageBreakBefore w:val="0"/>
        <w:numPr>
          <w:ilvl w:val="0"/>
          <w:numId w:val="0"/>
        </w:numPr>
        <w:kinsoku/>
        <w:wordWrap/>
        <w:overflowPunct/>
        <w:topLinePunct w:val="0"/>
        <w:bidi w:val="0"/>
        <w:spacing w:beforeAutospacing="0" w:afterAutospacing="0" w:line="560" w:lineRule="exact"/>
        <w:ind w:leftChars="200" w:right="0" w:rightChars="0" w:firstLine="320" w:firstLineChars="1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其中：50万元以上大型设备0台（套），单位价值100万元以上大型设备0台（套）。</w:t>
      </w:r>
    </w:p>
    <w:p>
      <w:pPr>
        <w:pStyle w:val="4"/>
        <w:spacing w:before="0" w:after="0" w:line="584" w:lineRule="exact"/>
        <w:ind w:firstLine="643" w:firstLineChars="200"/>
        <w:rPr>
          <w:rFonts w:eastAsia="楷体_GB2312"/>
        </w:rPr>
      </w:pPr>
      <w:r>
        <w:rPr>
          <w:rFonts w:eastAsia="楷体_GB2312"/>
        </w:rPr>
        <w:t>（四）其他需要说明的情况</w:t>
      </w:r>
    </w:p>
    <w:p>
      <w:pPr>
        <w:adjustRightInd w:val="0"/>
        <w:snapToGrid w:val="0"/>
        <w:spacing w:line="584" w:lineRule="exact"/>
        <w:ind w:firstLine="640" w:firstLineChars="200"/>
        <w:rPr>
          <w:rFonts w:eastAsia="仿宋_GB2312"/>
          <w:sz w:val="32"/>
          <w:szCs w:val="32"/>
        </w:rPr>
      </w:pPr>
      <w:r>
        <w:rPr>
          <w:rFonts w:eastAsia="仿宋_GB2312"/>
          <w:sz w:val="32"/>
          <w:szCs w:val="32"/>
        </w:rPr>
        <w:t>1、由于决算公开表格中金额数值应当保留两位小数，公开数据为四舍五入计算结果，个别数据合计项与分项之和存在小数点后差额，特此说明。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rPr>
          <w:rFonts w:eastAsia="仿宋_GB2312"/>
          <w:sz w:val="32"/>
          <w:szCs w:val="32"/>
        </w:rPr>
      </w:pPr>
    </w:p>
    <w:p>
      <w:pPr>
        <w:adjustRightInd w:val="0"/>
        <w:snapToGrid w:val="0"/>
        <w:spacing w:line="584" w:lineRule="exact"/>
        <w:rPr>
          <w:rFonts w:eastAsia="仿宋_GB2312"/>
          <w:sz w:val="32"/>
          <w:szCs w:val="32"/>
        </w:rPr>
      </w:pPr>
    </w:p>
    <w:p>
      <w:pPr>
        <w:pStyle w:val="2"/>
        <w:spacing w:before="0" w:after="0" w:line="584" w:lineRule="exact"/>
        <w:jc w:val="center"/>
      </w:pPr>
      <w:r>
        <w:t>四部分名词解释</w:t>
      </w:r>
    </w:p>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footerReference r:id="rId3" w:type="default"/>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FE"/>
    <w:rsid w:val="00075850"/>
    <w:rsid w:val="00085768"/>
    <w:rsid w:val="00143EFE"/>
    <w:rsid w:val="00637E7F"/>
    <w:rsid w:val="00A33F82"/>
    <w:rsid w:val="06F11785"/>
    <w:rsid w:val="0D7A5EB6"/>
    <w:rsid w:val="29EF3F79"/>
    <w:rsid w:val="2B8E2BF9"/>
    <w:rsid w:val="350A54F0"/>
    <w:rsid w:val="3E9B580D"/>
    <w:rsid w:val="412135B4"/>
    <w:rsid w:val="50D95FF0"/>
    <w:rsid w:val="5376538D"/>
    <w:rsid w:val="5676669C"/>
    <w:rsid w:val="57581935"/>
    <w:rsid w:val="632971DC"/>
    <w:rsid w:val="6B1271C7"/>
    <w:rsid w:val="7D033D15"/>
    <w:rsid w:val="7F9A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rFonts w:ascii="Times New Roman" w:hAnsi="Times New Roman" w:eastAsia="宋体" w:cs="Times New Roman"/>
      <w:b/>
      <w:bCs/>
      <w:kern w:val="44"/>
      <w:sz w:val="44"/>
      <w:szCs w:val="44"/>
    </w:rPr>
  </w:style>
  <w:style w:type="character" w:customStyle="1" w:styleId="10">
    <w:name w:val="标题 2 Char"/>
    <w:basedOn w:val="8"/>
    <w:link w:val="3"/>
    <w:qFormat/>
    <w:uiPriority w:val="9"/>
    <w:rPr>
      <w:rFonts w:ascii="Cambria" w:hAnsi="Cambria" w:eastAsia="宋体" w:cs="Times New Roman"/>
      <w:b/>
      <w:bCs/>
      <w:sz w:val="32"/>
      <w:szCs w:val="32"/>
    </w:rPr>
  </w:style>
  <w:style w:type="character" w:customStyle="1" w:styleId="11">
    <w:name w:val="标题 3 Char"/>
    <w:basedOn w:val="8"/>
    <w:link w:val="4"/>
    <w:qFormat/>
    <w:uiPriority w:val="9"/>
    <w:rPr>
      <w:rFonts w:ascii="Times New Roman" w:hAnsi="Times New Roman" w:eastAsia="宋体" w:cs="Times New Roman"/>
      <w:b/>
      <w:bCs/>
      <w:sz w:val="32"/>
      <w:szCs w:val="32"/>
    </w:rPr>
  </w:style>
  <w:style w:type="character" w:customStyle="1" w:styleId="12">
    <w:name w:val="页脚 Char"/>
    <w:basedOn w:val="8"/>
    <w:link w:val="5"/>
    <w:qFormat/>
    <w:uiPriority w:val="99"/>
    <w:rPr>
      <w:rFonts w:ascii="Times New Roman" w:hAnsi="Times New Roman" w:eastAsia="宋体" w:cs="Times New Roman"/>
      <w:sz w:val="18"/>
      <w:szCs w:val="18"/>
    </w:rPr>
  </w:style>
  <w:style w:type="character" w:customStyle="1" w:styleId="13">
    <w:name w:val="页眉 Char"/>
    <w:basedOn w:val="8"/>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763</Words>
  <Characters>4350</Characters>
  <Lines>36</Lines>
  <Paragraphs>10</Paragraphs>
  <TotalTime>24</TotalTime>
  <ScaleCrop>false</ScaleCrop>
  <LinksUpToDate>false</LinksUpToDate>
  <CharactersWithSpaces>5103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Administrator</cp:lastModifiedBy>
  <cp:lastPrinted>2019-01-23T07:35:00Z</cp:lastPrinted>
  <dcterms:modified xsi:type="dcterms:W3CDTF">2022-03-23T07:05:11Z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