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sz w:val="84"/>
          <w:szCs w:val="84"/>
        </w:rPr>
      </w:pPr>
      <w:bookmarkStart w:id="0" w:name="_GoBack"/>
      <w:bookmarkEnd w:id="0"/>
    </w:p>
    <w:p>
      <w:pPr>
        <w:widowControl/>
        <w:spacing w:line="1200" w:lineRule="exact"/>
        <w:jc w:val="center"/>
        <w:rPr>
          <w:sz w:val="84"/>
          <w:szCs w:val="84"/>
        </w:rPr>
      </w:pPr>
    </w:p>
    <w:p>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w:t>
      </w:r>
    </w:p>
    <w:p>
      <w:pPr>
        <w:widowControl/>
        <w:spacing w:line="1200" w:lineRule="exact"/>
        <w:jc w:val="center"/>
        <w:rPr>
          <w:color w:val="000000"/>
          <w:sz w:val="96"/>
          <w:szCs w:val="96"/>
        </w:rPr>
      </w:pPr>
      <w:r>
        <w:rPr>
          <w:sz w:val="84"/>
          <w:szCs w:val="84"/>
        </w:rPr>
        <w:t>公开</w:t>
      </w: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ind w:firstLine="1767" w:firstLineChars="400"/>
        <w:rPr>
          <w:rFonts w:ascii="楷体" w:eastAsia="楷体" w:cs="楷体"/>
          <w:b/>
          <w:sz w:val="44"/>
          <w:szCs w:val="44"/>
        </w:rPr>
        <w:sectPr>
          <w:pgSz w:w="11906" w:h="16838"/>
          <w:pgMar w:top="1588" w:right="2098" w:bottom="1474" w:left="1985" w:header="851" w:footer="992" w:gutter="0"/>
          <w:cols w:space="720" w:num="1"/>
          <w:docGrid w:type="lines" w:linePitch="312" w:charSpace="0"/>
        </w:sectPr>
      </w:pPr>
      <w:r>
        <w:rPr>
          <w:rFonts w:hint="eastAsia"/>
          <w:b/>
          <w:sz w:val="44"/>
          <w:szCs w:val="44"/>
        </w:rPr>
        <w:t>中共大城县老干部局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大城县老干部局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  部门概况</w:t>
      </w:r>
    </w:p>
    <w:p>
      <w:pPr>
        <w:jc w:val="center"/>
      </w:pPr>
    </w:p>
    <w:p/>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一、负责贯彻落实党中央、国务院、省委、省政府、市委、市政府和县委县政府关于老干部工作的方针、政策、规定；向县委、县政府报告全县老干部工作情况，并提出意见和建议；协助县委县政府制定、完善本县老干部工作的政策、规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二、指导全县各单位落实老干部工作的方针、政策、规定，并对具体执行情况进行督促、检查。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三、调查研究落实老干部政治待遇和生活待遇工作中存在的问题，并协助有关部门提出解决办法。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四、指导老干部党支部建设和老干部思想政治工作。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五、负责宣传老干部的历史功绩、现实作用和先进事迹，以及老干部工作的重要意义；引导老干部在新形势下发挥作用；总结老干部工作经验，表彰优秀老干部和老干部先进机构及个人。</w:t>
      </w:r>
    </w:p>
    <w:p>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560" w:lineRule="exact"/>
        <w:rPr>
          <w:rFonts w:ascii="仿宋_GB2312" w:eastAsia="仿宋_GB2312" w:cs="仿宋_GB2312"/>
          <w:sz w:val="32"/>
        </w:rPr>
      </w:pPr>
      <w:r>
        <w:rPr>
          <w:rFonts w:hint="eastAsia" w:ascii="仿宋_GB2312" w:eastAsia="仿宋_GB2312" w:cs="仿宋_GB2312"/>
          <w:sz w:val="32"/>
        </w:rPr>
        <w:t xml:space="preserve">    六、承办县委、县政府和上级有关部门交办的其他事项。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七、处理老干部来信来访；报告老干部工作信息；负责易地安置老干部的服务和管理工作。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八、抓好本县老干部工作队伍的自身建设。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sz w:val="32"/>
        </w:rPr>
      </w:pPr>
      <w:r>
        <w:rPr>
          <w:rFonts w:hint="eastAsia" w:ascii="仿宋_GB2312" w:eastAsia="仿宋_GB2312" w:cs="仿宋_GB2312"/>
          <w:sz w:val="32"/>
        </w:rPr>
        <w:t>九、负责局管老干部的服务管理工作；按照有关规定接待外地来我县老干部和有关人员。</w:t>
      </w:r>
    </w:p>
    <w:p>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560" w:lineRule="exact"/>
        <w:rPr>
          <w:rFonts w:ascii="仿宋_GB2312" w:eastAsia="仿宋_GB2312" w:cs="仿宋_GB2312"/>
          <w:sz w:val="32"/>
        </w:rPr>
      </w:pPr>
      <w:r>
        <w:rPr>
          <w:rFonts w:hint="eastAsia" w:ascii="仿宋_GB2312" w:eastAsia="仿宋_GB2312" w:cs="仿宋_GB2312"/>
          <w:sz w:val="32"/>
        </w:rPr>
        <w:t xml:space="preserve">    十、负责承担中共大城县委老干部工作领导小组办公室的日常工作。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cs="仿宋_GB2312"/>
          <w:color w:val="333333"/>
          <w:kern w:val="0"/>
          <w:sz w:val="32"/>
          <w:szCs w:val="32"/>
          <w:shd w:val="clear" w:color="auto" w:fill="FFFFFF"/>
        </w:rPr>
      </w:pPr>
      <w:r>
        <w:rPr>
          <w:rFonts w:hint="eastAsia" w:ascii="仿宋_GB2312" w:eastAsia="仿宋_GB2312" w:cs="仿宋_GB2312"/>
          <w:sz w:val="32"/>
        </w:rPr>
        <w:t>十一、指导各单位老干部活动站（室）的建设和管理；组织、指导老干部开展健康科学的文化健身、健康修养、参观全县建设成就等活动。</w:t>
      </w:r>
    </w:p>
    <w:p>
      <w:pPr>
        <w:autoSpaceDE w:val="0"/>
        <w:autoSpaceDN w:val="0"/>
        <w:adjustRightInd w:val="0"/>
        <w:spacing w:line="584" w:lineRule="exact"/>
        <w:jc w:val="left"/>
        <w:rPr>
          <w:rFonts w:eastAsia="仿宋_GB2312"/>
          <w:kern w:val="0"/>
          <w:sz w:val="32"/>
          <w:szCs w:val="32"/>
        </w:rPr>
      </w:pP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w:t>
      </w:r>
      <w:r>
        <w:rPr>
          <w:rFonts w:hint="eastAsia" w:ascii="Times New Roman" w:hAnsi="Times New Roman" w:eastAsia="黑体"/>
          <w:kern w:val="0"/>
        </w:rPr>
        <w:t>中共大城县委老干部局</w:t>
      </w:r>
      <w:r>
        <w:rPr>
          <w:rFonts w:ascii="Times New Roman" w:hAnsi="Times New Roman" w:eastAsia="黑体"/>
          <w:kern w:val="0"/>
        </w:rPr>
        <w:t>部门决算单位构成</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p>
      <w:pPr>
        <w:spacing w:line="560" w:lineRule="exact"/>
        <w:outlineLvl w:val="0"/>
        <w:rPr>
          <w:rFonts w:ascii="仿宋_GB2312" w:eastAsia="仿宋_GB2312" w:cs="仿宋_GB2312"/>
          <w:sz w:val="32"/>
        </w:rPr>
      </w:pPr>
    </w:p>
    <w:tbl>
      <w:tblPr>
        <w:tblStyle w:val="13"/>
        <w:tblW w:w="96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5292"/>
        <w:gridCol w:w="1934"/>
        <w:gridCol w:w="1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blHeader/>
          <w:jc w:val="center"/>
        </w:trPr>
        <w:tc>
          <w:tcPr>
            <w:tcW w:w="852" w:type="dxa"/>
            <w:vMerge w:val="restart"/>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5292" w:type="dxa"/>
            <w:vMerge w:val="restart"/>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1934" w:type="dxa"/>
            <w:vMerge w:val="restart"/>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611" w:type="dxa"/>
            <w:vMerge w:val="restart"/>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4" w:hRule="atLeast"/>
          <w:tblHeader/>
          <w:jc w:val="center"/>
        </w:trPr>
        <w:tc>
          <w:tcPr>
            <w:tcW w:w="852" w:type="dxa"/>
            <w:vMerge w:val="continue"/>
            <w:vAlign w:val="center"/>
          </w:tcPr>
          <w:p/>
        </w:tc>
        <w:tc>
          <w:tcPr>
            <w:tcW w:w="5292" w:type="dxa"/>
            <w:vMerge w:val="continue"/>
            <w:vAlign w:val="center"/>
          </w:tcPr>
          <w:p/>
        </w:tc>
        <w:tc>
          <w:tcPr>
            <w:tcW w:w="1934" w:type="dxa"/>
            <w:vMerge w:val="continue"/>
            <w:vAlign w:val="center"/>
          </w:tcPr>
          <w:p/>
        </w:tc>
        <w:tc>
          <w:tcPr>
            <w:tcW w:w="1611"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852"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1</w:t>
            </w:r>
          </w:p>
        </w:tc>
        <w:tc>
          <w:tcPr>
            <w:tcW w:w="5292"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中共河北省大城县委老干部局 (本级)</w:t>
            </w:r>
          </w:p>
        </w:tc>
        <w:tc>
          <w:tcPr>
            <w:tcW w:w="1934"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行政单位</w:t>
            </w:r>
          </w:p>
        </w:tc>
        <w:tc>
          <w:tcPr>
            <w:tcW w:w="1611"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财政拨款</w:t>
            </w:r>
          </w:p>
        </w:tc>
      </w:tr>
    </w:tbl>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widowControl/>
        <w:spacing w:line="1200" w:lineRule="exact"/>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第二部分</w:t>
      </w:r>
    </w:p>
    <w:p>
      <w:pPr>
        <w:widowControl/>
        <w:spacing w:line="1200" w:lineRule="exact"/>
        <w:jc w:val="center"/>
        <w:rPr>
          <w:rFonts w:eastAsia="黑体"/>
          <w:color w:val="000000"/>
          <w:sz w:val="72"/>
          <w:szCs w:val="72"/>
        </w:rPr>
      </w:pPr>
      <w:r>
        <w:rPr>
          <w:rFonts w:hint="eastAsia" w:ascii="黑体" w:eastAsia="黑体"/>
          <w:color w:val="000000"/>
          <w:sz w:val="72"/>
          <w:szCs w:val="72"/>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5"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eastAsia="仿宋_GB2312"/>
          <w:sz w:val="32"/>
          <w:szCs w:val="32"/>
        </w:rPr>
        <w:t>2018</w:t>
      </w:r>
      <w:r>
        <w:rPr>
          <w:rFonts w:hint="eastAsia" w:ascii="仿宋_GB2312" w:eastAsia="仿宋_GB2312" w:cs="仿宋_GB2312"/>
          <w:sz w:val="32"/>
          <w:szCs w:val="32"/>
        </w:rPr>
        <w:t>年度年初结转和结余</w:t>
      </w:r>
      <w:r>
        <w:rPr>
          <w:rFonts w:eastAsia="仿宋_GB2312"/>
          <w:sz w:val="32"/>
          <w:szCs w:val="32"/>
        </w:rPr>
        <w:t>2.36</w:t>
      </w:r>
      <w:r>
        <w:rPr>
          <w:rFonts w:hint="eastAsia" w:ascii="仿宋_GB2312" w:eastAsia="仿宋_GB2312" w:cs="仿宋_GB2312"/>
          <w:sz w:val="32"/>
          <w:szCs w:val="32"/>
        </w:rPr>
        <w:t>万元，本年收入</w:t>
      </w:r>
      <w:r>
        <w:rPr>
          <w:rFonts w:eastAsia="仿宋_GB2312"/>
          <w:sz w:val="32"/>
          <w:szCs w:val="32"/>
        </w:rPr>
        <w:t>1,053.85</w:t>
      </w:r>
      <w:r>
        <w:rPr>
          <w:rFonts w:hint="eastAsia" w:ascii="仿宋_GB2312" w:eastAsia="仿宋_GB2312" w:cs="仿宋_GB2312"/>
          <w:sz w:val="32"/>
          <w:szCs w:val="32"/>
        </w:rPr>
        <w:t>万元，本年支出</w:t>
      </w:r>
      <w:r>
        <w:rPr>
          <w:rFonts w:eastAsia="仿宋_GB2312"/>
          <w:sz w:val="32"/>
          <w:szCs w:val="32"/>
        </w:rPr>
        <w:t>1,039.59</w:t>
      </w:r>
      <w:r>
        <w:rPr>
          <w:rFonts w:hint="eastAsia" w:ascii="仿宋_GB2312" w:eastAsia="仿宋_GB2312" w:cs="仿宋_GB2312"/>
          <w:sz w:val="32"/>
          <w:szCs w:val="32"/>
        </w:rPr>
        <w:t>万元，用事业基金弥补收支差额</w:t>
      </w:r>
      <w:r>
        <w:rPr>
          <w:rFonts w:eastAsia="仿宋_GB2312"/>
          <w:sz w:val="32"/>
          <w:szCs w:val="32"/>
        </w:rPr>
        <w:t>0</w:t>
      </w:r>
      <w:r>
        <w:rPr>
          <w:rFonts w:hint="eastAsia" w:ascii="仿宋_GB2312" w:eastAsia="仿宋_GB2312" w:cs="仿宋_GB2312"/>
          <w:sz w:val="32"/>
          <w:szCs w:val="32"/>
        </w:rPr>
        <w:t>万元，结余分配</w:t>
      </w:r>
      <w:r>
        <w:rPr>
          <w:rFonts w:eastAsia="仿宋_GB2312"/>
          <w:sz w:val="32"/>
          <w:szCs w:val="32"/>
        </w:rPr>
        <w:t>0</w:t>
      </w:r>
      <w:r>
        <w:rPr>
          <w:rFonts w:hint="eastAsia" w:ascii="仿宋_GB2312" w:eastAsia="仿宋_GB2312" w:cs="仿宋_GB2312"/>
          <w:sz w:val="32"/>
          <w:szCs w:val="32"/>
        </w:rPr>
        <w:t>万元，年末结转和结余</w:t>
      </w:r>
      <w:r>
        <w:rPr>
          <w:rFonts w:eastAsia="仿宋_GB2312"/>
          <w:sz w:val="32"/>
          <w:szCs w:val="32"/>
        </w:rPr>
        <w:t>16.63</w:t>
      </w:r>
      <w:r>
        <w:rPr>
          <w:rFonts w:hint="eastAsia" w:ascii="仿宋_GB2312" w:eastAsia="仿宋_GB2312" w:cs="仿宋_GB2312"/>
          <w:sz w:val="32"/>
          <w:szCs w:val="32"/>
        </w:rPr>
        <w:t>万元。</w:t>
      </w:r>
      <w:r>
        <w:rPr>
          <w:rFonts w:hint="eastAsia" w:ascii="Calibri" w:hAnsi="Calibri" w:eastAsia="仿宋_GB2312"/>
          <w:sz w:val="32"/>
          <w:szCs w:val="32"/>
        </w:rPr>
        <w:t>比2017年决算收入增加11.28万元，增长1.08%，主要是增加了人员工资及保险支出等。支出部分：比2017年决算支出减少0.78万元，减少0.07%，主要是离休干部药费等支出。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1024" behindDoc="0" locked="0" layoutInCell="1" allowOverlap="1">
            <wp:simplePos x="0" y="0"/>
            <wp:positionH relativeFrom="column">
              <wp:posOffset>-103505</wp:posOffset>
            </wp:positionH>
            <wp:positionV relativeFrom="paragraph">
              <wp:posOffset>988695</wp:posOffset>
            </wp:positionV>
            <wp:extent cx="5762625" cy="28384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762625" cy="2838450"/>
                    </a:xfrm>
                    <a:prstGeom prst="rect">
                      <a:avLst/>
                    </a:prstGeom>
                    <a:noFill/>
                    <a:ln w="9525" cap="flat" cmpd="sng">
                      <a:noFill/>
                      <a:prstDash val="solid"/>
                      <a:miter/>
                    </a:ln>
                  </pic:spPr>
                </pic:pic>
              </a:graphicData>
            </a:graphic>
          </wp:anchor>
        </w:drawing>
      </w:r>
      <w:r>
        <w:rPr>
          <w:rFonts w:hint="eastAsia" w:ascii="仿宋_GB2312" w:eastAsia="仿宋_GB2312" w:cs="DengXian-Regular"/>
          <w:sz w:val="32"/>
          <w:szCs w:val="32"/>
        </w:rPr>
        <w:t xml:space="preserve"> 本部门2018年度本年收入1053.85万元，其中：财政拨款收入1051.85万元，占99.73%，其他收入2.8万元，占0.27%。如图所示：</w:t>
      </w:r>
    </w:p>
    <w:p>
      <w:pPr>
        <w:adjustRightInd w:val="0"/>
        <w:snapToGrid w:val="0"/>
        <w:spacing w:after="0" w:line="580" w:lineRule="exact"/>
        <w:jc w:val="center"/>
        <w:rPr>
          <w:rFonts w:ascii="仿宋_GB2312" w:eastAsia="仿宋_GB2312" w:cs="DengXian-Regular"/>
          <w:sz w:val="32"/>
          <w:szCs w:val="32"/>
        </w:rPr>
      </w:pPr>
      <w:r>
        <w:rPr>
          <w:rFonts w:hint="eastAsia" w:ascii="仿宋_GB2312" w:eastAsia="仿宋_GB2312" w:cs="DengXian-Regular"/>
          <w:sz w:val="32"/>
          <w:szCs w:val="32"/>
        </w:rPr>
        <w:t>图1：</w:t>
      </w:r>
      <w:r>
        <w:rPr>
          <w:rFonts w:ascii="仿宋_GB2312" w:eastAsia="仿宋_GB2312" w:cs="DengXian-Regular"/>
          <w:sz w:val="32"/>
          <w:szCs w:val="32"/>
        </w:rPr>
        <w:t>收入决算结构饼状图</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本部门2018年度本年支出合计1039.59万元，其中：基本支出1039.59万元，占100%项目。如图所示：</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drawing>
          <wp:anchor distT="0" distB="0" distL="114300" distR="114300" simplePos="0" relativeHeight="1024" behindDoc="0" locked="0" layoutInCell="1" allowOverlap="1">
            <wp:simplePos x="0" y="0"/>
            <wp:positionH relativeFrom="column">
              <wp:posOffset>-55245</wp:posOffset>
            </wp:positionH>
            <wp:positionV relativeFrom="paragraph">
              <wp:posOffset>511810</wp:posOffset>
            </wp:positionV>
            <wp:extent cx="5867400" cy="368617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stretch>
                      <a:fillRect/>
                    </a:stretch>
                  </pic:blipFill>
                  <pic:spPr>
                    <a:xfrm>
                      <a:off x="0" y="0"/>
                      <a:ext cx="5867400" cy="3686175"/>
                    </a:xfrm>
                    <a:prstGeom prst="rect">
                      <a:avLst/>
                    </a:prstGeom>
                    <a:noFill/>
                    <a:ln w="9525" cap="flat" cmpd="sng">
                      <a:noFill/>
                      <a:prstDash val="solid"/>
                      <a:miter/>
                    </a:ln>
                  </pic:spPr>
                </pic:pic>
              </a:graphicData>
            </a:graphic>
          </wp:anchor>
        </w:drawing>
      </w:r>
    </w:p>
    <w:p>
      <w:pPr>
        <w:adjustRightInd w:val="0"/>
        <w:snapToGrid w:val="0"/>
        <w:spacing w:after="0" w:line="580" w:lineRule="exact"/>
        <w:ind w:firstLine="420" w:firstLineChars="200"/>
        <w:jc w:val="center"/>
        <w:rPr>
          <w:rFonts w:eastAsia="仿宋_GB2312"/>
          <w:sz w:val="32"/>
          <w:szCs w:val="32"/>
        </w:rPr>
      </w:pPr>
      <w:r>
        <w:rPr>
          <w:rFonts w:hint="eastAsia"/>
          <w:szCs w:val="32"/>
        </w:rPr>
        <w:t xml:space="preserve"> </w:t>
      </w:r>
      <w:r>
        <w:rPr>
          <w:rFonts w:eastAsia="仿宋_GB2312"/>
          <w:sz w:val="32"/>
          <w:szCs w:val="32"/>
        </w:rPr>
        <w:t>图2：支出决算结构饼状</w:t>
      </w:r>
      <w:r>
        <w:rPr>
          <w:rFonts w:hint="eastAsia" w:eastAsia="仿宋_GB2312"/>
          <w:sz w:val="32"/>
          <w:szCs w:val="32"/>
        </w:rPr>
        <w:t>图</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600" w:lineRule="exact"/>
        <w:ind w:firstLine="640" w:firstLineChars="200"/>
        <w:rPr>
          <w:rFonts w:eastAsia="仿宋_GB2312"/>
          <w:sz w:val="32"/>
          <w:szCs w:val="32"/>
        </w:rPr>
      </w:pPr>
      <w:r>
        <w:rPr>
          <w:rFonts w:hint="eastAsia" w:ascii="仿宋_GB2312" w:eastAsia="仿宋_GB2312" w:cs="DengXian-Regular"/>
          <w:sz w:val="32"/>
          <w:szCs w:val="32"/>
        </w:rPr>
        <w:t>本部门</w:t>
      </w:r>
      <w:r>
        <w:rPr>
          <w:rFonts w:eastAsia="仿宋_GB2312"/>
          <w:sz w:val="32"/>
          <w:szCs w:val="32"/>
        </w:rPr>
        <w:t>2018</w:t>
      </w:r>
      <w:r>
        <w:rPr>
          <w:rFonts w:hint="eastAsia" w:ascii="仿宋_GB2312" w:eastAsia="仿宋_GB2312" w:cs="仿宋_GB2312"/>
          <w:sz w:val="32"/>
          <w:szCs w:val="32"/>
        </w:rPr>
        <w:t>年度，财政拨款收入</w:t>
      </w:r>
      <w:r>
        <w:rPr>
          <w:rFonts w:eastAsia="仿宋_GB2312"/>
          <w:sz w:val="32"/>
          <w:szCs w:val="32"/>
        </w:rPr>
        <w:t>1,05</w:t>
      </w:r>
      <w:r>
        <w:rPr>
          <w:rFonts w:hint="eastAsia" w:eastAsia="仿宋_GB2312"/>
          <w:sz w:val="32"/>
          <w:szCs w:val="32"/>
        </w:rPr>
        <w:t>1.0</w:t>
      </w:r>
      <w:r>
        <w:rPr>
          <w:rFonts w:eastAsia="仿宋_GB2312"/>
          <w:sz w:val="32"/>
          <w:szCs w:val="32"/>
        </w:rPr>
        <w:t>5</w:t>
      </w:r>
      <w:r>
        <w:rPr>
          <w:rFonts w:hint="eastAsia" w:ascii="仿宋_GB2312" w:eastAsia="仿宋_GB2312" w:cs="仿宋_GB2312"/>
          <w:sz w:val="32"/>
          <w:szCs w:val="32"/>
        </w:rPr>
        <w:t>万元，本年支出</w:t>
      </w:r>
      <w:r>
        <w:rPr>
          <w:rFonts w:eastAsia="仿宋_GB2312"/>
          <w:sz w:val="32"/>
          <w:szCs w:val="32"/>
        </w:rPr>
        <w:t>1,03</w:t>
      </w:r>
      <w:r>
        <w:rPr>
          <w:rFonts w:hint="eastAsia" w:eastAsia="仿宋_GB2312"/>
          <w:sz w:val="32"/>
          <w:szCs w:val="32"/>
        </w:rPr>
        <w:t>6.79</w:t>
      </w:r>
      <w:r>
        <w:rPr>
          <w:rFonts w:hint="eastAsia" w:ascii="仿宋_GB2312" w:eastAsia="仿宋_GB2312" w:cs="仿宋_GB2312"/>
          <w:sz w:val="32"/>
          <w:szCs w:val="32"/>
        </w:rPr>
        <w:t>万元。</w:t>
      </w:r>
      <w:r>
        <w:rPr>
          <w:rFonts w:eastAsia="仿宋_GB2312"/>
          <w:sz w:val="32"/>
          <w:szCs w:val="32"/>
        </w:rPr>
        <w:t>与201</w:t>
      </w:r>
      <w:r>
        <w:rPr>
          <w:rFonts w:hint="eastAsia" w:eastAsia="仿宋_GB2312"/>
          <w:sz w:val="32"/>
          <w:szCs w:val="32"/>
        </w:rPr>
        <w:t>7</w:t>
      </w:r>
      <w:r>
        <w:rPr>
          <w:rFonts w:eastAsia="仿宋_GB2312"/>
          <w:sz w:val="32"/>
          <w:szCs w:val="32"/>
        </w:rPr>
        <w:t>年度决算相比，财政拨款本年收入增加</w:t>
      </w:r>
      <w:r>
        <w:rPr>
          <w:rFonts w:hint="eastAsia" w:eastAsia="仿宋_GB2312"/>
          <w:sz w:val="32"/>
          <w:szCs w:val="32"/>
        </w:rPr>
        <w:t>12.38</w:t>
      </w:r>
      <w:r>
        <w:rPr>
          <w:rFonts w:eastAsia="仿宋_GB2312"/>
          <w:sz w:val="32"/>
          <w:szCs w:val="32"/>
        </w:rPr>
        <w:t>万元，增长</w:t>
      </w:r>
      <w:r>
        <w:rPr>
          <w:rFonts w:hint="eastAsia" w:eastAsia="仿宋_GB2312"/>
          <w:sz w:val="32"/>
          <w:szCs w:val="32"/>
        </w:rPr>
        <w:t>1.19</w:t>
      </w:r>
      <w:r>
        <w:rPr>
          <w:rFonts w:eastAsia="仿宋_GB2312"/>
          <w:sz w:val="32"/>
          <w:szCs w:val="32"/>
        </w:rPr>
        <w:t>%，主要原因是</w:t>
      </w:r>
      <w:r>
        <w:rPr>
          <w:rFonts w:hint="eastAsia" w:eastAsia="仿宋_GB2312"/>
          <w:sz w:val="32"/>
          <w:szCs w:val="32"/>
        </w:rPr>
        <w:t>在职人员工资养老保险各项缴费增加</w:t>
      </w:r>
      <w:r>
        <w:rPr>
          <w:rFonts w:eastAsia="仿宋_GB2312"/>
          <w:sz w:val="32"/>
          <w:szCs w:val="32"/>
        </w:rPr>
        <w:t>；本年支出增加</w:t>
      </w:r>
      <w:r>
        <w:rPr>
          <w:rFonts w:hint="eastAsia" w:eastAsia="仿宋_GB2312"/>
          <w:sz w:val="32"/>
          <w:szCs w:val="32"/>
        </w:rPr>
        <w:t>0.32</w:t>
      </w:r>
      <w:r>
        <w:rPr>
          <w:rFonts w:eastAsia="仿宋_GB2312"/>
          <w:sz w:val="32"/>
          <w:szCs w:val="32"/>
        </w:rPr>
        <w:t>万元，增长</w:t>
      </w:r>
      <w:r>
        <w:rPr>
          <w:rFonts w:hint="eastAsia" w:eastAsia="仿宋_GB2312"/>
          <w:sz w:val="32"/>
          <w:szCs w:val="32"/>
        </w:rPr>
        <w:t>0.03</w:t>
      </w:r>
      <w:r>
        <w:rPr>
          <w:rFonts w:eastAsia="仿宋_GB2312"/>
          <w:sz w:val="32"/>
          <w:szCs w:val="32"/>
        </w:rPr>
        <w:t>%，主要原因是</w:t>
      </w:r>
      <w:r>
        <w:rPr>
          <w:rFonts w:hint="eastAsia" w:eastAsia="仿宋_GB2312"/>
          <w:sz w:val="32"/>
          <w:szCs w:val="32"/>
        </w:rPr>
        <w:t>在职人员工资养老保险各项缴费增加</w:t>
      </w:r>
      <w:r>
        <w:rPr>
          <w:rFonts w:eastAsia="仿宋_GB2312"/>
          <w:sz w:val="32"/>
          <w:szCs w:val="32"/>
        </w:rPr>
        <w:t>。其中，一般公共预算财</w:t>
      </w:r>
      <w:r>
        <w:rPr>
          <w:rFonts w:hint="eastAsia" w:eastAsia="仿宋_GB2312"/>
          <w:sz w:val="32"/>
          <w:szCs w:val="32"/>
        </w:rPr>
        <w:t>政</w:t>
      </w:r>
    </w:p>
    <w:p>
      <w:pPr>
        <w:adjustRightInd w:val="0"/>
        <w:snapToGrid w:val="0"/>
        <w:spacing w:after="0" w:line="600" w:lineRule="exact"/>
        <w:rPr>
          <w:rFonts w:ascii="仿宋_GB2312" w:eastAsia="仿宋_GB2312" w:cs="DengXian-Regular"/>
          <w:sz w:val="32"/>
          <w:szCs w:val="32"/>
        </w:rPr>
      </w:pPr>
      <w:r>
        <w:rPr>
          <w:rFonts w:eastAsia="仿宋_GB2312"/>
          <w:sz w:val="32"/>
          <w:szCs w:val="32"/>
        </w:rPr>
        <w:t>拨款年初结转和结余</w:t>
      </w:r>
      <w:r>
        <w:rPr>
          <w:rFonts w:hint="eastAsia" w:eastAsia="仿宋_GB2312"/>
          <w:sz w:val="32"/>
          <w:szCs w:val="32"/>
        </w:rPr>
        <w:t>2.36</w:t>
      </w:r>
      <w:r>
        <w:rPr>
          <w:rFonts w:eastAsia="仿宋_GB2312"/>
          <w:sz w:val="32"/>
          <w:szCs w:val="32"/>
        </w:rPr>
        <w:t>万元、本年收入</w:t>
      </w:r>
      <w:r>
        <w:rPr>
          <w:rFonts w:hint="eastAsia" w:eastAsia="仿宋_GB2312"/>
          <w:sz w:val="32"/>
          <w:szCs w:val="32"/>
        </w:rPr>
        <w:t>1036.05</w:t>
      </w:r>
      <w:r>
        <w:rPr>
          <w:rFonts w:eastAsia="仿宋_GB2312"/>
          <w:sz w:val="32"/>
          <w:szCs w:val="32"/>
        </w:rPr>
        <w:t>万元；本年支出</w:t>
      </w:r>
      <w:r>
        <w:rPr>
          <w:rFonts w:hint="eastAsia" w:eastAsia="仿宋_GB2312"/>
          <w:sz w:val="32"/>
          <w:szCs w:val="32"/>
        </w:rPr>
        <w:t>1021.79</w:t>
      </w:r>
      <w:r>
        <w:rPr>
          <w:rFonts w:eastAsia="仿宋_GB2312"/>
          <w:sz w:val="32"/>
          <w:szCs w:val="32"/>
        </w:rPr>
        <w:t>万元、年末结转和结余</w:t>
      </w:r>
      <w:r>
        <w:rPr>
          <w:rFonts w:hint="eastAsia" w:eastAsia="仿宋_GB2312"/>
          <w:sz w:val="32"/>
          <w:szCs w:val="32"/>
        </w:rPr>
        <w:t>16.63</w:t>
      </w:r>
      <w:r>
        <w:rPr>
          <w:rFonts w:eastAsia="仿宋_GB2312"/>
          <w:sz w:val="32"/>
          <w:szCs w:val="32"/>
        </w:rPr>
        <w:t>万元。与201</w:t>
      </w:r>
      <w:r>
        <w:rPr>
          <w:rFonts w:hint="eastAsia" w:eastAsia="仿宋_GB2312"/>
          <w:sz w:val="32"/>
          <w:szCs w:val="32"/>
        </w:rPr>
        <w:t>7</w:t>
      </w:r>
      <w:r>
        <w:rPr>
          <w:rFonts w:eastAsia="仿宋_GB2312"/>
          <w:sz w:val="32"/>
          <w:szCs w:val="32"/>
        </w:rPr>
        <w:t>年度决算相比，一般公共预算财政拨款本年收入</w:t>
      </w:r>
      <w:r>
        <w:rPr>
          <w:rFonts w:hint="eastAsia" w:eastAsia="仿宋_GB2312"/>
          <w:sz w:val="32"/>
          <w:szCs w:val="32"/>
        </w:rPr>
        <w:t>增加9.48</w:t>
      </w:r>
      <w:r>
        <w:rPr>
          <w:rFonts w:eastAsia="仿宋_GB2312"/>
          <w:sz w:val="32"/>
          <w:szCs w:val="32"/>
        </w:rPr>
        <w:t>万元，</w:t>
      </w:r>
      <w:r>
        <w:rPr>
          <w:rFonts w:hint="eastAsia" w:eastAsia="仿宋_GB2312"/>
          <w:sz w:val="32"/>
          <w:szCs w:val="32"/>
        </w:rPr>
        <w:t>增长0.92</w:t>
      </w:r>
      <w:r>
        <w:rPr>
          <w:rFonts w:eastAsia="仿宋_GB2312"/>
          <w:sz w:val="32"/>
          <w:szCs w:val="32"/>
        </w:rPr>
        <w:t xml:space="preserve"> %，主要原因是</w:t>
      </w:r>
      <w:r>
        <w:rPr>
          <w:rFonts w:hint="eastAsia" w:eastAsia="仿宋_GB2312"/>
          <w:sz w:val="32"/>
          <w:szCs w:val="32"/>
        </w:rPr>
        <w:t>在职人员工资养老保险各项缴费增加</w:t>
      </w:r>
      <w:r>
        <w:rPr>
          <w:rFonts w:eastAsia="仿宋_GB2312"/>
          <w:sz w:val="32"/>
          <w:szCs w:val="32"/>
        </w:rPr>
        <w:t>；本年支出</w:t>
      </w:r>
      <w:r>
        <w:rPr>
          <w:rFonts w:hint="eastAsia" w:eastAsia="仿宋_GB2312"/>
          <w:sz w:val="32"/>
          <w:szCs w:val="32"/>
        </w:rPr>
        <w:t>减少2.58</w:t>
      </w:r>
      <w:r>
        <w:rPr>
          <w:rFonts w:eastAsia="仿宋_GB2312"/>
          <w:sz w:val="32"/>
          <w:szCs w:val="32"/>
        </w:rPr>
        <w:t>万元，</w:t>
      </w:r>
      <w:r>
        <w:rPr>
          <w:rFonts w:hint="eastAsia" w:eastAsia="仿宋_GB2312"/>
          <w:sz w:val="32"/>
          <w:szCs w:val="32"/>
        </w:rPr>
        <w:t>减少0.25</w:t>
      </w:r>
      <w:r>
        <w:rPr>
          <w:rFonts w:eastAsia="仿宋_GB2312"/>
          <w:sz w:val="32"/>
          <w:szCs w:val="32"/>
        </w:rPr>
        <w:t xml:space="preserve"> %，主要原因是</w:t>
      </w:r>
      <w:r>
        <w:rPr>
          <w:rFonts w:hint="eastAsia" w:eastAsia="仿宋_GB2312"/>
          <w:sz w:val="32"/>
          <w:szCs w:val="32"/>
        </w:rPr>
        <w:t>离休干部医疗费减少</w:t>
      </w:r>
      <w:r>
        <w:rPr>
          <w:rFonts w:eastAsia="仿宋_GB2312"/>
          <w:sz w:val="32"/>
          <w:szCs w:val="32"/>
        </w:rPr>
        <w:t>政府性基金预算财政拨款年初结转和结余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15</w:t>
      </w:r>
      <w:r>
        <w:rPr>
          <w:rFonts w:eastAsia="仿宋_GB2312"/>
          <w:sz w:val="32"/>
          <w:szCs w:val="32"/>
        </w:rPr>
        <w:t>万元；本年支出</w:t>
      </w:r>
      <w:r>
        <w:rPr>
          <w:rFonts w:hint="eastAsia" w:eastAsia="仿宋_GB2312"/>
          <w:sz w:val="32"/>
          <w:szCs w:val="32"/>
        </w:rPr>
        <w:t>15</w:t>
      </w:r>
      <w:r>
        <w:rPr>
          <w:rFonts w:eastAsia="仿宋_GB2312"/>
          <w:sz w:val="32"/>
          <w:szCs w:val="32"/>
        </w:rPr>
        <w:t>万元、年末结转和结余</w:t>
      </w:r>
      <w:r>
        <w:rPr>
          <w:rFonts w:hint="eastAsia" w:eastAsia="仿宋_GB2312"/>
          <w:sz w:val="32"/>
          <w:szCs w:val="32"/>
        </w:rPr>
        <w:t>0</w:t>
      </w:r>
      <w:r>
        <w:rPr>
          <w:rFonts w:eastAsia="仿宋_GB2312"/>
          <w:sz w:val="32"/>
          <w:szCs w:val="32"/>
        </w:rPr>
        <w:t>万元。与201</w:t>
      </w:r>
      <w:r>
        <w:rPr>
          <w:rFonts w:hint="eastAsia" w:eastAsia="仿宋_GB2312"/>
          <w:sz w:val="32"/>
          <w:szCs w:val="32"/>
        </w:rPr>
        <w:t>7</w:t>
      </w:r>
      <w:r>
        <w:rPr>
          <w:rFonts w:eastAsia="仿宋_GB2312"/>
          <w:sz w:val="32"/>
          <w:szCs w:val="32"/>
        </w:rPr>
        <w:t>年度决算相比，政府性基金预算财政拨款本年收入增加</w:t>
      </w:r>
      <w:r>
        <w:rPr>
          <w:rFonts w:hint="eastAsia" w:eastAsia="仿宋_GB2312"/>
          <w:sz w:val="32"/>
          <w:szCs w:val="32"/>
        </w:rPr>
        <w:t>2.9</w:t>
      </w:r>
      <w:r>
        <w:rPr>
          <w:rFonts w:eastAsia="仿宋_GB2312"/>
          <w:sz w:val="32"/>
          <w:szCs w:val="32"/>
        </w:rPr>
        <w:t>万元，增长</w:t>
      </w:r>
      <w:r>
        <w:rPr>
          <w:rFonts w:hint="eastAsia" w:eastAsia="仿宋_GB2312"/>
          <w:sz w:val="32"/>
          <w:szCs w:val="32"/>
        </w:rPr>
        <w:t>23.97</w:t>
      </w:r>
      <w:r>
        <w:rPr>
          <w:rFonts w:eastAsia="仿宋_GB2312"/>
          <w:sz w:val="32"/>
          <w:szCs w:val="32"/>
        </w:rPr>
        <w:t>%，主要原因是</w:t>
      </w:r>
      <w:r>
        <w:rPr>
          <w:rFonts w:hint="eastAsia" w:eastAsia="仿宋_GB2312"/>
          <w:sz w:val="32"/>
          <w:szCs w:val="32"/>
        </w:rPr>
        <w:t>老年团体活动经费增加</w:t>
      </w:r>
      <w:r>
        <w:rPr>
          <w:rFonts w:eastAsia="仿宋_GB2312"/>
          <w:sz w:val="32"/>
          <w:szCs w:val="32"/>
        </w:rPr>
        <w:t>；本年支出增加</w:t>
      </w:r>
      <w:r>
        <w:rPr>
          <w:rFonts w:hint="eastAsia" w:eastAsia="仿宋_GB2312"/>
          <w:sz w:val="32"/>
          <w:szCs w:val="32"/>
        </w:rPr>
        <w:t>2.9</w:t>
      </w:r>
      <w:r>
        <w:rPr>
          <w:rFonts w:eastAsia="仿宋_GB2312"/>
          <w:sz w:val="32"/>
          <w:szCs w:val="32"/>
        </w:rPr>
        <w:t>万元，增长</w:t>
      </w:r>
      <w:r>
        <w:rPr>
          <w:rFonts w:hint="eastAsia" w:eastAsia="仿宋_GB2312"/>
          <w:sz w:val="32"/>
          <w:szCs w:val="32"/>
        </w:rPr>
        <w:t>23.97</w:t>
      </w:r>
      <w:r>
        <w:rPr>
          <w:rFonts w:eastAsia="仿宋_GB2312"/>
          <w:sz w:val="32"/>
          <w:szCs w:val="32"/>
        </w:rPr>
        <w:t>%，主要原因是</w:t>
      </w:r>
      <w:r>
        <w:rPr>
          <w:rFonts w:hint="eastAsia" w:eastAsia="仿宋_GB2312"/>
          <w:sz w:val="32"/>
          <w:szCs w:val="32"/>
        </w:rPr>
        <w:t>老年团体活动经费增加。</w:t>
      </w:r>
      <w:r>
        <w:rPr>
          <w:rFonts w:hint="eastAsia" w:ascii="仿宋_GB2312" w:eastAsia="仿宋_GB2312" w:cs="DengXian-Regular"/>
          <w:sz w:val="32"/>
          <w:szCs w:val="32"/>
        </w:rPr>
        <w:t>如图所示：</w:t>
      </w:r>
    </w:p>
    <w:p>
      <w:pPr>
        <w:adjustRightInd w:val="0"/>
        <w:snapToGrid w:val="0"/>
        <w:spacing w:after="0" w:line="600" w:lineRule="exact"/>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1024" behindDoc="0" locked="0" layoutInCell="1" allowOverlap="1">
            <wp:simplePos x="0" y="0"/>
            <wp:positionH relativeFrom="column">
              <wp:posOffset>-112395</wp:posOffset>
            </wp:positionH>
            <wp:positionV relativeFrom="paragraph">
              <wp:posOffset>782320</wp:posOffset>
            </wp:positionV>
            <wp:extent cx="5867400" cy="2628900"/>
            <wp:effectExtent l="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cstate="print"/>
                    <a:stretch>
                      <a:fillRect/>
                    </a:stretch>
                  </pic:blipFill>
                  <pic:spPr>
                    <a:xfrm>
                      <a:off x="0" y="0"/>
                      <a:ext cx="5867400" cy="2628900"/>
                    </a:xfrm>
                    <a:prstGeom prst="rect">
                      <a:avLst/>
                    </a:prstGeom>
                    <a:noFill/>
                    <a:ln w="9525" cap="flat" cmpd="sng">
                      <a:noFill/>
                      <a:prstDash val="solid"/>
                      <a:miter/>
                    </a:ln>
                  </pic:spPr>
                </pic:pic>
              </a:graphicData>
            </a:graphic>
          </wp:anchor>
        </w:drawing>
      </w:r>
    </w:p>
    <w:p>
      <w:pPr>
        <w:spacing w:after="0" w:line="580" w:lineRule="exact"/>
        <w:ind w:firstLine="2240" w:firstLineChars="700"/>
        <w:rPr>
          <w:rFonts w:ascii="楷体_GB2312" w:eastAsia="楷体_GB2312" w:cs="DengXian-Bold"/>
          <w:b/>
          <w:bCs/>
          <w:sz w:val="32"/>
          <w:szCs w:val="32"/>
        </w:rPr>
      </w:pPr>
      <w:r>
        <w:rPr>
          <w:rFonts w:hint="eastAsia" w:eastAsia="仿宋_GB2312"/>
          <w:sz w:val="32"/>
          <w:szCs w:val="32"/>
        </w:rPr>
        <w:t>图3：财政拨款收支情况</w:t>
      </w:r>
    </w:p>
    <w:p>
      <w:pPr>
        <w:spacing w:after="0"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600"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年度财政拨款本年收入较201</w:t>
      </w:r>
      <w:r>
        <w:rPr>
          <w:rFonts w:hint="eastAsia" w:eastAsia="仿宋_GB2312"/>
          <w:sz w:val="32"/>
          <w:szCs w:val="32"/>
        </w:rPr>
        <w:t>8</w:t>
      </w:r>
      <w:r>
        <w:rPr>
          <w:rFonts w:eastAsia="仿宋_GB2312"/>
          <w:sz w:val="32"/>
          <w:szCs w:val="32"/>
        </w:rPr>
        <w:t>年初预算增加</w:t>
      </w:r>
      <w:r>
        <w:rPr>
          <w:rFonts w:hint="eastAsia" w:eastAsia="仿宋_GB2312"/>
          <w:sz w:val="32"/>
          <w:szCs w:val="32"/>
        </w:rPr>
        <w:t>68.26</w:t>
      </w:r>
      <w:r>
        <w:rPr>
          <w:rFonts w:eastAsia="仿宋_GB2312"/>
          <w:sz w:val="32"/>
          <w:szCs w:val="32"/>
        </w:rPr>
        <w:t>万元，增长</w:t>
      </w:r>
      <w:r>
        <w:rPr>
          <w:rFonts w:hint="eastAsia" w:eastAsia="仿宋_GB2312"/>
          <w:sz w:val="32"/>
          <w:szCs w:val="32"/>
        </w:rPr>
        <w:t>6.98</w:t>
      </w:r>
      <w:r>
        <w:rPr>
          <w:rFonts w:eastAsia="仿宋_GB2312"/>
          <w:sz w:val="32"/>
          <w:szCs w:val="32"/>
        </w:rPr>
        <w:t>%，主要原因</w:t>
      </w:r>
      <w:r>
        <w:rPr>
          <w:rFonts w:hint="eastAsia" w:eastAsia="仿宋_GB2312"/>
          <w:sz w:val="32"/>
          <w:szCs w:val="32"/>
        </w:rPr>
        <w:t>是在职人员工资养老保险各项缴费增加</w:t>
      </w:r>
      <w:r>
        <w:rPr>
          <w:rFonts w:eastAsia="仿宋_GB2312"/>
          <w:sz w:val="32"/>
          <w:szCs w:val="32"/>
        </w:rPr>
        <w:t>；本年支出增加</w:t>
      </w:r>
      <w:r>
        <w:rPr>
          <w:rFonts w:hint="eastAsia" w:eastAsia="仿宋_GB2312"/>
          <w:sz w:val="32"/>
          <w:szCs w:val="32"/>
        </w:rPr>
        <w:t>54</w:t>
      </w:r>
      <w:r>
        <w:rPr>
          <w:rFonts w:eastAsia="仿宋_GB2312"/>
          <w:sz w:val="32"/>
          <w:szCs w:val="32"/>
        </w:rPr>
        <w:t>万元，增长</w:t>
      </w:r>
      <w:r>
        <w:rPr>
          <w:rFonts w:hint="eastAsia" w:eastAsia="仿宋_GB2312"/>
          <w:sz w:val="32"/>
          <w:szCs w:val="32"/>
        </w:rPr>
        <w:t>5.50</w:t>
      </w:r>
      <w:r>
        <w:rPr>
          <w:rFonts w:eastAsia="仿宋_GB2312"/>
          <w:sz w:val="32"/>
          <w:szCs w:val="32"/>
        </w:rPr>
        <w:t>%，主要原因是</w:t>
      </w:r>
      <w:r>
        <w:rPr>
          <w:rFonts w:hint="eastAsia" w:eastAsia="仿宋_GB2312"/>
          <w:sz w:val="32"/>
          <w:szCs w:val="32"/>
        </w:rPr>
        <w:t>，在职人员工资养老保险各项缴费增加</w:t>
      </w:r>
      <w:r>
        <w:rPr>
          <w:rFonts w:eastAsia="仿宋_GB2312"/>
          <w:sz w:val="32"/>
          <w:szCs w:val="32"/>
        </w:rPr>
        <w:t>。</w:t>
      </w:r>
    </w:p>
    <w:p>
      <w:pPr>
        <w:adjustRightInd w:val="0"/>
        <w:snapToGrid w:val="0"/>
        <w:spacing w:after="0" w:line="600" w:lineRule="exact"/>
        <w:ind w:firstLine="640" w:firstLineChars="200"/>
        <w:rPr>
          <w:rFonts w:ascii="仿宋_GB2312" w:eastAsia="仿宋_GB2312" w:cs="DengXian-Regular"/>
          <w:sz w:val="32"/>
          <w:szCs w:val="32"/>
        </w:rPr>
      </w:pPr>
      <w:r>
        <w:rPr>
          <w:rFonts w:eastAsia="仿宋_GB2312"/>
          <w:sz w:val="32"/>
          <w:szCs w:val="32"/>
        </w:rPr>
        <w:t>其中，本部门201</w:t>
      </w:r>
      <w:r>
        <w:rPr>
          <w:rFonts w:hint="eastAsia" w:eastAsia="仿宋_GB2312"/>
          <w:sz w:val="32"/>
          <w:szCs w:val="32"/>
        </w:rPr>
        <w:t>8</w:t>
      </w:r>
      <w:r>
        <w:rPr>
          <w:rFonts w:eastAsia="仿宋_GB2312"/>
          <w:sz w:val="32"/>
          <w:szCs w:val="32"/>
        </w:rPr>
        <w:t>年度一般公共预算财政拨款本年收入较201</w:t>
      </w:r>
      <w:r>
        <w:rPr>
          <w:rFonts w:hint="eastAsia" w:eastAsia="仿宋_GB2312"/>
          <w:sz w:val="32"/>
          <w:szCs w:val="32"/>
        </w:rPr>
        <w:t>8</w:t>
      </w:r>
      <w:r>
        <w:rPr>
          <w:rFonts w:eastAsia="仿宋_GB2312"/>
          <w:sz w:val="32"/>
          <w:szCs w:val="32"/>
        </w:rPr>
        <w:t>年初预算增加</w:t>
      </w:r>
      <w:r>
        <w:rPr>
          <w:rFonts w:hint="eastAsia" w:eastAsia="仿宋_GB2312"/>
          <w:sz w:val="32"/>
          <w:szCs w:val="32"/>
        </w:rPr>
        <w:t>83.26</w:t>
      </w:r>
      <w:r>
        <w:rPr>
          <w:rFonts w:eastAsia="仿宋_GB2312"/>
          <w:sz w:val="32"/>
          <w:szCs w:val="32"/>
        </w:rPr>
        <w:t>万元，增长</w:t>
      </w:r>
      <w:r>
        <w:rPr>
          <w:rFonts w:hint="eastAsia" w:eastAsia="仿宋_GB2312"/>
          <w:sz w:val="32"/>
          <w:szCs w:val="32"/>
        </w:rPr>
        <w:t>8.74</w:t>
      </w:r>
      <w:r>
        <w:rPr>
          <w:rFonts w:eastAsia="仿宋_GB2312"/>
          <w:sz w:val="32"/>
          <w:szCs w:val="32"/>
        </w:rPr>
        <w:t>%，主要原因是</w:t>
      </w:r>
      <w:r>
        <w:rPr>
          <w:rFonts w:hint="eastAsia" w:eastAsia="仿宋_GB2312"/>
          <w:sz w:val="32"/>
          <w:szCs w:val="32"/>
        </w:rPr>
        <w:t>，在职人员工资养老保险各项缴费增加。</w:t>
      </w:r>
      <w:r>
        <w:rPr>
          <w:rFonts w:eastAsia="仿宋_GB2312"/>
          <w:sz w:val="32"/>
          <w:szCs w:val="32"/>
        </w:rPr>
        <w:t>本年支出</w:t>
      </w:r>
      <w:r>
        <w:rPr>
          <w:rFonts w:hint="eastAsia" w:eastAsia="仿宋_GB2312"/>
          <w:sz w:val="32"/>
          <w:szCs w:val="32"/>
        </w:rPr>
        <w:t>增加69</w:t>
      </w:r>
      <w:r>
        <w:rPr>
          <w:rFonts w:eastAsia="仿宋_GB2312"/>
          <w:sz w:val="32"/>
          <w:szCs w:val="32"/>
        </w:rPr>
        <w:t>万元，增长</w:t>
      </w:r>
      <w:r>
        <w:rPr>
          <w:rFonts w:hint="eastAsia" w:eastAsia="仿宋_GB2312"/>
          <w:sz w:val="32"/>
          <w:szCs w:val="32"/>
        </w:rPr>
        <w:t>7.24</w:t>
      </w:r>
      <w:r>
        <w:rPr>
          <w:rFonts w:eastAsia="仿宋_GB2312"/>
          <w:sz w:val="32"/>
          <w:szCs w:val="32"/>
        </w:rPr>
        <w:t xml:space="preserve"> %，主要原因是</w:t>
      </w:r>
      <w:r>
        <w:rPr>
          <w:rFonts w:hint="eastAsia" w:eastAsia="仿宋_GB2312"/>
          <w:sz w:val="32"/>
          <w:szCs w:val="32"/>
        </w:rPr>
        <w:t>，在职人员工资养老保险各项缴费增加</w:t>
      </w:r>
      <w:r>
        <w:rPr>
          <w:rFonts w:eastAsia="仿宋_GB2312"/>
          <w:sz w:val="32"/>
          <w:szCs w:val="32"/>
        </w:rPr>
        <w:t>。本部门201</w:t>
      </w:r>
      <w:r>
        <w:rPr>
          <w:rFonts w:hint="eastAsia" w:eastAsia="仿宋_GB2312"/>
          <w:sz w:val="32"/>
          <w:szCs w:val="32"/>
        </w:rPr>
        <w:t>8</w:t>
      </w:r>
      <w:r>
        <w:rPr>
          <w:rFonts w:eastAsia="仿宋_GB2312"/>
          <w:sz w:val="32"/>
          <w:szCs w:val="32"/>
        </w:rPr>
        <w:t>年度政府性基金预算财政拨款本年收入较201</w:t>
      </w:r>
      <w:r>
        <w:rPr>
          <w:rFonts w:hint="eastAsia" w:eastAsia="仿宋_GB2312"/>
          <w:sz w:val="32"/>
          <w:szCs w:val="32"/>
        </w:rPr>
        <w:t>8</w:t>
      </w:r>
      <w:r>
        <w:rPr>
          <w:rFonts w:eastAsia="仿宋_GB2312"/>
          <w:sz w:val="32"/>
          <w:szCs w:val="32"/>
        </w:rPr>
        <w:t>年初预算</w:t>
      </w:r>
      <w:r>
        <w:rPr>
          <w:rFonts w:hint="eastAsia" w:eastAsia="仿宋_GB2312"/>
          <w:sz w:val="32"/>
          <w:szCs w:val="32"/>
        </w:rPr>
        <w:t>减少15</w:t>
      </w:r>
      <w:r>
        <w:rPr>
          <w:rFonts w:eastAsia="仿宋_GB2312"/>
          <w:sz w:val="32"/>
          <w:szCs w:val="32"/>
        </w:rPr>
        <w:t>万元，</w:t>
      </w:r>
      <w:r>
        <w:rPr>
          <w:rFonts w:hint="eastAsia" w:eastAsia="仿宋_GB2312"/>
          <w:sz w:val="32"/>
          <w:szCs w:val="32"/>
        </w:rPr>
        <w:t>减少50</w:t>
      </w:r>
      <w:r>
        <w:rPr>
          <w:rFonts w:eastAsia="仿宋_GB2312"/>
          <w:sz w:val="32"/>
          <w:szCs w:val="32"/>
        </w:rPr>
        <w:t>%，主要原因是</w:t>
      </w:r>
      <w:r>
        <w:rPr>
          <w:rFonts w:hint="eastAsia" w:eastAsia="仿宋_GB2312"/>
          <w:sz w:val="32"/>
          <w:szCs w:val="32"/>
        </w:rPr>
        <w:t>老年团体活动经费厉行节俭。</w:t>
      </w:r>
      <w:r>
        <w:rPr>
          <w:rFonts w:eastAsia="仿宋_GB2312"/>
          <w:sz w:val="32"/>
          <w:szCs w:val="32"/>
        </w:rPr>
        <w:t>本年支出较201</w:t>
      </w:r>
      <w:r>
        <w:rPr>
          <w:rFonts w:hint="eastAsia" w:eastAsia="仿宋_GB2312"/>
          <w:sz w:val="32"/>
          <w:szCs w:val="32"/>
        </w:rPr>
        <w:t>8</w:t>
      </w:r>
      <w:r>
        <w:rPr>
          <w:rFonts w:eastAsia="仿宋_GB2312"/>
          <w:sz w:val="32"/>
          <w:szCs w:val="32"/>
        </w:rPr>
        <w:t>年初预算</w:t>
      </w:r>
      <w:r>
        <w:rPr>
          <w:rFonts w:hint="eastAsia" w:eastAsia="仿宋_GB2312"/>
          <w:sz w:val="32"/>
          <w:szCs w:val="32"/>
        </w:rPr>
        <w:t>减少15</w:t>
      </w:r>
      <w:r>
        <w:rPr>
          <w:rFonts w:eastAsia="仿宋_GB2312"/>
          <w:sz w:val="32"/>
          <w:szCs w:val="32"/>
        </w:rPr>
        <w:t>万元，</w:t>
      </w:r>
      <w:r>
        <w:rPr>
          <w:rFonts w:hint="eastAsia" w:eastAsia="仿宋_GB2312"/>
          <w:sz w:val="32"/>
          <w:szCs w:val="32"/>
        </w:rPr>
        <w:t>减少50</w:t>
      </w:r>
      <w:r>
        <w:rPr>
          <w:rFonts w:eastAsia="仿宋_GB2312"/>
          <w:sz w:val="32"/>
          <w:szCs w:val="32"/>
        </w:rPr>
        <w:t>%，主要原因是</w:t>
      </w:r>
      <w:r>
        <w:rPr>
          <w:rFonts w:hint="eastAsia" w:eastAsia="仿宋_GB2312"/>
          <w:sz w:val="32"/>
          <w:szCs w:val="32"/>
        </w:rPr>
        <w:t>老年团体活动经费厉行节俭。</w:t>
      </w:r>
      <w:r>
        <w:rPr>
          <w:rFonts w:hint="eastAsia" w:ascii="仿宋_GB2312" w:eastAsia="仿宋_GB2312" w:cs="DengXian-Regular"/>
          <w:sz w:val="32"/>
          <w:szCs w:val="32"/>
        </w:rPr>
        <w:t>如图所示：</w:t>
      </w:r>
    </w:p>
    <w:p>
      <w:pPr>
        <w:adjustRightInd w:val="0"/>
        <w:snapToGrid w:val="0"/>
        <w:spacing w:after="0" w:line="600" w:lineRule="exact"/>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1024" behindDoc="0" locked="0" layoutInCell="1" allowOverlap="1">
            <wp:simplePos x="0" y="0"/>
            <wp:positionH relativeFrom="column">
              <wp:posOffset>10795</wp:posOffset>
            </wp:positionH>
            <wp:positionV relativeFrom="paragraph">
              <wp:posOffset>150495</wp:posOffset>
            </wp:positionV>
            <wp:extent cx="5438775" cy="2695575"/>
            <wp:effectExtent l="0" t="0" r="0" b="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cstate="print"/>
                    <a:stretch>
                      <a:fillRect/>
                    </a:stretch>
                  </pic:blipFill>
                  <pic:spPr>
                    <a:xfrm>
                      <a:off x="0" y="0"/>
                      <a:ext cx="5438774" cy="2695575"/>
                    </a:xfrm>
                    <a:prstGeom prst="rect">
                      <a:avLst/>
                    </a:prstGeom>
                    <a:noFill/>
                    <a:ln w="9525" cap="flat" cmpd="sng">
                      <a:noFill/>
                      <a:prstDash val="solid"/>
                      <a:miter/>
                    </a:ln>
                  </pic:spPr>
                </pic:pic>
              </a:graphicData>
            </a:graphic>
          </wp:anchor>
        </w:drawing>
      </w:r>
    </w:p>
    <w:p>
      <w:pPr>
        <w:adjustRightInd w:val="0"/>
        <w:snapToGrid w:val="0"/>
        <w:spacing w:after="0" w:line="600" w:lineRule="exact"/>
        <w:rPr>
          <w:rFonts w:ascii="仿宋_GB2312" w:eastAsia="仿宋_GB2312" w:cs="DengXian-Regular"/>
          <w:sz w:val="32"/>
          <w:szCs w:val="32"/>
        </w:rPr>
      </w:pPr>
    </w:p>
    <w:p>
      <w:pPr>
        <w:adjustRightInd w:val="0"/>
        <w:snapToGrid w:val="0"/>
        <w:spacing w:after="0" w:line="600" w:lineRule="exact"/>
        <w:rPr>
          <w:rFonts w:ascii="仿宋_GB2312" w:eastAsia="仿宋_GB2312" w:cs="DengXian-Regular"/>
          <w:sz w:val="32"/>
          <w:szCs w:val="32"/>
        </w:rPr>
      </w:pPr>
    </w:p>
    <w:p>
      <w:pPr>
        <w:adjustRightInd w:val="0"/>
        <w:snapToGrid w:val="0"/>
        <w:spacing w:after="0" w:line="600" w:lineRule="exact"/>
        <w:rPr>
          <w:rFonts w:ascii="仿宋_GB2312" w:eastAsia="仿宋_GB2312" w:cs="DengXian-Regular"/>
          <w:sz w:val="32"/>
          <w:szCs w:val="32"/>
        </w:rPr>
      </w:pPr>
    </w:p>
    <w:p>
      <w:pPr>
        <w:adjustRightInd w:val="0"/>
        <w:snapToGrid w:val="0"/>
        <w:spacing w:after="0" w:line="600" w:lineRule="exact"/>
        <w:rPr>
          <w:rFonts w:ascii="仿宋_GB2312" w:eastAsia="仿宋_GB2312" w:cs="DengXian-Regular"/>
          <w:sz w:val="32"/>
          <w:szCs w:val="32"/>
        </w:rPr>
      </w:pPr>
    </w:p>
    <w:p>
      <w:pPr>
        <w:adjustRightInd w:val="0"/>
        <w:snapToGrid w:val="0"/>
        <w:spacing w:after="0" w:line="600" w:lineRule="exact"/>
        <w:rPr>
          <w:rFonts w:ascii="仿宋_GB2312" w:eastAsia="仿宋_GB2312" w:cs="DengXian-Regular"/>
          <w:sz w:val="32"/>
          <w:szCs w:val="32"/>
        </w:rPr>
      </w:pPr>
    </w:p>
    <w:p>
      <w:pPr>
        <w:adjustRightInd w:val="0"/>
        <w:snapToGrid w:val="0"/>
        <w:spacing w:after="0" w:line="600" w:lineRule="exact"/>
        <w:rPr>
          <w:rFonts w:ascii="仿宋_GB2312" w:eastAsia="仿宋_GB2312" w:cs="DengXian-Regular"/>
          <w:sz w:val="32"/>
          <w:szCs w:val="32"/>
        </w:rPr>
      </w:pPr>
    </w:p>
    <w:p>
      <w:pPr>
        <w:adjustRightInd w:val="0"/>
        <w:snapToGrid w:val="0"/>
        <w:spacing w:after="0" w:line="600" w:lineRule="exact"/>
        <w:rPr>
          <w:rFonts w:ascii="仿宋_GB2312" w:eastAsia="仿宋_GB2312" w:cs="DengXian-Regular"/>
          <w:sz w:val="32"/>
          <w:szCs w:val="32"/>
        </w:rPr>
      </w:pPr>
    </w:p>
    <w:p>
      <w:pPr>
        <w:adjustRightInd w:val="0"/>
        <w:snapToGrid w:val="0"/>
        <w:spacing w:after="0" w:line="580" w:lineRule="exact"/>
        <w:jc w:val="center"/>
        <w:rPr>
          <w:rFonts w:eastAsia="仿宋_GB2312"/>
          <w:sz w:val="32"/>
          <w:szCs w:val="32"/>
        </w:rPr>
      </w:pPr>
      <w:r>
        <w:rPr>
          <w:rFonts w:hint="eastAsia" w:eastAsia="仿宋_GB2312"/>
          <w:sz w:val="32"/>
          <w:szCs w:val="32"/>
        </w:rPr>
        <w:t>图4：财政拨款收支预决算对比情况</w:t>
      </w:r>
      <w:r>
        <w:rPr>
          <w:rFonts w:hint="eastAsia" w:ascii="仿宋_GB2312" w:eastAsia="仿宋_GB2312" w:cs="DengXian-Regular"/>
          <w:sz w:val="32"/>
          <w:szCs w:val="32"/>
        </w:rPr>
        <w:t xml:space="preserve"> </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t>(三)财政拨款支出决算结构情况。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年度财政拨款支出1036.79万元，主要用于以下方面：一般公共服务支出422.40万元，占40.74%；社会保障和就业支出 22.41万元，占2.16%；医疗卫生与计划生育支出576.98万元，占55.65%；其他支出15万元，占1.45%。如图所示：</w:t>
      </w:r>
    </w:p>
    <w:p>
      <w:pPr>
        <w:adjustRightInd w:val="0"/>
        <w:snapToGrid w:val="0"/>
        <w:spacing w:after="0" w:line="580" w:lineRule="exact"/>
        <w:ind w:firstLine="420" w:firstLineChars="200"/>
        <w:jc w:val="center"/>
        <w:rPr>
          <w:rFonts w:ascii="楷体_GB2312" w:eastAsia="楷体_GB2312" w:cs="DengXian-Bold"/>
          <w:b/>
          <w:bCs/>
          <w:sz w:val="32"/>
          <w:szCs w:val="32"/>
        </w:rPr>
      </w:pPr>
      <w:r>
        <w:rPr>
          <w:szCs w:val="32"/>
        </w:rPr>
        <w:drawing>
          <wp:anchor distT="0" distB="0" distL="114300" distR="114300" simplePos="0" relativeHeight="1024" behindDoc="0" locked="0" layoutInCell="1" allowOverlap="1">
            <wp:simplePos x="0" y="0"/>
            <wp:positionH relativeFrom="column">
              <wp:posOffset>163195</wp:posOffset>
            </wp:positionH>
            <wp:positionV relativeFrom="paragraph">
              <wp:posOffset>220345</wp:posOffset>
            </wp:positionV>
            <wp:extent cx="5724525" cy="2771775"/>
            <wp:effectExtent l="0" t="0" r="0" b="0"/>
            <wp:wrapTopAndBottom/>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8" cstate="print"/>
                    <a:stretch>
                      <a:fillRect/>
                    </a:stretch>
                  </pic:blipFill>
                  <pic:spPr>
                    <a:xfrm>
                      <a:off x="0" y="0"/>
                      <a:ext cx="5724525" cy="2771775"/>
                    </a:xfrm>
                    <a:prstGeom prst="rect">
                      <a:avLst/>
                    </a:prstGeom>
                    <a:noFill/>
                    <a:ln w="9525" cap="flat" cmpd="sng">
                      <a:noFill/>
                      <a:prstDash val="solid"/>
                      <a:miter/>
                    </a:ln>
                  </pic:spPr>
                </pic:pic>
              </a:graphicData>
            </a:graphic>
          </wp:anchor>
        </w:drawing>
      </w:r>
      <w:r>
        <w:rPr>
          <w:rFonts w:hint="eastAsia" w:eastAsia="仿宋_GB2312"/>
          <w:sz w:val="32"/>
          <w:szCs w:val="32"/>
        </w:rPr>
        <w:t>图5：财政拨款支出决算结构（按功能分类）</w:t>
      </w:r>
    </w:p>
    <w:p>
      <w:pPr>
        <w:adjustRightInd w:val="0"/>
        <w:snapToGrid w:val="0"/>
        <w:spacing w:after="0" w:line="60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600" w:lineRule="exact"/>
        <w:ind w:firstLine="640" w:firstLineChars="200"/>
        <w:rPr>
          <w:rFonts w:eastAsia="仿宋_GB2312"/>
          <w:sz w:val="32"/>
          <w:szCs w:val="32"/>
        </w:rPr>
      </w:pPr>
      <w:r>
        <w:rPr>
          <w:rFonts w:hint="eastAsia" w:eastAsia="仿宋_GB2312"/>
          <w:sz w:val="32"/>
          <w:szCs w:val="32"/>
        </w:rPr>
        <w:t>2018 年度一般公共预算财政拨款基本支出911.32万元，其中：人员经费 135.26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110.47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60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600"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0.2</w:t>
      </w:r>
      <w:r>
        <w:rPr>
          <w:rFonts w:eastAsia="仿宋_GB2312"/>
          <w:sz w:val="32"/>
          <w:szCs w:val="32"/>
        </w:rPr>
        <w:t>万元，</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无增减，原因是严格控制预算</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减少0.07</w:t>
      </w:r>
      <w:r>
        <w:rPr>
          <w:rFonts w:eastAsia="仿宋_GB2312"/>
          <w:sz w:val="32"/>
          <w:szCs w:val="32"/>
        </w:rPr>
        <w:t>万元，</w:t>
      </w:r>
      <w:r>
        <w:rPr>
          <w:rFonts w:hint="eastAsia" w:eastAsia="仿宋_GB2312"/>
          <w:sz w:val="32"/>
          <w:szCs w:val="32"/>
        </w:rPr>
        <w:t>减少25.93</w:t>
      </w:r>
      <w:r>
        <w:rPr>
          <w:rFonts w:eastAsia="仿宋_GB2312"/>
          <w:sz w:val="32"/>
          <w:szCs w:val="32"/>
        </w:rPr>
        <w:t xml:space="preserve"> %，主要</w:t>
      </w:r>
      <w:r>
        <w:rPr>
          <w:rFonts w:hint="eastAsia" w:eastAsia="仿宋_GB2312"/>
          <w:sz w:val="32"/>
          <w:szCs w:val="32"/>
        </w:rPr>
        <w:t>厉行节俭</w:t>
      </w:r>
      <w:r>
        <w:rPr>
          <w:rFonts w:eastAsia="仿宋_GB2312"/>
          <w:sz w:val="32"/>
          <w:szCs w:val="32"/>
        </w:rPr>
        <w:t>。</w:t>
      </w:r>
    </w:p>
    <w:p>
      <w:pPr>
        <w:adjustRightInd w:val="0"/>
        <w:snapToGrid w:val="0"/>
        <w:spacing w:after="0" w:line="600" w:lineRule="exact"/>
        <w:ind w:firstLine="640" w:firstLineChars="200"/>
        <w:rPr>
          <w:rFonts w:eastAsia="仿宋_GB2312"/>
          <w:sz w:val="32"/>
          <w:szCs w:val="32"/>
        </w:rPr>
      </w:pP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w:t>
      </w:r>
      <w:r>
        <w:rPr>
          <w:rFonts w:eastAsia="仿宋_GB2312"/>
          <w:sz w:val="32"/>
          <w:szCs w:val="32"/>
        </w:rPr>
        <w:t>主要是</w:t>
      </w:r>
      <w:r>
        <w:rPr>
          <w:rFonts w:hint="eastAsia" w:eastAsia="仿宋_GB2312"/>
          <w:sz w:val="32"/>
          <w:szCs w:val="32"/>
        </w:rPr>
        <w:t>严格控制预算</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w:t>
      </w:r>
      <w:r>
        <w:rPr>
          <w:rFonts w:eastAsia="仿宋_GB2312"/>
          <w:sz w:val="32"/>
          <w:szCs w:val="32"/>
        </w:rPr>
        <w:t>主要是</w:t>
      </w:r>
      <w:r>
        <w:rPr>
          <w:rFonts w:hint="eastAsia" w:eastAsia="仿宋_GB2312"/>
          <w:sz w:val="32"/>
          <w:szCs w:val="32"/>
        </w:rPr>
        <w:t>严格控制预算。</w:t>
      </w:r>
    </w:p>
    <w:p>
      <w:pPr>
        <w:adjustRightInd w:val="0"/>
        <w:snapToGrid w:val="0"/>
        <w:spacing w:after="0" w:line="600" w:lineRule="exact"/>
        <w:ind w:firstLine="640" w:firstLineChars="200"/>
        <w:rPr>
          <w:rFonts w:eastAsia="仿宋_GB2312"/>
          <w:sz w:val="32"/>
          <w:szCs w:val="32"/>
          <w:highlight w:val="yellow"/>
        </w:rPr>
      </w:pP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0万元。</w:t>
      </w:r>
      <w:r>
        <w:rPr>
          <w:rFonts w:hint="eastAsia" w:ascii="仿宋_GB2312" w:eastAsia="仿宋_GB2312" w:cs="DengXian-Regular"/>
          <w:sz w:val="32"/>
          <w:szCs w:val="32"/>
        </w:rPr>
        <w:t>本部门2018年度公务用车购置及运行维护费比年初预算</w:t>
      </w:r>
      <w:r>
        <w:rPr>
          <w:rFonts w:hint="eastAsia" w:eastAsia="仿宋_GB2312"/>
          <w:sz w:val="32"/>
          <w:szCs w:val="32"/>
        </w:rPr>
        <w:t>无增减，主要是严格控制预算</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无增减，主要是严格控制预算</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公务用车购置费支出0万元。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无增减，主要是严格控制预算</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无增减，主要是严格控制预算</w:t>
      </w:r>
      <w:r>
        <w:rPr>
          <w:rFonts w:eastAsia="仿宋_GB2312"/>
          <w:sz w:val="32"/>
          <w:szCs w:val="32"/>
        </w:rPr>
        <w:t>。</w:t>
      </w:r>
      <w:r>
        <w:rPr>
          <w:rFonts w:eastAsia="仿宋_GB2312"/>
          <w:b/>
          <w:sz w:val="32"/>
          <w:szCs w:val="32"/>
        </w:rPr>
        <w:t>公务用车运行维护费支出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0</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无增减，主要是严格控制预算</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无增减，主要是严格控制预算</w:t>
      </w:r>
      <w:r>
        <w:rPr>
          <w:rFonts w:eastAsia="仿宋_GB2312"/>
          <w:sz w:val="32"/>
          <w:szCs w:val="32"/>
        </w:rPr>
        <w:t>。</w:t>
      </w:r>
      <w:r>
        <w:rPr>
          <w:rFonts w:eastAsia="楷体_GB2312"/>
          <w:b/>
          <w:bCs/>
          <w:sz w:val="32"/>
          <w:szCs w:val="32"/>
        </w:rPr>
        <w:t>（三）公务接待费支出</w:t>
      </w:r>
      <w:r>
        <w:rPr>
          <w:rFonts w:hint="eastAsia" w:eastAsia="楷体_GB2312"/>
          <w:b/>
          <w:bCs/>
          <w:sz w:val="32"/>
          <w:szCs w:val="32"/>
        </w:rPr>
        <w:t>0.2</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2</w:t>
      </w:r>
      <w:r>
        <w:rPr>
          <w:rFonts w:eastAsia="仿宋_GB2312"/>
          <w:sz w:val="32"/>
          <w:szCs w:val="32"/>
        </w:rPr>
        <w:t>批次、</w:t>
      </w:r>
      <w:r>
        <w:rPr>
          <w:rFonts w:hint="eastAsia" w:eastAsia="仿宋_GB2312"/>
          <w:sz w:val="32"/>
          <w:szCs w:val="32"/>
        </w:rPr>
        <w:t>10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无变化，主要是严格控制预算</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0.8</w:t>
      </w:r>
      <w:r>
        <w:rPr>
          <w:rFonts w:eastAsia="仿宋_GB2312"/>
          <w:sz w:val="32"/>
          <w:szCs w:val="32"/>
        </w:rPr>
        <w:t>万元，降低</w:t>
      </w:r>
      <w:r>
        <w:rPr>
          <w:rFonts w:hint="eastAsia" w:eastAsia="仿宋_GB2312"/>
          <w:sz w:val="32"/>
          <w:szCs w:val="32"/>
        </w:rPr>
        <w:t>20</w:t>
      </w:r>
      <w:r>
        <w:rPr>
          <w:rFonts w:eastAsia="仿宋_GB2312"/>
          <w:sz w:val="32"/>
          <w:szCs w:val="32"/>
        </w:rPr>
        <w:t>%，主要是</w:t>
      </w:r>
      <w:r>
        <w:rPr>
          <w:rFonts w:hint="eastAsia" w:eastAsia="仿宋_GB2312"/>
          <w:sz w:val="32"/>
          <w:szCs w:val="32"/>
        </w:rPr>
        <w:t>厉行节俭。</w:t>
      </w:r>
    </w:p>
    <w:p>
      <w:pPr>
        <w:adjustRightInd w:val="0"/>
        <w:snapToGrid w:val="0"/>
        <w:spacing w:after="0" w:line="600" w:lineRule="exact"/>
        <w:ind w:firstLine="800" w:firstLineChars="250"/>
        <w:rPr>
          <w:rFonts w:ascii="黑体" w:eastAsia="黑体"/>
          <w:sz w:val="32"/>
          <w:szCs w:val="40"/>
        </w:rPr>
      </w:pPr>
      <w:r>
        <w:rPr>
          <w:rFonts w:hint="eastAsia" w:ascii="黑体" w:eastAsia="黑体"/>
          <w:sz w:val="32"/>
          <w:szCs w:val="40"/>
        </w:rPr>
        <w:t>六、预算绩效情况说明</w:t>
      </w:r>
    </w:p>
    <w:p>
      <w:pPr>
        <w:snapToGrid w:val="0"/>
        <w:spacing w:after="0" w:line="60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（一）</w:t>
      </w:r>
      <w:r>
        <w:rPr>
          <w:rFonts w:hint="eastAsia" w:ascii="仿宋_GB2312" w:eastAsia="仿宋_GB2312" w:cs="DengXian-Regular"/>
          <w:sz w:val="32"/>
          <w:szCs w:val="32"/>
        </w:rPr>
        <w:t>预算绩效管理工作开展情况</w:t>
      </w:r>
    </w:p>
    <w:p>
      <w:pPr>
        <w:snapToGrid w:val="0"/>
        <w:spacing w:after="0"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财政预算绩效管理要求，我局以“部门职责--工作活动--预算项目”为依据，确定部门预算项目和预算额度，清晰描述预算项目开支范围和内容，确定预算项目的绩效目标、绩效指标和评价标准，为预算绩效控制、绩效分析、绩效评价打下好的基础。</w:t>
      </w:r>
    </w:p>
    <w:p>
      <w:pPr>
        <w:spacing w:after="0" w:line="60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（二）项目绩效自评结果。</w:t>
      </w:r>
    </w:p>
    <w:p>
      <w:pPr>
        <w:spacing w:after="0" w:line="600" w:lineRule="exact"/>
        <w:ind w:firstLine="480" w:firstLineChars="150"/>
        <w:jc w:val="left"/>
        <w:rPr>
          <w:rFonts w:ascii="仿宋_GB2312" w:eastAsia="仿宋_GB2312" w:cs="仿宋_GB2312"/>
          <w:sz w:val="32"/>
          <w:szCs w:val="32"/>
        </w:rPr>
      </w:pPr>
      <w:r>
        <w:rPr>
          <w:rFonts w:hint="eastAsia" w:ascii="仿宋_GB2312" w:eastAsia="仿宋_GB2312" w:cs="仿宋_GB2312"/>
          <w:sz w:val="32"/>
          <w:szCs w:val="32"/>
        </w:rPr>
        <w:t>按照县财政预算绩效管理要求，老干部局办公室对2017年年初确定的部门一般公共预算支出项目全面开展了绩效自评。绩效自评覆盖率达到100%。</w:t>
      </w:r>
    </w:p>
    <w:p>
      <w:pPr>
        <w:spacing w:after="0" w:line="600" w:lineRule="exact"/>
        <w:ind w:firstLine="200"/>
        <w:jc w:val="left"/>
        <w:rPr>
          <w:rFonts w:ascii="仿宋_GB2312" w:eastAsia="仿宋_GB2312" w:cs="仿宋_GB2312"/>
          <w:sz w:val="32"/>
          <w:szCs w:val="32"/>
        </w:rPr>
      </w:pPr>
      <w:r>
        <w:rPr>
          <w:rFonts w:hint="eastAsia" w:ascii="仿宋_GB2312" w:eastAsia="仿宋_GB2312" w:cs="DengXian-Regular"/>
          <w:sz w:val="32"/>
          <w:szCs w:val="32"/>
        </w:rPr>
        <w:t>（三）重点项目绩效评价结果</w:t>
      </w:r>
    </w:p>
    <w:p>
      <w:pPr>
        <w:spacing w:after="0" w:line="600" w:lineRule="exact"/>
        <w:ind w:firstLine="640" w:firstLineChars="200"/>
        <w:outlineLvl w:val="0"/>
        <w:rPr>
          <w:rFonts w:ascii="方正小标宋_GBK" w:eastAsia="方正小标宋_GBK"/>
          <w:sz w:val="32"/>
        </w:rPr>
      </w:pPr>
      <w:r>
        <w:rPr>
          <w:rFonts w:hint="eastAsia" w:ascii="仿宋_GB2312" w:eastAsia="仿宋_GB2312"/>
          <w:sz w:val="32"/>
          <w:szCs w:val="32"/>
        </w:rPr>
        <w:t>为加强预算绩效管理，切实提高财政资金使用效益，进一步做好2017年绩效评价工作，我局继续对专项项目进行重点绩效评价，同时积极创新开展“工作活动”层面的绩效评价。2018年筛选了5个项目开展了重点绩效评价工作。截至12月31日这项工作已全部完成，取得了良好的成效。此项自评结果为优秀。</w:t>
      </w:r>
    </w:p>
    <w:p>
      <w:pPr>
        <w:pStyle w:val="3"/>
        <w:spacing w:before="0" w:after="0" w:line="60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60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60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本部门2018年度机关运行经费支出110.47万元，比年初预算数减少</w:t>
      </w:r>
      <w:r>
        <w:rPr>
          <w:rFonts w:hint="eastAsia" w:eastAsia="仿宋_GB2312"/>
          <w:sz w:val="32"/>
          <w:szCs w:val="32"/>
        </w:rPr>
        <w:t>3.7</w:t>
      </w:r>
      <w:r>
        <w:rPr>
          <w:rFonts w:hint="eastAsia" w:ascii="仿宋_GB2312" w:eastAsia="仿宋_GB2312" w:cs="DengXian-Regular"/>
          <w:sz w:val="32"/>
          <w:szCs w:val="32"/>
        </w:rPr>
        <w:t>万元，减少3.24</w:t>
      </w:r>
      <w:r>
        <w:rPr>
          <w:rFonts w:eastAsia="仿宋_GB2312"/>
          <w:sz w:val="32"/>
          <w:szCs w:val="32"/>
        </w:rPr>
        <w:t>%</w:t>
      </w:r>
      <w:r>
        <w:rPr>
          <w:rFonts w:hint="eastAsia" w:ascii="仿宋_GB2312" w:eastAsia="仿宋_GB2312" w:cs="DengXian-Regular"/>
          <w:sz w:val="32"/>
          <w:szCs w:val="32"/>
        </w:rPr>
        <w:t>。主要是厉行节俭。</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21.17</w:t>
      </w:r>
      <w:r>
        <w:rPr>
          <w:rFonts w:eastAsia="仿宋_GB2312"/>
          <w:sz w:val="32"/>
          <w:szCs w:val="32"/>
        </w:rPr>
        <w:t>万元，增长</w:t>
      </w:r>
      <w:r>
        <w:rPr>
          <w:rFonts w:hint="eastAsia" w:eastAsia="仿宋_GB2312"/>
          <w:sz w:val="32"/>
          <w:szCs w:val="32"/>
        </w:rPr>
        <w:t>23.71</w:t>
      </w:r>
      <w:r>
        <w:rPr>
          <w:rFonts w:eastAsia="仿宋_GB2312"/>
          <w:sz w:val="32"/>
          <w:szCs w:val="32"/>
        </w:rPr>
        <w:t>%，主要是</w:t>
      </w:r>
      <w:r>
        <w:rPr>
          <w:rFonts w:hint="eastAsia" w:ascii="仿宋_GB2312" w:eastAsia="仿宋_GB2312" w:cs="DengXian-Regular"/>
          <w:sz w:val="32"/>
          <w:szCs w:val="32"/>
        </w:rPr>
        <w:t>增加办公费和取暖费的支出</w:t>
      </w:r>
      <w:r>
        <w:rPr>
          <w:rFonts w:eastAsia="仿宋_GB2312"/>
          <w:sz w:val="32"/>
          <w:szCs w:val="32"/>
        </w:rPr>
        <w:t>。</w:t>
      </w:r>
    </w:p>
    <w:p>
      <w:pPr>
        <w:pStyle w:val="4"/>
        <w:spacing w:before="0" w:after="0" w:line="60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60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本部门2018年度政府采购支出总额0.99万元，从采购类型来看，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0.99</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pStyle w:val="4"/>
        <w:spacing w:before="0" w:after="0" w:line="60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截至2018年12月31日，本部门共有车辆0辆，比上年无增减，主要是严格控制预算。其中，副部（省）级及以上领导用车0辆，主要领导干部用车0辆，机要通信用车0辆，应急保障用车0辆，执法执勤用车0辆，特种专业技术用车0辆，离退休干部用车0辆，其他用车0辆，</w:t>
      </w:r>
      <w:r>
        <w:rPr>
          <w:rFonts w:hint="eastAsia" w:ascii="仿宋_GB2312" w:eastAsia="仿宋_GB2312" w:cs="仿宋_GB2312"/>
          <w:sz w:val="32"/>
          <w:szCs w:val="32"/>
        </w:rPr>
        <w:t>其中：50万元以上大型设备0台（套），单位价值100万元以上大型设备0台（套）。</w:t>
      </w:r>
      <w:r>
        <w:rPr>
          <w:rFonts w:hint="eastAsia" w:ascii="仿宋_GB2312" w:eastAsia="仿宋_GB2312" w:cs="DengXian-Regular"/>
          <w:sz w:val="32"/>
          <w:szCs w:val="32"/>
        </w:rPr>
        <w:t>比上年增减无变化。</w:t>
      </w:r>
      <w:r>
        <w:rPr>
          <w:rFonts w:eastAsia="仿宋_GB2312"/>
          <w:sz w:val="32"/>
          <w:szCs w:val="32"/>
        </w:rPr>
        <w:t>主要是</w:t>
      </w:r>
      <w:r>
        <w:rPr>
          <w:rFonts w:hint="eastAsia" w:eastAsia="仿宋_GB2312"/>
          <w:sz w:val="32"/>
          <w:szCs w:val="32"/>
        </w:rPr>
        <w:t>严格控制预算。</w:t>
      </w:r>
    </w:p>
    <w:p>
      <w:pPr>
        <w:spacing w:after="0" w:line="600" w:lineRule="exact"/>
        <w:ind w:firstLine="480" w:firstLineChars="150"/>
        <w:rPr>
          <w:rFonts w:ascii="仿宋_GB2312" w:eastAsia="仿宋_GB2312" w:cs="仿宋_GB2312"/>
          <w:sz w:val="32"/>
          <w:szCs w:val="32"/>
        </w:rPr>
      </w:pPr>
    </w:p>
    <w:p>
      <w:pPr>
        <w:adjustRightInd w:val="0"/>
        <w:snapToGrid w:val="0"/>
        <w:spacing w:after="0" w:line="60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w:t>
      </w:r>
    </w:p>
    <w:p>
      <w:pPr>
        <w:pStyle w:val="4"/>
        <w:spacing w:before="0" w:after="0" w:line="60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600" w:lineRule="exact"/>
        <w:ind w:firstLine="640" w:firstLineChars="200"/>
        <w:rPr>
          <w:rFonts w:ascii="仿宋_GB2312" w:eastAsia="仿宋_GB2312" w:cs="仿宋_GB2312"/>
          <w:sz w:val="32"/>
          <w:szCs w:val="32"/>
        </w:rPr>
      </w:pPr>
      <w:r>
        <w:rPr>
          <w:rFonts w:hint="eastAsia" w:ascii="仿宋_GB2312" w:eastAsia="仿宋_GB2312" w:cs="DengXian-Regular"/>
          <w:sz w:val="32"/>
          <w:szCs w:val="32"/>
        </w:rPr>
        <w:t>1、本部门2018年度</w:t>
      </w:r>
      <w:r>
        <w:rPr>
          <w:rFonts w:hint="eastAsia" w:ascii="仿宋_GB2312" w:eastAsia="仿宋_GB2312" w:cs="仿宋_GB2312"/>
          <w:sz w:val="32"/>
          <w:szCs w:val="32"/>
        </w:rPr>
        <w:t>年末结转和结余</w:t>
      </w:r>
      <w:r>
        <w:rPr>
          <w:rFonts w:hint="eastAsia" w:eastAsia="仿宋_GB2312"/>
          <w:sz w:val="32"/>
          <w:szCs w:val="32"/>
        </w:rPr>
        <w:t>16.63</w:t>
      </w:r>
      <w:r>
        <w:rPr>
          <w:rFonts w:hint="eastAsia" w:ascii="仿宋_GB2312" w:eastAsia="仿宋_GB2312" w:cs="仿宋_GB2312"/>
          <w:sz w:val="32"/>
          <w:szCs w:val="32"/>
        </w:rPr>
        <w:t xml:space="preserve">万元 .                </w:t>
      </w:r>
    </w:p>
    <w:p>
      <w:pPr>
        <w:widowControl/>
        <w:spacing w:after="0" w:line="600" w:lineRule="exact"/>
        <w:ind w:firstLine="640" w:firstLineChars="200"/>
        <w:jc w:val="left"/>
        <w:rPr>
          <w:rFonts w:ascii="宋体" w:cs="MS-UIGothic,Bold"/>
          <w:b/>
          <w:bCs/>
          <w:kern w:val="0"/>
          <w:sz w:val="44"/>
          <w:szCs w:val="44"/>
        </w:rPr>
        <w:sectPr>
          <w:pgSz w:w="11907" w:h="16840"/>
          <w:pgMar w:top="2098" w:right="1474" w:bottom="1985" w:left="1588" w:header="851" w:footer="992" w:gutter="0"/>
          <w:cols w:space="720" w:num="1"/>
          <w:docGrid w:type="lines" w:linePitch="312" w:charSpace="0"/>
        </w:sect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Dotum"/>
    <w:panose1 w:val="00000000000000000000"/>
    <w:charset w:val="81"/>
    <w:family w:val="auto"/>
    <w:pitch w:val="default"/>
    <w:sig w:usb0="00000000" w:usb1="00000000" w:usb2="00000010" w:usb3="00000000" w:csb0="00080001"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0C"/>
    <w:rsid w:val="004B1808"/>
    <w:rsid w:val="00CF240C"/>
    <w:rsid w:val="64C6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paragraph" w:styleId="5">
    <w:name w:val="heading 4"/>
    <w:basedOn w:val="1"/>
    <w:next w:val="1"/>
    <w:uiPriority w:val="0"/>
    <w:pPr>
      <w:keepNext/>
      <w:keepLines/>
      <w:spacing w:before="280" w:after="290" w:line="377" w:lineRule="auto"/>
      <w:outlineLvl w:val="3"/>
    </w:pPr>
    <w:rPr>
      <w:rFonts w:ascii="Calibri" w:hAnsi="Calibri" w:cs="Arial"/>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uiPriority w:val="0"/>
    <w:pPr>
      <w:widowControl/>
      <w:spacing w:after="200" w:line="276" w:lineRule="auto"/>
      <w:jc w:val="left"/>
    </w:pPr>
    <w:rPr>
      <w:rFonts w:ascii="Calibri" w:hAnsi="Calibri" w:cs="Arial"/>
      <w:i/>
      <w:iCs/>
      <w:color w:val="F0A22E"/>
      <w:spacing w:val="15"/>
      <w:kern w:val="0"/>
      <w:sz w:val="24"/>
    </w:rPr>
  </w:style>
  <w:style w:type="paragraph" w:styleId="11">
    <w:name w:val="Normal (Web)"/>
    <w:basedOn w:val="1"/>
    <w:uiPriority w:val="0"/>
    <w:pPr>
      <w:spacing w:beforeAutospacing="1" w:after="0" w:afterAutospacing="1"/>
      <w:jc w:val="left"/>
    </w:pPr>
    <w:rPr>
      <w:kern w:val="0"/>
      <w:sz w:val="24"/>
    </w:rPr>
  </w:style>
  <w:style w:type="paragraph" w:styleId="12">
    <w:name w:val="Title"/>
    <w:basedOn w:val="1"/>
    <w:next w:val="1"/>
    <w:uiPriority w:val="0"/>
    <w:pPr>
      <w:widowControl/>
      <w:pBdr>
        <w:bottom w:val="single" w:color="F0A22E" w:sz="8" w:space="4"/>
      </w:pBdr>
      <w:spacing w:after="300"/>
      <w:contextualSpacing/>
      <w:jc w:val="left"/>
    </w:pPr>
    <w:rPr>
      <w:rFonts w:ascii="Calibri" w:hAnsi="Calibri" w:cs="Arial"/>
      <w:color w:val="3A2C23"/>
      <w:spacing w:val="5"/>
      <w:kern w:val="28"/>
      <w:sz w:val="52"/>
      <w:szCs w:val="52"/>
    </w:rPr>
  </w:style>
  <w:style w:type="paragraph" w:customStyle="1" w:styleId="15">
    <w:name w:val="无间隔1"/>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uiPriority w:val="0"/>
    <w:rPr>
      <w:rFonts w:ascii="Cambria" w:hAnsi="Cambria" w:eastAsia="黑体" w:cs="Times New Roman"/>
      <w:sz w:val="22"/>
      <w:szCs w:val="22"/>
      <w:lang w:eastAsia="zh-CN"/>
    </w:rPr>
  </w:style>
  <w:style w:type="character" w:customStyle="1" w:styleId="17">
    <w:name w:val="Style2"/>
    <w:basedOn w:val="14"/>
    <w:uiPriority w:val="0"/>
    <w:rPr>
      <w:rFonts w:ascii="Cambria" w:hAnsi="Cambria" w:eastAsia="黑体" w:cs="Times New Roman"/>
      <w:sz w:val="22"/>
      <w:szCs w:val="22"/>
      <w:lang w:eastAsia="zh-CN"/>
    </w:rPr>
  </w:style>
  <w:style w:type="character" w:customStyle="1" w:styleId="18">
    <w:name w:val="Style3"/>
    <w:basedOn w:val="14"/>
    <w:uiPriority w:val="0"/>
    <w:rPr>
      <w:rFonts w:ascii="Cambria" w:hAnsi="Cambria" w:eastAsia="黑体" w:cs="Times New Roman"/>
      <w:szCs w:val="22"/>
      <w:lang w:eastAsia="zh-CN"/>
    </w:rPr>
  </w:style>
  <w:style w:type="character" w:customStyle="1" w:styleId="19">
    <w:name w:val="Style4"/>
    <w:basedOn w:val="14"/>
    <w:uiPriority w:val="0"/>
    <w:rPr>
      <w:rFonts w:ascii="Cambria" w:hAnsi="Cambria" w:eastAsia="黑体" w:cs="Times New Roman"/>
      <w:szCs w:val="22"/>
      <w:lang w:eastAsia="zh-CN"/>
    </w:rPr>
  </w:style>
  <w:style w:type="character" w:customStyle="1" w:styleId="20">
    <w:name w:val="Style5"/>
    <w:basedOn w:val="14"/>
    <w:uiPriority w:val="0"/>
    <w:rPr>
      <w:rFonts w:ascii="Cambria" w:hAnsi="Cambria" w:eastAsia="黑体" w:cs="Times New Roman"/>
      <w:sz w:val="22"/>
      <w:szCs w:val="22"/>
      <w:lang w:eastAsia="zh-CN"/>
    </w:rPr>
  </w:style>
  <w:style w:type="paragraph" w:customStyle="1" w:styleId="21">
    <w:name w:val="列出段落1"/>
    <w:basedOn w:val="1"/>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866</Words>
  <Characters>4942</Characters>
  <Lines>41</Lines>
  <Paragraphs>11</Paragraphs>
  <TotalTime>198</TotalTime>
  <ScaleCrop>false</ScaleCrop>
  <LinksUpToDate>false</LinksUpToDate>
  <CharactersWithSpaces>5797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2019-11-11T01:51:00Z</dcterms:created>
  <dc:creator>User</dc:creator>
  <cp:lastModifiedBy>Administrator</cp:lastModifiedBy>
  <cp:lastPrinted>2019-11-04T06:55:00Z</cp:lastPrinted>
  <dcterms:modified xsi:type="dcterms:W3CDTF">2022-03-23T07:00:44Z</dcterms:modified>
  <dc:subject>石家庄市xxx部门</dc:subject>
  <dc:title>2017年度部门决算</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