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4" w:name="_GoBack"/>
      <w:bookmarkEnd w:id="4"/>
      <w:r>
        <w:rPr>
          <w:rFonts w:hint="eastAsia" w:ascii="Times New Roman" w:hAnsi="Times New Roman" w:eastAsia="方正小标宋简体" w:cs="Times New Roman"/>
          <w:sz w:val="44"/>
          <w:szCs w:val="44"/>
          <w:lang w:eastAsia="zh-CN"/>
        </w:rPr>
        <w:t>大城县委老干部局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大城县委老干部局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1</w:t>
      </w:r>
      <w:r>
        <w:rPr>
          <w:rFonts w:ascii="仿宋_GB2312" w:hAnsi="仿宋_GB2312" w:eastAsia="仿宋_GB2312"/>
          <w:sz w:val="32"/>
        </w:rPr>
        <w:t>、负责贯彻落实党中央、国务院、省委、省政府、市委、市政府和县委县政府关于老干部工作的方针、政策、规定；向县委、县政府报告全县老干部工作情况，并提出意见和建议；协助县委县政府制定、完善本县老干部工作的政策、规定。</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2</w:t>
      </w:r>
      <w:r>
        <w:rPr>
          <w:rFonts w:ascii="仿宋_GB2312" w:hAnsi="仿宋_GB2312" w:eastAsia="仿宋_GB2312"/>
          <w:sz w:val="32"/>
        </w:rPr>
        <w:t>、指导全县各单位落实老干部工作的方针、政策、规定，并对具体执行情况进行督促、检查。</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3</w:t>
      </w:r>
      <w:r>
        <w:rPr>
          <w:rFonts w:ascii="仿宋_GB2312" w:hAnsi="仿宋_GB2312" w:eastAsia="仿宋_GB2312"/>
          <w:sz w:val="32"/>
        </w:rPr>
        <w:t>、调查研究落实老干部政治待遇和生活待遇工作中存在的问题，并协助有关部门提出解决办法。</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4</w:t>
      </w:r>
      <w:r>
        <w:rPr>
          <w:rFonts w:ascii="仿宋_GB2312" w:hAnsi="仿宋_GB2312" w:eastAsia="仿宋_GB2312"/>
          <w:sz w:val="32"/>
        </w:rPr>
        <w:t>、指导老干部党支部建设和老干部思想政治工作。</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5</w:t>
      </w:r>
      <w:r>
        <w:rPr>
          <w:rFonts w:ascii="仿宋_GB2312" w:hAnsi="仿宋_GB2312" w:eastAsia="仿宋_GB2312"/>
          <w:sz w:val="32"/>
        </w:rPr>
        <w:t>、负责宣传老干部的历史功绩、现实作用和先进事迹，以及老干部工作的重要意义；引导老干部在新形势下发挥作用；总结老干部工作经验，表彰优秀老干部和老干部先进机构及个人。</w:t>
      </w:r>
    </w:p>
    <w:p>
      <w:pPr>
        <w:keepNext w:val="0"/>
        <w:keepLines w:val="0"/>
        <w:pageBreakBefore w:val="0"/>
        <w:widowControl/>
        <w:numPr>
          <w:ilvl w:val="0"/>
          <w:numId w:val="0"/>
        </w:num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6</w:t>
      </w:r>
      <w:r>
        <w:rPr>
          <w:rFonts w:ascii="仿宋_GB2312" w:hAnsi="仿宋_GB2312" w:eastAsia="仿宋_GB2312"/>
          <w:sz w:val="32"/>
        </w:rPr>
        <w:t>、处理老干部来信来访；报告老干部工作信息；负责易地安置老干部的服务和管理工作。</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7</w:t>
      </w:r>
      <w:r>
        <w:rPr>
          <w:rFonts w:ascii="仿宋_GB2312" w:hAnsi="仿宋_GB2312" w:eastAsia="仿宋_GB2312"/>
          <w:sz w:val="32"/>
        </w:rPr>
        <w:t>、抓好本县老干部工作队伍的自身建设。</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8</w:t>
      </w:r>
      <w:r>
        <w:rPr>
          <w:rFonts w:ascii="仿宋_GB2312" w:hAnsi="仿宋_GB2312" w:eastAsia="仿宋_GB2312"/>
          <w:sz w:val="32"/>
        </w:rPr>
        <w:t>、负责局管老干部的服务管理工作；按照有关规定接待外地来我县老干部和有关人员。</w:t>
      </w:r>
    </w:p>
    <w:p>
      <w:pPr>
        <w:keepNext w:val="0"/>
        <w:keepLines w:val="0"/>
        <w:pageBreakBefore w:val="0"/>
        <w:widowControl/>
        <w:tabs>
          <w:tab w:val="left" w:pos="100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9</w:t>
      </w:r>
      <w:r>
        <w:rPr>
          <w:rFonts w:ascii="仿宋_GB2312" w:hAnsi="仿宋_GB2312" w:eastAsia="仿宋_GB2312"/>
          <w:sz w:val="32"/>
        </w:rPr>
        <w:t>、负责承担中共大城县委老干部工作领导小组办公室的日常工作。</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sz w:val="32"/>
          <w:lang w:val="en-US" w:eastAsia="zh-CN"/>
        </w:rPr>
        <w:t>10</w:t>
      </w:r>
      <w:r>
        <w:rPr>
          <w:rFonts w:ascii="仿宋_GB2312" w:hAnsi="仿宋_GB2312" w:eastAsia="仿宋_GB2312"/>
          <w:sz w:val="32"/>
        </w:rPr>
        <w:t>、指导各单位老干部活动站（室）的建设和管理；组织、指导老干部开展健康科学的文化健身、健康修养、参观全县建设成就等活动</w:t>
      </w:r>
      <w:r>
        <w:rPr>
          <w:rFonts w:hint="eastAsia" w:ascii="仿宋_GB2312" w:hAnsi="仿宋_GB2312" w:eastAsia="仿宋_GB2312" w:cs="仿宋_GB2312"/>
          <w:b/>
          <w:sz w:val="32"/>
          <w:szCs w:val="32"/>
          <w:lang w:eastAsia="zh-CN"/>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大城县委老干部局</w:t>
            </w:r>
          </w:p>
        </w:tc>
        <w:tc>
          <w:tcPr>
            <w:tcW w:w="1134"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大城县委老干部局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仿宋_GB2312" w:hAnsi="仿宋_GB2312" w:eastAsia="仿宋_GB2312" w:cs="仿宋_GB2312"/>
          <w:sz w:val="32"/>
          <w:szCs w:val="32"/>
        </w:rPr>
      </w:pPr>
      <w:r>
        <w:rPr>
          <w:rFonts w:ascii="Times New Roman" w:hAnsi="Times New Roman" w:eastAsia="仿宋_GB2312" w:cs="Times New Roman"/>
          <w:sz w:val="32"/>
          <w:szCs w:val="32"/>
        </w:rPr>
        <w:t>反映本部门当年全部收入。</w:t>
      </w:r>
      <w:r>
        <w:rPr>
          <w:rFonts w:hint="eastAsia" w:ascii="仿宋_GB2312" w:hAnsi="仿宋_GB2312" w:eastAsia="仿宋_GB2312" w:cs="仿宋_GB2312"/>
          <w:sz w:val="32"/>
          <w:szCs w:val="32"/>
        </w:rPr>
        <w:t>2019年预算收入</w:t>
      </w:r>
      <w:r>
        <w:rPr>
          <w:rFonts w:hint="eastAsia" w:ascii="仿宋_GB2312" w:hAnsi="仿宋_GB2312" w:eastAsia="仿宋_GB2312" w:cs="仿宋_GB2312"/>
          <w:sz w:val="32"/>
          <w:szCs w:val="32"/>
          <w:lang w:val="en-US" w:eastAsia="zh-CN"/>
        </w:rPr>
        <w:t>1004.18</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1004.18</w:t>
      </w:r>
      <w:r>
        <w:rPr>
          <w:rFonts w:hint="eastAsia" w:ascii="仿宋_GB2312" w:hAnsi="仿宋_GB2312" w:eastAsia="仿宋_GB2312" w:cs="仿宋_GB2312"/>
          <w:sz w:val="32"/>
          <w:szCs w:val="32"/>
        </w:rPr>
        <w:t>万元，基金预算收入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万元，财政专户核拨收入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万元，其他来源收入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84" w:lineRule="exact"/>
        <w:ind w:firstLine="640"/>
        <w:rPr>
          <w:rFonts w:ascii="Times New Roman" w:hAnsi="Times New Roman" w:eastAsia="仿宋_GB2312" w:cs="Times New Roman"/>
          <w:b/>
          <w:sz w:val="32"/>
          <w:szCs w:val="32"/>
        </w:rPr>
      </w:pPr>
      <w:r>
        <w:rPr>
          <w:rFonts w:hint="eastAsia" w:ascii="仿宋_GB2312" w:hAnsi="仿宋_GB2312" w:eastAsia="仿宋_GB2312" w:cs="仿宋_GB2312"/>
          <w:b/>
          <w:sz w:val="32"/>
          <w:szCs w:val="32"/>
        </w:rPr>
        <w:t>2、支出说明</w:t>
      </w:r>
    </w:p>
    <w:p>
      <w:pPr>
        <w:keepNext w:val="0"/>
        <w:keepLines w:val="0"/>
        <w:pageBreakBefore w:val="0"/>
        <w:widowControl w:val="0"/>
        <w:kinsoku/>
        <w:wordWrap/>
        <w:overflowPunct/>
        <w:topLinePunct w:val="0"/>
        <w:autoSpaceDE/>
        <w:autoSpaceDN/>
        <w:bidi w:val="0"/>
        <w:adjustRightInd/>
        <w:snapToGrid/>
        <w:spacing w:line="584"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收支预算总表支出栏、基本支出表、项目支出表按经济分类和支出功能分类科目编制，反映廊坊市</w:t>
      </w:r>
      <w:r>
        <w:rPr>
          <w:rFonts w:hint="eastAsia" w:ascii="仿宋_GB2312" w:hAnsi="仿宋_GB2312" w:eastAsia="仿宋_GB2312" w:cs="仿宋_GB2312"/>
          <w:sz w:val="32"/>
          <w:szCs w:val="32"/>
          <w:lang w:eastAsia="zh-CN"/>
        </w:rPr>
        <w:t>大城县委老干部局</w:t>
      </w:r>
      <w:r>
        <w:rPr>
          <w:rFonts w:hint="eastAsia" w:ascii="仿宋_GB2312" w:hAnsi="仿宋_GB2312" w:eastAsia="仿宋_GB2312" w:cs="仿宋_GB2312"/>
          <w:sz w:val="32"/>
          <w:szCs w:val="32"/>
        </w:rPr>
        <w:t>年度部门预算中支出预算的总体情况。2019年支出预算</w:t>
      </w:r>
      <w:r>
        <w:rPr>
          <w:rFonts w:hint="eastAsia" w:ascii="仿宋_GB2312" w:hAnsi="仿宋_GB2312" w:eastAsia="仿宋_GB2312" w:cs="仿宋_GB2312"/>
          <w:sz w:val="32"/>
          <w:szCs w:val="32"/>
          <w:lang w:val="en-US" w:eastAsia="zh-CN"/>
        </w:rPr>
        <w:t>1004.18</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896.83</w:t>
      </w:r>
      <w:r>
        <w:rPr>
          <w:rFonts w:hint="eastAsia" w:ascii="仿宋_GB2312" w:hAnsi="仿宋_GB2312" w:eastAsia="仿宋_GB2312" w:cs="仿宋_GB2312"/>
          <w:sz w:val="32"/>
          <w:szCs w:val="32"/>
        </w:rPr>
        <w:t>万元，包括人员经费</w:t>
      </w:r>
      <w:r>
        <w:rPr>
          <w:rFonts w:hint="eastAsia" w:ascii="仿宋_GB2312" w:hAnsi="仿宋_GB2312" w:eastAsia="仿宋_GB2312" w:cs="仿宋_GB2312"/>
          <w:sz w:val="32"/>
          <w:szCs w:val="32"/>
          <w:lang w:val="en-US" w:eastAsia="zh-CN"/>
        </w:rPr>
        <w:t>783.26</w:t>
      </w:r>
      <w:r>
        <w:rPr>
          <w:rFonts w:hint="eastAsia" w:ascii="仿宋_GB2312" w:hAnsi="仿宋_GB2312" w:eastAsia="仿宋_GB2312" w:cs="仿宋_GB2312"/>
          <w:sz w:val="32"/>
          <w:szCs w:val="32"/>
        </w:rPr>
        <w:t>万元和日常公用经费</w:t>
      </w:r>
      <w:r>
        <w:rPr>
          <w:rFonts w:hint="eastAsia" w:ascii="仿宋_GB2312" w:hAnsi="仿宋_GB2312" w:eastAsia="仿宋_GB2312" w:cs="仿宋_GB2312"/>
          <w:sz w:val="32"/>
          <w:szCs w:val="32"/>
          <w:lang w:val="en-US" w:eastAsia="zh-CN"/>
        </w:rPr>
        <w:t>113.57</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107.35</w:t>
      </w:r>
      <w:r>
        <w:rPr>
          <w:rFonts w:hint="eastAsia" w:ascii="仿宋_GB2312" w:hAnsi="仿宋_GB2312" w:eastAsia="仿宋_GB2312" w:cs="仿宋_GB2312"/>
          <w:sz w:val="32"/>
          <w:szCs w:val="32"/>
        </w:rPr>
        <w:t>万元，包括本级支出</w:t>
      </w:r>
      <w:r>
        <w:rPr>
          <w:rFonts w:hint="eastAsia" w:ascii="仿宋_GB2312" w:hAnsi="仿宋_GB2312" w:eastAsia="仿宋_GB2312" w:cs="仿宋_GB2312"/>
          <w:sz w:val="32"/>
          <w:szCs w:val="32"/>
          <w:lang w:val="en-US" w:eastAsia="zh-CN"/>
        </w:rPr>
        <w:t>107.35</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老年团体业务费和活动经费、特困离退休干部困难补助经费、“两节”慰问处级实职和军转团职离退休干部经费</w:t>
      </w:r>
      <w:r>
        <w:rPr>
          <w:rFonts w:hint="eastAsia" w:ascii="仿宋_GB2312" w:hAnsi="仿宋_GB2312" w:eastAsia="仿宋_GB2312" w:cs="仿宋_GB2312"/>
          <w:sz w:val="32"/>
          <w:szCs w:val="32"/>
        </w:rPr>
        <w:t>等。</w:t>
      </w:r>
    </w:p>
    <w:p>
      <w:pPr>
        <w:spacing w:line="584"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2019年预算收支安排</w:t>
      </w:r>
      <w:r>
        <w:rPr>
          <w:rFonts w:hint="eastAsia" w:ascii="仿宋_GB2312" w:hAnsi="仿宋_GB2312" w:eastAsia="仿宋_GB2312" w:cs="仿宋_GB2312"/>
          <w:sz w:val="32"/>
          <w:szCs w:val="32"/>
          <w:lang w:val="en-US" w:eastAsia="zh-CN"/>
        </w:rPr>
        <w:t>1004.18</w:t>
      </w:r>
      <w:r>
        <w:rPr>
          <w:rFonts w:hint="eastAsia" w:ascii="仿宋_GB2312" w:hAnsi="仿宋_GB2312" w:eastAsia="仿宋_GB2312" w:cs="仿宋_GB2312"/>
          <w:sz w:val="32"/>
          <w:szCs w:val="32"/>
        </w:rPr>
        <w:t>万元，较2018年预算增加</w:t>
      </w:r>
      <w:r>
        <w:rPr>
          <w:rFonts w:hint="eastAsia" w:ascii="仿宋_GB2312" w:hAnsi="仿宋_GB2312" w:eastAsia="仿宋_GB2312" w:cs="仿宋_GB2312"/>
          <w:sz w:val="32"/>
          <w:szCs w:val="32"/>
          <w:lang w:val="en-US" w:eastAsia="zh-CN"/>
        </w:rPr>
        <w:t>21.39</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lang w:val="en-US" w:eastAsia="zh-CN"/>
        </w:rPr>
        <w:t>17.85</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增加人员工资、保险等</w:t>
      </w:r>
      <w:r>
        <w:rPr>
          <w:rFonts w:hint="eastAsia" w:ascii="仿宋_GB2312" w:hAnsi="仿宋_GB2312" w:eastAsia="仿宋_GB2312" w:cs="仿宋_GB2312"/>
          <w:sz w:val="32"/>
          <w:szCs w:val="32"/>
        </w:rPr>
        <w:t>支出；项目支出增加</w:t>
      </w:r>
      <w:r>
        <w:rPr>
          <w:rFonts w:hint="eastAsia" w:ascii="仿宋_GB2312" w:hAnsi="仿宋_GB2312" w:eastAsia="仿宋_GB2312" w:cs="仿宋_GB2312"/>
          <w:sz w:val="32"/>
          <w:szCs w:val="32"/>
          <w:lang w:val="en-US" w:eastAsia="zh-CN"/>
        </w:rPr>
        <w:t>3.54</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老年书画研究会组织联谊会活动</w:t>
      </w:r>
      <w:r>
        <w:rPr>
          <w:rFonts w:hint="eastAsia" w:ascii="仿宋_GB2312" w:hAnsi="仿宋_GB2312" w:eastAsia="仿宋_GB2312" w:cs="仿宋_GB2312"/>
          <w:sz w:val="32"/>
          <w:szCs w:val="32"/>
        </w:rPr>
        <w:t>项目支出。</w:t>
      </w:r>
    </w:p>
    <w:p>
      <w:pPr>
        <w:tabs>
          <w:tab w:val="left" w:pos="837"/>
        </w:tabs>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2019年，我部门机关运行经费共计安排</w:t>
      </w:r>
      <w:r>
        <w:rPr>
          <w:rFonts w:hint="eastAsia" w:ascii="仿宋_GB2312" w:hAnsi="仿宋_GB2312" w:eastAsia="仿宋_GB2312" w:cs="仿宋_GB2312"/>
          <w:sz w:val="32"/>
          <w:szCs w:val="32"/>
          <w:lang w:val="en-US" w:eastAsia="zh-CN"/>
        </w:rPr>
        <w:t>113.57</w:t>
      </w:r>
      <w:r>
        <w:rPr>
          <w:rFonts w:hint="eastAsia" w:ascii="仿宋_GB2312" w:hAnsi="仿宋_GB2312" w:eastAsia="仿宋_GB2312" w:cs="仿宋_GB2312"/>
          <w:sz w:val="32"/>
          <w:szCs w:val="32"/>
        </w:rPr>
        <w:t>万元，主要用于我部门的办公区的日常维修、办公用房水电费、办公用房取暖费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w:t>
      </w:r>
      <w:r>
        <w:rPr>
          <w:rFonts w:hint="eastAsia" w:ascii="仿宋_GB2312" w:hAnsi="仿宋_GB2312" w:eastAsia="仿宋_GB2312" w:cs="仿宋_GB2312"/>
          <w:sz w:val="32"/>
          <w:szCs w:val="32"/>
          <w:lang w:eastAsia="zh-CN"/>
        </w:rPr>
        <w:t>交通费、离退休人员公用经费</w:t>
      </w:r>
      <w:r>
        <w:rPr>
          <w:rFonts w:hint="eastAsia" w:ascii="仿宋_GB2312" w:hAnsi="仿宋_GB2312" w:eastAsia="仿宋_GB2312" w:cs="仿宋_GB2312"/>
          <w:sz w:val="32"/>
          <w:szCs w:val="32"/>
        </w:rPr>
        <w:t>等日常运行支出。</w:t>
      </w:r>
    </w:p>
    <w:p>
      <w:pPr>
        <w:tabs>
          <w:tab w:val="left" w:pos="492"/>
        </w:tabs>
        <w:autoSpaceDE w:val="0"/>
        <w:autoSpaceDN w:val="0"/>
        <w:adjustRightInd w:val="0"/>
        <w:spacing w:line="584"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2019年，我部门财政拨款“三公”经费预算安排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万元。其中，因公出国（境）费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万元；公务用车购置及运维费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万元，公务用车运维费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万元。与2018年相比</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万元，其中：公务用车购置及运维费</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（其中：公务用车购置费</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，公务用车运维费</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公务接待费减少</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万元，主要原因是我部门切实落实勤俭节约各项规定，严格控制公务接待费支出。</w:t>
      </w:r>
    </w:p>
    <w:p>
      <w:pPr>
        <w:spacing w:line="584"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落实老干部政治学习、阅文读报、参加重要会议和活动，通报经济和社会发展情况，重要节日走访慰问等制度，确保老干部政治待遇落实到位，做到政治上尊重老干部，思想上关心老干部。继续认真落实老干部生活待遇。不断巩固完善老干部生活待遇保障机制，做到离休费按时足额发放不拖欠，离休干部医药费按规定实报实销不拖欠，遗属补助和老干部各项补贴按时足额发放不拖欠，同时进一步完善困难老干部帮扶机制，帮助他们解决实际困难。抓好离退休干部思想政治建设和党组织建设，积极为离退休干部发挥作用搭建平台。不断完善老干部学习活动阵地建设，办好老年大学，抓好活动中心的工作，丰富老干部精神文化生活。关工委突出“学习、创新、教育、服务”的工作主基调，把满足需求和提高素质结合起来，把关爱送到青少年的生活中。老体协搞好培训，加强健身队伍力量。加强老年活动阵地建设，组织老干部开展丰富多彩的文娱活动。组织引导老干部发挥作用。进一步强化老干部部门自身建设。严制度，重规范，勇创新，勤服务，不断提升工作水平，树立老干部工作部门的良好形象。</w:t>
      </w: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29"/>
        <w:gridCol w:w="3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tblHeader/>
          <w:jc w:val="center"/>
        </w:trPr>
        <w:tc>
          <w:tcPr>
            <w:tcW w:w="10329" w:type="dxa"/>
            <w:tcBorders>
              <w:top w:val="single" w:color="FFFFFF" w:sz="6" w:space="0"/>
              <w:left w:val="single" w:color="FFFFFF" w:sz="6" w:space="0"/>
              <w:bottom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287</w:t>
            </w:r>
            <w:r>
              <w:rPr>
                <w:rFonts w:ascii="Times New Roman" w:hAnsi="Times New Roman" w:eastAsia="仿宋_GB2312" w:cs="Times New Roman"/>
                <w:sz w:val="24"/>
              </w:rPr>
              <w:t>廊坊市</w:t>
            </w:r>
            <w:r>
              <w:rPr>
                <w:rFonts w:hint="eastAsia" w:ascii="Times New Roman" w:hAnsi="Times New Roman" w:eastAsia="仿宋_GB2312" w:cs="Times New Roman"/>
                <w:sz w:val="24"/>
                <w:lang w:eastAsia="zh-CN"/>
              </w:rPr>
              <w:t>大城县委老干部局</w:t>
            </w:r>
          </w:p>
        </w:tc>
        <w:tc>
          <w:tcPr>
            <w:tcW w:w="3511" w:type="dxa"/>
            <w:tcBorders>
              <w:top w:val="single" w:color="FFFFFF" w:sz="6" w:space="0"/>
              <w:left w:val="single" w:color="FFFFFF" w:sz="6" w:space="0"/>
              <w:bottom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bl>
    <w:tbl>
      <w:tblPr>
        <w:tblStyle w:val="8"/>
        <w:tblpPr w:leftFromText="180" w:rightFromText="180" w:vertAnchor="text" w:horzAnchor="page" w:tblpX="1599" w:tblpY="160"/>
        <w:tblOverlap w:val="never"/>
        <w:tblW w:w="139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5"/>
        <w:gridCol w:w="1279"/>
        <w:gridCol w:w="2981"/>
        <w:gridCol w:w="2982"/>
        <w:gridCol w:w="831"/>
        <w:gridCol w:w="589"/>
        <w:gridCol w:w="738"/>
        <w:gridCol w:w="739"/>
        <w:gridCol w:w="738"/>
        <w:gridCol w:w="7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 w:hRule="atLeast"/>
          <w:tblHeader/>
        </w:trPr>
        <w:tc>
          <w:tcPr>
            <w:tcW w:w="2345" w:type="dxa"/>
            <w:vMerge w:val="restart"/>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职责活动</w:t>
            </w:r>
          </w:p>
        </w:tc>
        <w:tc>
          <w:tcPr>
            <w:tcW w:w="1279" w:type="dxa"/>
            <w:vMerge w:val="restart"/>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年度预算数</w:t>
            </w:r>
          </w:p>
        </w:tc>
        <w:tc>
          <w:tcPr>
            <w:tcW w:w="2981" w:type="dxa"/>
            <w:vMerge w:val="restart"/>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内容描述</w:t>
            </w:r>
          </w:p>
        </w:tc>
        <w:tc>
          <w:tcPr>
            <w:tcW w:w="2982" w:type="dxa"/>
            <w:vMerge w:val="restart"/>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420" w:type="dxa"/>
            <w:gridSpan w:val="2"/>
            <w:vMerge w:val="restart"/>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w:t>
            </w:r>
          </w:p>
        </w:tc>
        <w:tc>
          <w:tcPr>
            <w:tcW w:w="2953" w:type="dxa"/>
            <w:gridSpan w:val="4"/>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 w:hRule="atLeast"/>
          <w:tblHeader/>
        </w:trPr>
        <w:tc>
          <w:tcPr>
            <w:tcW w:w="2345" w:type="dxa"/>
            <w:vMerge w:val="continue"/>
            <w:shd w:val="clear" w:color="auto" w:fill="auto"/>
            <w:vAlign w:val="center"/>
          </w:tcPr>
          <w:p>
            <w:pPr>
              <w:spacing w:line="300" w:lineRule="exact"/>
              <w:jc w:val="left"/>
              <w:outlineLvl w:val="0"/>
              <w:rPr>
                <w:rFonts w:hint="eastAsia" w:ascii="仿宋_GB2312" w:hAnsi="仿宋_GB2312" w:eastAsia="仿宋_GB2312" w:cs="仿宋_GB2312"/>
                <w:sz w:val="21"/>
                <w:szCs w:val="21"/>
              </w:rPr>
            </w:pPr>
          </w:p>
        </w:tc>
        <w:tc>
          <w:tcPr>
            <w:tcW w:w="1279" w:type="dxa"/>
            <w:vMerge w:val="continue"/>
            <w:shd w:val="clear" w:color="auto" w:fill="auto"/>
            <w:vAlign w:val="center"/>
          </w:tcPr>
          <w:p>
            <w:pPr>
              <w:spacing w:line="300" w:lineRule="exact"/>
              <w:jc w:val="left"/>
              <w:outlineLvl w:val="0"/>
              <w:rPr>
                <w:rFonts w:hint="eastAsia" w:ascii="仿宋_GB2312" w:hAnsi="仿宋_GB2312" w:eastAsia="仿宋_GB2312" w:cs="仿宋_GB2312"/>
                <w:sz w:val="21"/>
                <w:szCs w:val="21"/>
              </w:rPr>
            </w:pPr>
          </w:p>
        </w:tc>
        <w:tc>
          <w:tcPr>
            <w:tcW w:w="2981" w:type="dxa"/>
            <w:vMerge w:val="continue"/>
            <w:shd w:val="clear" w:color="auto" w:fill="auto"/>
            <w:vAlign w:val="center"/>
          </w:tcPr>
          <w:p>
            <w:pPr>
              <w:spacing w:line="300" w:lineRule="exact"/>
              <w:jc w:val="left"/>
              <w:outlineLvl w:val="0"/>
              <w:rPr>
                <w:rFonts w:hint="eastAsia" w:ascii="仿宋_GB2312" w:hAnsi="仿宋_GB2312" w:eastAsia="仿宋_GB2312" w:cs="仿宋_GB2312"/>
                <w:sz w:val="21"/>
                <w:szCs w:val="21"/>
              </w:rPr>
            </w:pPr>
          </w:p>
        </w:tc>
        <w:tc>
          <w:tcPr>
            <w:tcW w:w="2982" w:type="dxa"/>
            <w:vMerge w:val="continue"/>
            <w:shd w:val="clear" w:color="auto" w:fill="auto"/>
            <w:vAlign w:val="center"/>
          </w:tcPr>
          <w:p>
            <w:pPr>
              <w:spacing w:line="300" w:lineRule="exact"/>
              <w:jc w:val="left"/>
              <w:outlineLvl w:val="0"/>
              <w:rPr>
                <w:rFonts w:hint="eastAsia" w:ascii="仿宋_GB2312" w:hAnsi="仿宋_GB2312" w:eastAsia="仿宋_GB2312" w:cs="仿宋_GB2312"/>
                <w:sz w:val="21"/>
                <w:szCs w:val="21"/>
              </w:rPr>
            </w:pPr>
          </w:p>
        </w:tc>
        <w:tc>
          <w:tcPr>
            <w:tcW w:w="1420" w:type="dxa"/>
            <w:gridSpan w:val="2"/>
            <w:vMerge w:val="continue"/>
            <w:shd w:val="clear" w:color="auto" w:fill="auto"/>
            <w:vAlign w:val="center"/>
          </w:tcPr>
          <w:p>
            <w:pPr>
              <w:spacing w:line="300" w:lineRule="exact"/>
              <w:jc w:val="left"/>
              <w:outlineLvl w:val="0"/>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优</w:t>
            </w:r>
          </w:p>
        </w:tc>
        <w:tc>
          <w:tcPr>
            <w:tcW w:w="73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良</w:t>
            </w:r>
          </w:p>
        </w:tc>
        <w:tc>
          <w:tcPr>
            <w:tcW w:w="73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中</w:t>
            </w:r>
          </w:p>
        </w:tc>
        <w:tc>
          <w:tcPr>
            <w:tcW w:w="73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一、离退休干部政策及服务</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18.15</w:t>
            </w: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贯彻落实国家关于离退休干部的方针政策，组织落实离退休干部的政治、生活待遇</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保障离退休干部各项政策的落实</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1、落实老干部政治、生活待遇</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18.15</w:t>
            </w: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全面落实老干部政治、生活待遇</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让每位老干部感受到政治上的关心、生活上的爱护</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老干部生活待遇保障率</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大于90%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大于80%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小于80%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2、老干部活动、组织建设</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组织老干部参加社会、文体等各项活动，加强老干部基层组织和党支部建设</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老干部日常生活活动丰富充实</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基层组织和党支部建设工作完成率</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大于90%</w:t>
            </w: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大于80%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大于70%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小于70%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二、老年活动阵地建设</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80.00</w:t>
            </w: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建设、管理、使用好老年活动阵地，并指导全县阵地建设。</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完善老年阵地建设体系</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2345" w:type="dxa"/>
            <w:vMerge w:val="restart"/>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1、老年教育及关心下一代</w:t>
            </w:r>
          </w:p>
        </w:tc>
        <w:tc>
          <w:tcPr>
            <w:tcW w:w="127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80.00</w:t>
            </w:r>
          </w:p>
        </w:tc>
        <w:tc>
          <w:tcPr>
            <w:tcW w:w="2981"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贯彻执行老年教育和老干部工作方针，构建终身教育体系；开展全县关心下一代工作，组织老同志参加青少年教育工作。</w:t>
            </w:r>
          </w:p>
        </w:tc>
        <w:tc>
          <w:tcPr>
            <w:tcW w:w="2982"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健全完善与经济社会发展相适应的老年教育体系，充分发挥老干部传帮带作用，传承优良作风，让下一代健康成长</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老年教育普及率</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大于90%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大于80%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小于80%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trPr>
        <w:tc>
          <w:tcPr>
            <w:tcW w:w="2345" w:type="dxa"/>
            <w:vMerge w:val="continue"/>
            <w:shd w:val="clear" w:color="auto" w:fill="auto"/>
            <w:vAlign w:val="center"/>
          </w:tcPr>
          <w:p>
            <w:pPr>
              <w:spacing w:line="300" w:lineRule="exact"/>
              <w:jc w:val="left"/>
              <w:rPr>
                <w:rFonts w:hint="eastAsia" w:ascii="仿宋_GB2312" w:hAnsi="仿宋_GB2312" w:eastAsia="仿宋_GB2312" w:cs="仿宋_GB2312"/>
                <w:b/>
                <w:sz w:val="21"/>
                <w:szCs w:val="21"/>
              </w:rPr>
            </w:pPr>
          </w:p>
        </w:tc>
        <w:tc>
          <w:tcPr>
            <w:tcW w:w="1279" w:type="dxa"/>
            <w:vMerge w:val="continue"/>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981" w:type="dxa"/>
            <w:vMerge w:val="continue"/>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982" w:type="dxa"/>
            <w:vMerge w:val="continue"/>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开展青少年教育活动次数</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多于4次</w:t>
            </w: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3次</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2次</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少于2次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三、综合事务管理</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9.20</w:t>
            </w: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老干部管理服务设施维修改造、后勤保障、日常运转。</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确保各项活动、工作正常运行。</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1、综合事务管理</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9.20</w:t>
            </w: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离退休干部管理服务机构设施维修改造、后勤保障、日常运转。</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为老干部各项活动的顺利开展进行做好保障工作。</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综合事务管理工作完成率</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大于95%</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大于90%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小于90%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tblHeader/>
        </w:trPr>
        <w:tc>
          <w:tcPr>
            <w:tcW w:w="10418" w:type="dxa"/>
            <w:gridSpan w:val="5"/>
            <w:tcBorders>
              <w:top w:val="single" w:color="FFFFFF" w:sz="6" w:space="0"/>
              <w:left w:val="single" w:color="FFFFFF" w:sz="6" w:space="0"/>
              <w:bottom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eastAsia="zh-CN"/>
              </w:rPr>
            </w:pPr>
          </w:p>
        </w:tc>
        <w:tc>
          <w:tcPr>
            <w:tcW w:w="3542" w:type="dxa"/>
            <w:gridSpan w:val="5"/>
            <w:tcBorders>
              <w:top w:val="single" w:color="FFFFFF" w:sz="6" w:space="0"/>
              <w:left w:val="single" w:color="FFFFFF" w:sz="6" w:space="0"/>
              <w:bottom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p>
        </w:tc>
      </w:tr>
    </w:tbl>
    <w:p>
      <w:pPr>
        <w:autoSpaceDE w:val="0"/>
        <w:autoSpaceDN w:val="0"/>
        <w:adjustRightInd w:val="0"/>
        <w:spacing w:line="584"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2" w:name="_Toc471398468"/>
      <w:r>
        <w:rPr>
          <w:rFonts w:hint="eastAsia" w:ascii="仿宋_GB2312" w:hAnsi="仿宋_GB2312" w:eastAsia="仿宋_GB2312" w:cs="仿宋_GB2312"/>
          <w:sz w:val="32"/>
          <w:szCs w:val="24"/>
        </w:rPr>
        <w:t>2019年，我部门安排政府采购预算</w:t>
      </w:r>
      <w:r>
        <w:rPr>
          <w:rFonts w:hint="eastAsia" w:ascii="仿宋_GB2312" w:hAnsi="仿宋_GB2312" w:eastAsia="仿宋_GB2312" w:cs="仿宋_GB2312"/>
          <w:sz w:val="32"/>
          <w:szCs w:val="24"/>
          <w:lang w:val="en-US" w:eastAsia="zh-CN"/>
        </w:rPr>
        <w:t>2.65</w:t>
      </w:r>
      <w:r>
        <w:rPr>
          <w:rFonts w:hint="eastAsia" w:ascii="仿宋_GB2312" w:hAnsi="仿宋_GB2312" w:eastAsia="仿宋_GB2312" w:cs="仿宋_GB2312"/>
          <w:sz w:val="32"/>
          <w:szCs w:val="24"/>
        </w:rPr>
        <w:t>万元。具体内容见下表。</w:t>
      </w:r>
    </w:p>
    <w:bookmarkEnd w:id="2"/>
    <w:p>
      <w:pPr>
        <w:spacing w:line="584" w:lineRule="exact"/>
        <w:jc w:val="center"/>
        <w:outlineLvl w:val="0"/>
        <w:rPr>
          <w:rFonts w:ascii="Times New Roman" w:hAnsi="Times New Roman" w:eastAsia="仿宋_GB2312" w:cs="Times New Roman"/>
          <w:b/>
          <w:bCs/>
          <w:sz w:val="32"/>
        </w:rPr>
      </w:pPr>
      <w:bookmarkStart w:id="3" w:name="_Toc504489153"/>
      <w:r>
        <w:rPr>
          <w:rFonts w:hint="eastAsia" w:ascii="仿宋_GB2312" w:hAnsi="仿宋_GB2312" w:eastAsia="仿宋_GB2312" w:cs="仿宋_GB2312"/>
          <w:b/>
          <w:bCs/>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287</w:t>
            </w:r>
            <w:r>
              <w:rPr>
                <w:rFonts w:hint="eastAsia" w:ascii="Times New Roman" w:hAnsi="Times New Roman" w:eastAsia="仿宋_GB2312" w:cs="Times New Roman"/>
                <w:sz w:val="24"/>
              </w:rPr>
              <w:t>廊坊市</w:t>
            </w:r>
            <w:r>
              <w:rPr>
                <w:rFonts w:hint="eastAsia" w:ascii="Times New Roman" w:hAnsi="Times New Roman" w:eastAsia="仿宋_GB2312" w:cs="Times New Roman"/>
                <w:sz w:val="24"/>
                <w:lang w:eastAsia="zh-CN"/>
              </w:rPr>
              <w:t>大城县委老干部局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hint="eastAsia" w:ascii="仿宋_GB2312" w:hAnsi="仿宋_GB2312" w:eastAsia="仿宋_GB2312" w:cs="仿宋_GB2312"/>
                <w:b/>
              </w:rPr>
            </w:pPr>
          </w:p>
        </w:tc>
        <w:tc>
          <w:tcPr>
            <w:tcW w:w="932" w:type="dxa"/>
            <w:shd w:val="clear" w:color="auto" w:fill="auto"/>
            <w:vAlign w:val="center"/>
          </w:tcPr>
          <w:p>
            <w:pPr>
              <w:spacing w:line="584" w:lineRule="exact"/>
              <w:jc w:val="left"/>
              <w:rPr>
                <w:rFonts w:hint="eastAsia" w:ascii="仿宋_GB2312" w:hAnsi="仿宋_GB2312" w:eastAsia="仿宋_GB2312" w:cs="仿宋_GB2312"/>
                <w:b/>
              </w:rPr>
            </w:pPr>
          </w:p>
        </w:tc>
        <w:tc>
          <w:tcPr>
            <w:tcW w:w="1372" w:type="dxa"/>
            <w:shd w:val="clear" w:color="auto" w:fill="auto"/>
            <w:vAlign w:val="center"/>
          </w:tcPr>
          <w:p>
            <w:pPr>
              <w:spacing w:line="584" w:lineRule="exact"/>
              <w:jc w:val="left"/>
              <w:rPr>
                <w:rFonts w:hint="eastAsia" w:ascii="仿宋_GB2312" w:hAnsi="仿宋_GB2312" w:eastAsia="仿宋_GB2312" w:cs="仿宋_GB2312"/>
                <w:b/>
              </w:rPr>
            </w:pPr>
          </w:p>
        </w:tc>
        <w:tc>
          <w:tcPr>
            <w:tcW w:w="720" w:type="dxa"/>
            <w:shd w:val="clear" w:color="auto" w:fill="auto"/>
            <w:vAlign w:val="center"/>
          </w:tcPr>
          <w:p>
            <w:pPr>
              <w:spacing w:line="584" w:lineRule="exact"/>
              <w:jc w:val="left"/>
              <w:rPr>
                <w:rFonts w:hint="eastAsia" w:ascii="仿宋_GB2312" w:hAnsi="仿宋_GB2312" w:eastAsia="仿宋_GB2312" w:cs="仿宋_GB2312"/>
                <w:b/>
              </w:rPr>
            </w:pPr>
          </w:p>
        </w:tc>
        <w:tc>
          <w:tcPr>
            <w:tcW w:w="740" w:type="dxa"/>
            <w:shd w:val="clear" w:color="auto" w:fill="auto"/>
            <w:vAlign w:val="center"/>
          </w:tcPr>
          <w:p>
            <w:pPr>
              <w:spacing w:line="584" w:lineRule="exact"/>
              <w:jc w:val="right"/>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6</w:t>
            </w:r>
          </w:p>
        </w:tc>
        <w:tc>
          <w:tcPr>
            <w:tcW w:w="950" w:type="dxa"/>
            <w:shd w:val="clear" w:color="auto" w:fill="auto"/>
            <w:vAlign w:val="center"/>
          </w:tcPr>
          <w:p>
            <w:pPr>
              <w:spacing w:line="584" w:lineRule="exact"/>
              <w:jc w:val="right"/>
              <w:rPr>
                <w:rFonts w:hint="eastAsia" w:ascii="仿宋_GB2312" w:hAnsi="仿宋_GB2312" w:eastAsia="仿宋_GB2312" w:cs="仿宋_GB2312"/>
                <w:b/>
              </w:rPr>
            </w:pPr>
          </w:p>
        </w:tc>
        <w:tc>
          <w:tcPr>
            <w:tcW w:w="956" w:type="dxa"/>
            <w:shd w:val="clear" w:color="auto" w:fill="auto"/>
            <w:vAlign w:val="center"/>
          </w:tcPr>
          <w:p>
            <w:pPr>
              <w:spacing w:line="584" w:lineRule="exact"/>
              <w:jc w:val="right"/>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2.65</w:t>
            </w:r>
          </w:p>
        </w:tc>
        <w:tc>
          <w:tcPr>
            <w:tcW w:w="956" w:type="dxa"/>
            <w:shd w:val="clear" w:color="auto" w:fill="auto"/>
            <w:vAlign w:val="center"/>
          </w:tcPr>
          <w:p>
            <w:pPr>
              <w:spacing w:line="584" w:lineRule="exact"/>
              <w:jc w:val="right"/>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2.65</w:t>
            </w:r>
          </w:p>
        </w:tc>
        <w:tc>
          <w:tcPr>
            <w:tcW w:w="956" w:type="dxa"/>
            <w:shd w:val="clear" w:color="auto" w:fill="auto"/>
            <w:vAlign w:val="center"/>
          </w:tcPr>
          <w:p>
            <w:pPr>
              <w:spacing w:line="584" w:lineRule="exact"/>
              <w:jc w:val="right"/>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2.65</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关工委业务费</w:t>
            </w:r>
          </w:p>
        </w:tc>
        <w:tc>
          <w:tcPr>
            <w:tcW w:w="1057"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w:t>
            </w:r>
          </w:p>
        </w:tc>
        <w:tc>
          <w:tcPr>
            <w:tcW w:w="932" w:type="dxa"/>
            <w:shd w:val="clear" w:color="auto" w:fill="auto"/>
            <w:vAlign w:val="center"/>
          </w:tcPr>
          <w:p>
            <w:pPr>
              <w:spacing w:line="584" w:lineRule="exact"/>
              <w:jc w:val="left"/>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多功能一体机</w:t>
            </w:r>
          </w:p>
        </w:tc>
        <w:tc>
          <w:tcPr>
            <w:tcW w:w="1372" w:type="dxa"/>
            <w:shd w:val="clear" w:color="auto" w:fill="auto"/>
            <w:vAlign w:val="center"/>
          </w:tcPr>
          <w:p>
            <w:pPr>
              <w:spacing w:line="584" w:lineRule="exact"/>
              <w:jc w:val="lef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A020204</w:t>
            </w:r>
          </w:p>
        </w:tc>
        <w:tc>
          <w:tcPr>
            <w:tcW w:w="720" w:type="dxa"/>
            <w:shd w:val="clear" w:color="auto" w:fill="auto"/>
            <w:vAlign w:val="center"/>
          </w:tcPr>
          <w:p>
            <w:pPr>
              <w:spacing w:line="584" w:lineRule="exact"/>
              <w:jc w:val="left"/>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台</w:t>
            </w:r>
          </w:p>
        </w:tc>
        <w:tc>
          <w:tcPr>
            <w:tcW w:w="740"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w:t>
            </w:r>
          </w:p>
        </w:tc>
        <w:tc>
          <w:tcPr>
            <w:tcW w:w="950"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0.3</w:t>
            </w:r>
          </w:p>
        </w:tc>
        <w:tc>
          <w:tcPr>
            <w:tcW w:w="790" w:type="dxa"/>
            <w:shd w:val="clear" w:color="auto" w:fill="auto"/>
            <w:vAlign w:val="center"/>
          </w:tcPr>
          <w:p>
            <w:pPr>
              <w:spacing w:line="584" w:lineRule="exact"/>
              <w:jc w:val="right"/>
              <w:rPr>
                <w:rFonts w:ascii="Times New Roman" w:hAnsi="Times New Roman" w:eastAsia="仿宋_GB2312" w:cs="Times New Roman"/>
                <w:b w:val="0"/>
                <w:bCs/>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老体协业务费</w:t>
            </w:r>
          </w:p>
        </w:tc>
        <w:tc>
          <w:tcPr>
            <w:tcW w:w="1057"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18</w:t>
            </w:r>
          </w:p>
        </w:tc>
        <w:tc>
          <w:tcPr>
            <w:tcW w:w="932" w:type="dxa"/>
            <w:shd w:val="clear" w:color="auto" w:fill="auto"/>
            <w:vAlign w:val="center"/>
          </w:tcPr>
          <w:p>
            <w:pPr>
              <w:spacing w:line="584" w:lineRule="exac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多功能一体机</w:t>
            </w:r>
          </w:p>
        </w:tc>
        <w:tc>
          <w:tcPr>
            <w:tcW w:w="1372" w:type="dxa"/>
            <w:shd w:val="clear" w:color="auto" w:fill="auto"/>
            <w:vAlign w:val="center"/>
          </w:tcPr>
          <w:p>
            <w:pPr>
              <w:spacing w:line="584"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A020204</w:t>
            </w:r>
          </w:p>
        </w:tc>
        <w:tc>
          <w:tcPr>
            <w:tcW w:w="720" w:type="dxa"/>
            <w:shd w:val="clear" w:color="auto" w:fill="auto"/>
            <w:vAlign w:val="center"/>
          </w:tcPr>
          <w:p>
            <w:pPr>
              <w:spacing w:line="584"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台</w:t>
            </w:r>
          </w:p>
        </w:tc>
        <w:tc>
          <w:tcPr>
            <w:tcW w:w="74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c>
          <w:tcPr>
            <w:tcW w:w="95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老体协业务费</w:t>
            </w:r>
          </w:p>
        </w:tc>
        <w:tc>
          <w:tcPr>
            <w:tcW w:w="1057"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18</w:t>
            </w:r>
          </w:p>
        </w:tc>
        <w:tc>
          <w:tcPr>
            <w:tcW w:w="932" w:type="dxa"/>
            <w:shd w:val="clear" w:color="auto" w:fill="auto"/>
            <w:vAlign w:val="center"/>
          </w:tcPr>
          <w:p>
            <w:pPr>
              <w:spacing w:line="584" w:lineRule="exac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空调机</w:t>
            </w:r>
          </w:p>
        </w:tc>
        <w:tc>
          <w:tcPr>
            <w:tcW w:w="1372" w:type="dxa"/>
            <w:shd w:val="clear" w:color="auto" w:fill="auto"/>
            <w:vAlign w:val="center"/>
          </w:tcPr>
          <w:p>
            <w:pPr>
              <w:spacing w:line="584"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A0206180203</w:t>
            </w:r>
          </w:p>
        </w:tc>
        <w:tc>
          <w:tcPr>
            <w:tcW w:w="720" w:type="dxa"/>
            <w:shd w:val="clear" w:color="auto" w:fill="auto"/>
            <w:vAlign w:val="center"/>
          </w:tcPr>
          <w:p>
            <w:pPr>
              <w:spacing w:line="584" w:lineRule="exac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台</w:t>
            </w:r>
          </w:p>
        </w:tc>
        <w:tc>
          <w:tcPr>
            <w:tcW w:w="74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c>
          <w:tcPr>
            <w:tcW w:w="95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8" w:hRule="atLeast"/>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日常公用经费</w:t>
            </w:r>
          </w:p>
        </w:tc>
        <w:tc>
          <w:tcPr>
            <w:tcW w:w="1057"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113.57</w:t>
            </w:r>
          </w:p>
        </w:tc>
        <w:tc>
          <w:tcPr>
            <w:tcW w:w="932" w:type="dxa"/>
            <w:shd w:val="clear" w:color="auto" w:fill="auto"/>
            <w:vAlign w:val="center"/>
          </w:tcPr>
          <w:p>
            <w:pPr>
              <w:spacing w:line="584" w:lineRule="exac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移动存储设备</w:t>
            </w:r>
          </w:p>
        </w:tc>
        <w:tc>
          <w:tcPr>
            <w:tcW w:w="1372" w:type="dxa"/>
            <w:shd w:val="clear" w:color="auto" w:fill="auto"/>
            <w:vAlign w:val="center"/>
          </w:tcPr>
          <w:p>
            <w:pPr>
              <w:spacing w:line="584"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A02010508</w:t>
            </w:r>
          </w:p>
        </w:tc>
        <w:tc>
          <w:tcPr>
            <w:tcW w:w="720" w:type="dxa"/>
            <w:shd w:val="clear" w:color="auto" w:fill="auto"/>
            <w:vAlign w:val="center"/>
          </w:tcPr>
          <w:p>
            <w:pPr>
              <w:spacing w:line="584" w:lineRule="exac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台</w:t>
            </w:r>
          </w:p>
        </w:tc>
        <w:tc>
          <w:tcPr>
            <w:tcW w:w="74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c>
          <w:tcPr>
            <w:tcW w:w="95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0.45</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0.45</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0.45</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0.45</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日常公用经费</w:t>
            </w:r>
          </w:p>
        </w:tc>
        <w:tc>
          <w:tcPr>
            <w:tcW w:w="1057"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113.57</w:t>
            </w:r>
          </w:p>
        </w:tc>
        <w:tc>
          <w:tcPr>
            <w:tcW w:w="9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移动存储设备</w:t>
            </w:r>
          </w:p>
        </w:tc>
        <w:tc>
          <w:tcPr>
            <w:tcW w:w="1372"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A02010508</w:t>
            </w:r>
          </w:p>
        </w:tc>
        <w:tc>
          <w:tcPr>
            <w:tcW w:w="72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台</w:t>
            </w:r>
          </w:p>
        </w:tc>
        <w:tc>
          <w:tcPr>
            <w:tcW w:w="74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95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日常公用经费</w:t>
            </w:r>
          </w:p>
        </w:tc>
        <w:tc>
          <w:tcPr>
            <w:tcW w:w="1057"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113.57</w:t>
            </w:r>
          </w:p>
        </w:tc>
        <w:tc>
          <w:tcPr>
            <w:tcW w:w="9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空调机</w:t>
            </w:r>
          </w:p>
        </w:tc>
        <w:tc>
          <w:tcPr>
            <w:tcW w:w="1372"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A0206180203</w:t>
            </w:r>
          </w:p>
        </w:tc>
        <w:tc>
          <w:tcPr>
            <w:tcW w:w="72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台</w:t>
            </w:r>
          </w:p>
        </w:tc>
        <w:tc>
          <w:tcPr>
            <w:tcW w:w="74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95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0.7</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0.7</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0.7</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0.7</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廊坊市</w:t>
      </w:r>
      <w:r>
        <w:rPr>
          <w:rFonts w:hint="eastAsia" w:ascii="仿宋_GB2312" w:hAnsi="仿宋_GB2312" w:eastAsia="仿宋_GB2312" w:cs="仿宋_GB2312"/>
          <w:sz w:val="32"/>
          <w:szCs w:val="32"/>
          <w:lang w:eastAsia="zh-CN"/>
        </w:rPr>
        <w:t>大城县委老干部局</w:t>
      </w:r>
      <w:r>
        <w:rPr>
          <w:rFonts w:hint="eastAsia" w:ascii="仿宋_GB2312" w:hAnsi="仿宋_GB2312" w:eastAsia="仿宋_GB2312" w:cs="仿宋_GB2312"/>
          <w:sz w:val="32"/>
          <w:szCs w:val="32"/>
        </w:rPr>
        <w:t>（含所属单位）上年末固定资产金额为</w:t>
      </w:r>
      <w:r>
        <w:rPr>
          <w:rFonts w:hint="eastAsia" w:ascii="仿宋_GB2312" w:hAnsi="仿宋_GB2312" w:eastAsia="仿宋_GB2312" w:cs="仿宋_GB2312"/>
          <w:sz w:val="32"/>
          <w:szCs w:val="32"/>
          <w:lang w:val="en-US" w:eastAsia="zh-CN"/>
        </w:rPr>
        <w:t>211.14</w:t>
      </w:r>
      <w:r>
        <w:rPr>
          <w:rFonts w:hint="eastAsia" w:ascii="仿宋_GB2312" w:hAnsi="仿宋_GB2312" w:eastAsia="仿宋_GB2312" w:cs="仿宋_GB2312"/>
          <w:sz w:val="32"/>
          <w:szCs w:val="32"/>
        </w:rPr>
        <w:t>万元，详见下表。本年度我部门拟购置固定资产共计</w:t>
      </w:r>
      <w:r>
        <w:rPr>
          <w:rFonts w:hint="eastAsia" w:ascii="仿宋_GB2312" w:hAnsi="仿宋_GB2312" w:eastAsia="仿宋_GB2312" w:cs="仿宋_GB2312"/>
          <w:sz w:val="32"/>
          <w:szCs w:val="32"/>
          <w:lang w:val="en-US" w:eastAsia="zh-CN"/>
        </w:rPr>
        <w:t>2.65</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计算机设备、打印设备、空调等</w:t>
      </w:r>
      <w:r>
        <w:rPr>
          <w:rFonts w:hint="eastAsia" w:ascii="仿宋_GB2312" w:hAnsi="仿宋_GB2312" w:eastAsia="仿宋_GB2312" w:cs="仿宋_GB2312"/>
          <w:sz w:val="32"/>
          <w:szCs w:val="32"/>
        </w:rPr>
        <w:t>，已列入政府采购预算，详见政府采购预算表。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大城县县</w:t>
            </w:r>
            <w:r>
              <w:rPr>
                <w:rFonts w:hint="eastAsia" w:ascii="仿宋_GB2312" w:hAnsi="仿宋_GB2312" w:eastAsia="仿宋_GB2312" w:cs="仿宋_GB2312"/>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仿宋_GB2312" w:hAnsi="仿宋_GB2312" w:eastAsia="仿宋_GB2312" w:cs="仿宋_GB2312"/>
                <w:kern w:val="0"/>
                <w:sz w:val="22"/>
                <w:lang w:val="en-US" w:eastAsia="zh-CN"/>
              </w:rPr>
            </w:pPr>
            <w:r>
              <w:rPr>
                <w:rFonts w:hint="eastAsia" w:ascii="仿宋_GB2312" w:hAnsi="仿宋_GB2312" w:eastAsia="仿宋_GB2312" w:cs="仿宋_GB2312"/>
                <w:kern w:val="0"/>
                <w:sz w:val="22"/>
              </w:rPr>
              <w:t>编制部门：</w:t>
            </w:r>
            <w:r>
              <w:rPr>
                <w:rFonts w:hint="eastAsia" w:ascii="仿宋_GB2312" w:hAnsi="仿宋_GB2312" w:eastAsia="仿宋_GB2312" w:cs="仿宋_GB2312"/>
                <w:kern w:val="0"/>
                <w:sz w:val="22"/>
                <w:lang w:val="en-US" w:eastAsia="zh-CN"/>
              </w:rPr>
              <w:t>287</w:t>
            </w:r>
            <w:r>
              <w:rPr>
                <w:rFonts w:hint="eastAsia" w:ascii="仿宋_GB2312" w:hAnsi="仿宋_GB2312" w:eastAsia="仿宋_GB2312" w:cs="仿宋_GB2312"/>
                <w:kern w:val="0"/>
                <w:sz w:val="22"/>
              </w:rPr>
              <w:t>廊坊市</w:t>
            </w:r>
            <w:r>
              <w:rPr>
                <w:rFonts w:hint="eastAsia" w:ascii="仿宋_GB2312" w:hAnsi="仿宋_GB2312" w:eastAsia="仿宋_GB2312" w:cs="仿宋_GB2312"/>
                <w:kern w:val="0"/>
                <w:sz w:val="22"/>
                <w:lang w:eastAsia="zh-CN"/>
              </w:rPr>
              <w:t>大城县委老干部局</w:t>
            </w:r>
          </w:p>
        </w:tc>
        <w:tc>
          <w:tcPr>
            <w:tcW w:w="5103" w:type="dxa"/>
            <w:tcBorders>
              <w:top w:val="nil"/>
              <w:left w:val="nil"/>
              <w:bottom w:val="nil"/>
              <w:right w:val="nil"/>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截止时间：2018年12月31日</w:t>
            </w:r>
          </w:p>
        </w:tc>
      </w:tr>
      <w:tr>
        <w:tblPrEx>
          <w:tblCellMar>
            <w:top w:w="0" w:type="dxa"/>
            <w:left w:w="108" w:type="dxa"/>
            <w:bottom w:w="0" w:type="dxa"/>
            <w:right w:w="108" w:type="dxa"/>
          </w:tblCellMar>
        </w:tblPrEx>
        <w:trPr>
          <w:trHeight w:val="592"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211.14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2483</w:t>
            </w:r>
          </w:p>
        </w:tc>
        <w:tc>
          <w:tcPr>
            <w:tcW w:w="5103" w:type="dxa"/>
            <w:tcBorders>
              <w:top w:val="nil"/>
              <w:left w:val="nil"/>
              <w:bottom w:val="single" w:color="auto" w:sz="4" w:space="0"/>
              <w:right w:val="single" w:color="auto" w:sz="4" w:space="0"/>
            </w:tcBorders>
            <w:shd w:val="clear" w:color="auto" w:fill="auto"/>
            <w:vAlign w:val="center"/>
          </w:tcPr>
          <w:p>
            <w:pPr>
              <w:tabs>
                <w:tab w:val="left" w:pos="976"/>
              </w:tabs>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193.95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2483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193.95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17.19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仿宋_GB2312" w:hAnsi="仿宋_GB2312" w:eastAsia="仿宋_GB2312" w:cs="仿宋_GB2312"/>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4536253"/>
    <w:rsid w:val="10F815D4"/>
    <w:rsid w:val="167D27CB"/>
    <w:rsid w:val="18762332"/>
    <w:rsid w:val="1CAD7243"/>
    <w:rsid w:val="1EEC6AD7"/>
    <w:rsid w:val="21AA4A7C"/>
    <w:rsid w:val="29CA672A"/>
    <w:rsid w:val="34CF03DF"/>
    <w:rsid w:val="3FA10EB1"/>
    <w:rsid w:val="46BB181C"/>
    <w:rsid w:val="50F51F55"/>
    <w:rsid w:val="510C63DD"/>
    <w:rsid w:val="52C17501"/>
    <w:rsid w:val="53165E56"/>
    <w:rsid w:val="589216FE"/>
    <w:rsid w:val="5F866C1E"/>
    <w:rsid w:val="63B66AF7"/>
    <w:rsid w:val="67845F26"/>
    <w:rsid w:val="68475732"/>
    <w:rsid w:val="75497F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0</TotalTime>
  <ScaleCrop>false</ScaleCrop>
  <LinksUpToDate>false</LinksUpToDate>
  <CharactersWithSpaces>2835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2019-03-01T06:16:00Z</cp:lastPrinted>
  <dcterms:modified xsi:type="dcterms:W3CDTF">2022-03-23T06:58:14Z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