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bookmarkStart w:id="0" w:name="_GoBack"/>
      <w:bookmarkEnd w:id="0"/>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720" w:num="1"/>
          <w:docGrid w:type="lines" w:linePitch="312" w:charSpace="0"/>
        </w:sectPr>
      </w:pPr>
      <w:r>
        <w:rPr>
          <w:rFonts w:hint="eastAsia"/>
          <w:b/>
          <w:sz w:val="44"/>
          <w:szCs w:val="44"/>
        </w:rPr>
        <w:t>廊坊市大城县物价局</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w:t>
      </w:r>
      <w:r>
        <w:rPr>
          <w:rFonts w:hint="eastAsia" w:eastAsia="黑体"/>
          <w:sz w:val="32"/>
          <w:szCs w:val="32"/>
        </w:rPr>
        <w:t>大城县物价局</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大城县物价局</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hint="eastAsia" w:eastAsia="黑体"/>
          <w:sz w:val="32"/>
          <w:szCs w:val="32"/>
          <w:lang w:val="en-US" w:eastAsia="zh-CN"/>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一）研究提出全县价格总水平年度调控计划和中长期调控目标；检测、预测全县价格总水平及其结构变动趋势，提出调控意见和建议。</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二）研究提出价格（收费）和改革的年度、中长期计划及调整方案；对国家和省、市出台的价格（收费）改革方案及时组织实施。</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三）对省市委托实行政府定价或政府指导价的商品价格实行管理；对市场调节的商品和服务价格实行间接调控。</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四）管理国家机关收费、公益事业收费、公用事业收费、中介服务收费和重要的经营性收费。</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五）负责市场物价变化情况监测，向市局和县委、县政府反映物价方面的重要情况，为政府实施宏观调控提供决策依据；向企业发布价格信息。</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六）依据有关价格法律、法规、规章，组织全县商品和服务价格（收费）的监督检查，查处违法行为，受理对价格（收费）违法行为的举报，对价格（收费）申诉案件进行复议和裁决。</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七）负责重要工业品和农产品成本调查工作，审核汇总全县重要工业品、农产品的成本、收益，提出相应对策、建议。</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八）管理全县价格认证和复核裁定工作，对经济认证、司法认证机构收费行为进行管理，指导价格评估、价格咨询中介机构的工作。</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九）指导和监督全县的价格和收费管理工作；指导企业用好市场调节商品价格的定价权；指导行业组织价格自律工作。</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十）承办县政府交办的其它事项。</w:t>
      </w:r>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ascii="仿宋_GB2312" w:hAnsi="Cambria" w:eastAsia="仿宋_GB2312" w:cs="ArialUnicodeMS"/>
          <w:kern w:val="0"/>
          <w:sz w:val="32"/>
          <w:szCs w:val="32"/>
        </w:rPr>
        <w:t xml:space="preserve">     </w:t>
      </w: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3039" w:type="dxa"/>
            <w:vAlign w:val="center"/>
          </w:tcPr>
          <w:p>
            <w:pPr>
              <w:spacing w:before="0" w:beforeAutospacing="0" w:after="0" w:afterAutospacing="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before="0" w:beforeAutospacing="0" w:after="0" w:afterAutospacing="0" w:line="560" w:lineRule="exact"/>
              <w:ind w:left="0" w:right="0"/>
              <w:jc w:val="center"/>
              <w:rPr>
                <w:rFonts w:hint="default" w:ascii="仿宋_GB2312" w:hAnsi="Cambria" w:eastAsia="仿宋_GB2312" w:cs="ArialUnicodeMS"/>
                <w:kern w:val="0"/>
                <w:sz w:val="28"/>
                <w:szCs w:val="28"/>
              </w:rPr>
            </w:pPr>
            <w:r>
              <w:rPr>
                <w:rFonts w:hint="default" w:ascii="仿宋_GB2312" w:hAnsi="Cambria" w:eastAsia="仿宋_GB2312" w:cs="ArialUnicodeMS"/>
                <w:kern w:val="0"/>
                <w:sz w:val="28"/>
                <w:szCs w:val="28"/>
              </w:rPr>
              <w:t>1</w:t>
            </w:r>
          </w:p>
        </w:tc>
        <w:tc>
          <w:tcPr>
            <w:tcW w:w="3485" w:type="dxa"/>
            <w:vAlign w:val="top"/>
          </w:tcPr>
          <w:p>
            <w:pPr>
              <w:spacing w:before="0" w:beforeAutospacing="0" w:after="0" w:afterAutospacing="0" w:line="560" w:lineRule="exact"/>
              <w:ind w:left="0" w:right="0"/>
              <w:jc w:val="center"/>
              <w:rPr>
                <w:rFonts w:hint="default" w:ascii="仿宋_GB2312" w:hAnsi="Cambria" w:eastAsia="仿宋_GB2312" w:cs="ArialUnicodeMS"/>
                <w:kern w:val="0"/>
                <w:sz w:val="28"/>
                <w:szCs w:val="28"/>
              </w:rPr>
            </w:pPr>
            <w:r>
              <w:rPr>
                <w:rFonts w:hint="eastAsia" w:ascii="仿宋_GB2312" w:hAnsi="Cambria" w:eastAsia="仿宋_GB2312" w:cs="ArialUnicodeMS"/>
                <w:kern w:val="0"/>
                <w:sz w:val="28"/>
                <w:szCs w:val="28"/>
              </w:rPr>
              <w:t>大城县物价局</w:t>
            </w:r>
            <w:r>
              <w:rPr>
                <w:rFonts w:hint="eastAsia" w:ascii="仿宋_GB2312" w:hAnsi="Cambria" w:eastAsia="仿宋_GB2312" w:cs="ArialUnicodeMS"/>
                <w:kern w:val="0"/>
                <w:sz w:val="28"/>
                <w:szCs w:val="28"/>
                <w:lang w:eastAsia="zh-CN"/>
              </w:rPr>
              <w:t>（本级）</w:t>
            </w:r>
          </w:p>
        </w:tc>
        <w:tc>
          <w:tcPr>
            <w:tcW w:w="2445" w:type="dxa"/>
            <w:vAlign w:val="top"/>
          </w:tcPr>
          <w:p>
            <w:pPr>
              <w:spacing w:before="0" w:beforeAutospacing="0" w:after="0" w:afterAutospacing="0" w:line="560" w:lineRule="exact"/>
              <w:ind w:left="0" w:right="0"/>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参公事业单位</w:t>
            </w:r>
          </w:p>
        </w:tc>
        <w:tc>
          <w:tcPr>
            <w:tcW w:w="3039" w:type="dxa"/>
            <w:vAlign w:val="top"/>
          </w:tcPr>
          <w:p>
            <w:pPr>
              <w:spacing w:before="0" w:beforeAutospacing="0" w:after="0" w:afterAutospacing="0" w:line="560" w:lineRule="exact"/>
              <w:ind w:left="0" w:right="0"/>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before="0" w:beforeAutospacing="0" w:after="0" w:afterAutospacing="0" w:line="560" w:lineRule="exact"/>
              <w:ind w:left="0" w:right="0"/>
              <w:jc w:val="center"/>
              <w:rPr>
                <w:rFonts w:hint="default" w:ascii="仿宋_GB2312" w:hAnsi="Cambria" w:eastAsia="仿宋_GB2312" w:cs="ArialUnicodeMS"/>
                <w:kern w:val="0"/>
                <w:sz w:val="28"/>
                <w:szCs w:val="28"/>
              </w:rPr>
            </w:pPr>
            <w:r>
              <w:rPr>
                <w:rFonts w:hint="default" w:ascii="仿宋_GB2312" w:hAnsi="Cambria" w:eastAsia="仿宋_GB2312" w:cs="ArialUnicodeMS"/>
                <w:kern w:val="0"/>
                <w:sz w:val="28"/>
                <w:szCs w:val="28"/>
              </w:rPr>
              <w:t>2</w:t>
            </w:r>
          </w:p>
        </w:tc>
        <w:tc>
          <w:tcPr>
            <w:tcW w:w="3485" w:type="dxa"/>
            <w:vAlign w:val="top"/>
          </w:tcPr>
          <w:p>
            <w:pPr>
              <w:spacing w:before="0" w:beforeAutospacing="0" w:after="0" w:afterAutospacing="0" w:line="560" w:lineRule="exact"/>
              <w:ind w:left="0" w:right="0"/>
              <w:rPr>
                <w:rFonts w:hint="default" w:ascii="仿宋_GB2312" w:hAnsi="Cambria" w:eastAsia="仿宋_GB2312" w:cs="ArialUnicodeMS"/>
                <w:kern w:val="0"/>
                <w:sz w:val="28"/>
                <w:szCs w:val="28"/>
              </w:rPr>
            </w:pPr>
          </w:p>
        </w:tc>
        <w:tc>
          <w:tcPr>
            <w:tcW w:w="2445" w:type="dxa"/>
            <w:vAlign w:val="top"/>
          </w:tcPr>
          <w:p>
            <w:pPr>
              <w:spacing w:before="0" w:beforeAutospacing="0" w:after="0" w:afterAutospacing="0" w:line="560" w:lineRule="exact"/>
              <w:ind w:left="0" w:right="0"/>
              <w:jc w:val="center"/>
              <w:rPr>
                <w:rFonts w:hint="default" w:ascii="仿宋_GB2312" w:hAnsi="Cambria" w:eastAsia="仿宋_GB2312" w:cs="ArialUnicodeMS"/>
                <w:kern w:val="0"/>
                <w:sz w:val="28"/>
                <w:szCs w:val="28"/>
              </w:rPr>
            </w:pPr>
          </w:p>
        </w:tc>
        <w:tc>
          <w:tcPr>
            <w:tcW w:w="3039" w:type="dxa"/>
            <w:vAlign w:val="top"/>
          </w:tcPr>
          <w:p>
            <w:pPr>
              <w:spacing w:before="0" w:beforeAutospacing="0" w:after="0" w:afterAutospacing="0" w:line="560" w:lineRule="exact"/>
              <w:ind w:left="0" w:right="0"/>
              <w:jc w:val="center"/>
              <w:rPr>
                <w:rFonts w:hint="default"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before="0" w:beforeAutospacing="0" w:after="0" w:afterAutospacing="0" w:line="560" w:lineRule="exact"/>
              <w:ind w:left="0" w:right="0"/>
              <w:jc w:val="center"/>
              <w:rPr>
                <w:rFonts w:hint="default" w:ascii="仿宋_GB2312" w:hAnsi="Cambria" w:eastAsia="仿宋_GB2312" w:cs="ArialUnicodeMS"/>
                <w:kern w:val="0"/>
                <w:sz w:val="28"/>
                <w:szCs w:val="28"/>
              </w:rPr>
            </w:pPr>
            <w:r>
              <w:rPr>
                <w:rFonts w:hint="default" w:ascii="仿宋_GB2312" w:hAnsi="Cambria" w:eastAsia="仿宋_GB2312" w:cs="ArialUnicodeMS"/>
                <w:kern w:val="0"/>
                <w:sz w:val="28"/>
                <w:szCs w:val="28"/>
              </w:rPr>
              <w:t>3</w:t>
            </w:r>
          </w:p>
        </w:tc>
        <w:tc>
          <w:tcPr>
            <w:tcW w:w="3485" w:type="dxa"/>
            <w:vAlign w:val="top"/>
          </w:tcPr>
          <w:p>
            <w:pPr>
              <w:spacing w:before="0" w:beforeAutospacing="0" w:after="0" w:afterAutospacing="0" w:line="560" w:lineRule="exact"/>
              <w:ind w:left="0" w:right="0"/>
              <w:rPr>
                <w:rFonts w:hint="default" w:ascii="仿宋_GB2312" w:hAnsi="Cambria" w:eastAsia="仿宋_GB2312" w:cs="ArialUnicodeMS"/>
                <w:kern w:val="0"/>
                <w:sz w:val="28"/>
                <w:szCs w:val="28"/>
              </w:rPr>
            </w:pPr>
          </w:p>
        </w:tc>
        <w:tc>
          <w:tcPr>
            <w:tcW w:w="2445" w:type="dxa"/>
            <w:vAlign w:val="top"/>
          </w:tcPr>
          <w:p>
            <w:pPr>
              <w:spacing w:before="0" w:beforeAutospacing="0" w:after="0" w:afterAutospacing="0" w:line="560" w:lineRule="exact"/>
              <w:ind w:left="0" w:right="0"/>
              <w:jc w:val="center"/>
              <w:rPr>
                <w:rFonts w:hint="default" w:ascii="仿宋_GB2312" w:hAnsi="Cambria" w:eastAsia="仿宋_GB2312" w:cs="ArialUnicodeMS"/>
                <w:kern w:val="0"/>
                <w:sz w:val="28"/>
                <w:szCs w:val="28"/>
              </w:rPr>
            </w:pPr>
          </w:p>
        </w:tc>
        <w:tc>
          <w:tcPr>
            <w:tcW w:w="3039" w:type="dxa"/>
            <w:vAlign w:val="top"/>
          </w:tcPr>
          <w:p>
            <w:pPr>
              <w:spacing w:before="0" w:beforeAutospacing="0" w:after="0" w:afterAutospacing="0" w:line="560" w:lineRule="exact"/>
              <w:ind w:left="0" w:right="0"/>
              <w:jc w:val="center"/>
              <w:rPr>
                <w:rFonts w:hint="default"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954" w:type="dxa"/>
            <w:gridSpan w:val="4"/>
            <w:tcBorders>
              <w:left w:val="nil"/>
              <w:bottom w:val="nil"/>
              <w:right w:val="nil"/>
            </w:tcBorders>
            <w:vAlign w:val="top"/>
          </w:tcPr>
          <w:p>
            <w:pPr>
              <w:spacing w:before="0" w:beforeAutospacing="0" w:after="0" w:afterAutospacing="0" w:line="560" w:lineRule="exact"/>
              <w:ind w:left="0" w:right="0" w:firstLine="560" w:firstLineChars="200"/>
              <w:jc w:val="left"/>
              <w:rPr>
                <w:rFonts w:hint="default"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p>
      <w:pPr>
        <w:widowControl/>
        <w:spacing w:line="1200" w:lineRule="exact"/>
        <w:ind w:firstLine="1920" w:firstLineChars="200"/>
        <w:rPr>
          <w:rFonts w:ascii="黑体" w:hAnsi="宋体" w:eastAsia="黑体"/>
          <w:color w:val="000000"/>
          <w:sz w:val="96"/>
          <w:szCs w:val="96"/>
        </w:rPr>
      </w:pPr>
    </w:p>
    <w:p>
      <w:pPr>
        <w:widowControl/>
        <w:spacing w:line="1200" w:lineRule="exact"/>
        <w:ind w:firstLine="1920" w:firstLineChars="200"/>
        <w:rPr>
          <w:rFonts w:ascii="黑体" w:hAnsi="宋体" w:eastAsia="黑体"/>
          <w:color w:val="000000"/>
          <w:sz w:val="96"/>
          <w:szCs w:val="96"/>
        </w:rPr>
      </w:pPr>
    </w:p>
    <w:p>
      <w:pPr>
        <w:widowControl/>
        <w:spacing w:line="1200" w:lineRule="exact"/>
        <w:ind w:firstLine="1920" w:firstLineChars="200"/>
        <w:rPr>
          <w:rFonts w:ascii="黑体" w:hAnsi="宋体" w:eastAsia="黑体"/>
          <w:color w:val="000000"/>
          <w:sz w:val="96"/>
          <w:szCs w:val="96"/>
        </w:rPr>
      </w:pPr>
    </w:p>
    <w:p>
      <w:pPr>
        <w:widowControl/>
        <w:spacing w:line="1200" w:lineRule="exact"/>
        <w:ind w:firstLine="1920" w:firstLineChars="200"/>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hint="eastAsia" w:ascii="仿宋_GB2312" w:eastAsia="仿宋_GB2312" w:cs="DengXian-Regular"/>
          <w:sz w:val="32"/>
          <w:szCs w:val="32"/>
          <w:lang w:eastAsia="zh-CN"/>
        </w:rPr>
        <w:t>收支</w:t>
      </w:r>
      <w:r>
        <w:rPr>
          <w:rFonts w:hint="eastAsia" w:ascii="仿宋_GB2312" w:eastAsia="仿宋_GB2312" w:cs="DengXian-Regular"/>
          <w:sz w:val="32"/>
          <w:szCs w:val="32"/>
        </w:rPr>
        <w:t>总计（含结转和结余）</w:t>
      </w:r>
      <w:r>
        <w:rPr>
          <w:rFonts w:ascii="仿宋_GB2312" w:eastAsia="仿宋_GB2312" w:cs="DengXian-Regular"/>
          <w:sz w:val="32"/>
          <w:szCs w:val="32"/>
        </w:rPr>
        <w:t>446.36</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w:t>
      </w:r>
      <w:r>
        <w:rPr>
          <w:rFonts w:hint="eastAsia" w:ascii="仿宋_GB2312" w:eastAsia="仿宋_GB2312" w:cs="DengXian-Regular"/>
          <w:sz w:val="32"/>
          <w:szCs w:val="32"/>
          <w:lang w:eastAsia="zh-CN"/>
        </w:rPr>
        <w:t>收支各</w:t>
      </w:r>
      <w:r>
        <w:rPr>
          <w:rFonts w:hint="eastAsia" w:ascii="仿宋_GB2312" w:eastAsia="仿宋_GB2312" w:cs="DengXian-Regular"/>
          <w:sz w:val="32"/>
          <w:szCs w:val="32"/>
        </w:rPr>
        <w:t>减少</w:t>
      </w:r>
      <w:r>
        <w:rPr>
          <w:rFonts w:ascii="仿宋_GB2312" w:eastAsia="仿宋_GB2312" w:cs="DengXian-Regular"/>
          <w:sz w:val="32"/>
          <w:szCs w:val="32"/>
        </w:rPr>
        <w:t>4.43</w:t>
      </w:r>
      <w:r>
        <w:rPr>
          <w:rFonts w:hint="eastAsia" w:ascii="仿宋_GB2312" w:eastAsia="仿宋_GB2312" w:cs="DengXian-Regular"/>
          <w:sz w:val="32"/>
          <w:szCs w:val="32"/>
        </w:rPr>
        <w:t>万元，下降</w:t>
      </w:r>
      <w:r>
        <w:rPr>
          <w:rFonts w:ascii="仿宋_GB2312" w:eastAsia="仿宋_GB2312" w:cs="DengXian-Regular"/>
          <w:sz w:val="32"/>
          <w:szCs w:val="32"/>
        </w:rPr>
        <w:t>0.98%</w:t>
      </w:r>
      <w:r>
        <w:rPr>
          <w:rFonts w:hint="eastAsia" w:ascii="仿宋_GB2312" w:eastAsia="仿宋_GB2312" w:cs="DengXian-Regular"/>
          <w:sz w:val="32"/>
          <w:szCs w:val="32"/>
        </w:rPr>
        <w:t>，主要是项目调整。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445.97</w:t>
      </w:r>
      <w:r>
        <w:rPr>
          <w:rFonts w:hint="eastAsia" w:ascii="仿宋_GB2312" w:eastAsia="仿宋_GB2312" w:cs="DengXian-Regular"/>
          <w:sz w:val="32"/>
          <w:szCs w:val="32"/>
        </w:rPr>
        <w:t>万元，其中：财政拨款收入</w:t>
      </w:r>
      <w:r>
        <w:rPr>
          <w:rFonts w:ascii="仿宋_GB2312" w:eastAsia="仿宋_GB2312" w:cs="DengXian-Regular"/>
          <w:sz w:val="32"/>
          <w:szCs w:val="32"/>
        </w:rPr>
        <w:t>445.97</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jc w:val="center"/>
        <w:rPr>
          <w:rFonts w:ascii="黑体" w:hAnsi="Calibri" w:eastAsia="黑体"/>
          <w:sz w:val="32"/>
          <w:szCs w:val="32"/>
        </w:rPr>
      </w:pPr>
      <w:r>
        <w:rPr>
          <w:rFonts w:ascii="黑体" w:hAnsi="Calibri" w:eastAsia="黑体" w:cs="Times New Roman"/>
          <w:kern w:val="2"/>
          <w:sz w:val="32"/>
          <w:szCs w:val="32"/>
          <w:lang w:val="en-US" w:eastAsia="zh-CN" w:bidi="ar-SA"/>
        </w:rPr>
        <w:object>
          <v:shape id="_x0000_i1025" o:spt="75" type="#_x0000_t75" style="height:248.25pt;width:311.25pt;" o:ole="t" fillcolor="#FFFFFF" filled="f" o:preferrelative="t" stroked="f" coordsize="21600,21600">
            <v:path/>
            <v:fill on="f" color2="#FFFFFF" focussize="0,0"/>
            <v:stroke on="f"/>
            <v:imagedata r:id="rId5" gain="65536f" blacklevel="0f" gamma="0" o:title=""/>
            <o:lock v:ext="edit" position="f" selection="f" grouping="f" rotation="f" cropping="f" text="f" aspectratio="f"/>
            <w10:wrap type="none"/>
            <w10:anchorlock/>
          </v:shape>
          <o:OLEObject Type="Embed" ProgID="Excel.Chart.8" ShapeID="_x0000_i1025" DrawAspect="Content" ObjectID="_1468075725" r:id="rId4">
            <o:LockedField>false</o:LockedField>
          </o:OLEObject>
        </w:object>
      </w:r>
    </w:p>
    <w:p>
      <w:pPr>
        <w:rPr>
          <w:rFonts w:ascii="黑体" w:hAnsi="Calibri" w:eastAsia="黑体"/>
          <w:sz w:val="32"/>
          <w:szCs w:val="32"/>
        </w:rPr>
      </w:pP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44</w:t>
      </w:r>
      <w:r>
        <w:rPr>
          <w:rFonts w:hint="eastAsia" w:ascii="仿宋_GB2312" w:eastAsia="仿宋_GB2312" w:cs="DengXian-Regular"/>
          <w:sz w:val="32"/>
          <w:szCs w:val="32"/>
          <w:lang w:val="en-US" w:eastAsia="zh-CN"/>
        </w:rPr>
        <w:t>6</w:t>
      </w:r>
      <w:r>
        <w:rPr>
          <w:rFonts w:ascii="仿宋_GB2312" w:eastAsia="仿宋_GB2312" w:cs="DengXian-Regular"/>
          <w:sz w:val="32"/>
          <w:szCs w:val="32"/>
        </w:rPr>
        <w:t>.36</w:t>
      </w:r>
      <w:r>
        <w:rPr>
          <w:rFonts w:hint="eastAsia" w:ascii="仿宋_GB2312" w:eastAsia="仿宋_GB2312" w:cs="DengXian-Regular"/>
          <w:sz w:val="32"/>
          <w:szCs w:val="32"/>
        </w:rPr>
        <w:t>万元，其中：基本支出</w:t>
      </w:r>
      <w:r>
        <w:rPr>
          <w:rFonts w:ascii="仿宋_GB2312" w:eastAsia="仿宋_GB2312" w:cs="DengXian-Regular"/>
          <w:sz w:val="32"/>
          <w:szCs w:val="32"/>
        </w:rPr>
        <w:t>443.36</w:t>
      </w:r>
      <w:r>
        <w:rPr>
          <w:rFonts w:hint="eastAsia" w:ascii="仿宋_GB2312" w:eastAsia="仿宋_GB2312" w:cs="DengXian-Regular"/>
          <w:sz w:val="32"/>
          <w:szCs w:val="32"/>
        </w:rPr>
        <w:t>万元，占</w:t>
      </w:r>
      <w:r>
        <w:rPr>
          <w:rFonts w:ascii="仿宋_GB2312" w:eastAsia="仿宋_GB2312" w:cs="DengXian-Regular"/>
          <w:sz w:val="32"/>
          <w:szCs w:val="32"/>
        </w:rPr>
        <w:t>99.33%</w:t>
      </w:r>
      <w:r>
        <w:rPr>
          <w:rFonts w:hint="eastAsia" w:ascii="仿宋_GB2312" w:eastAsia="仿宋_GB2312" w:cs="DengXian-Regular"/>
          <w:sz w:val="32"/>
          <w:szCs w:val="32"/>
        </w:rPr>
        <w:t>；项目支出</w:t>
      </w:r>
      <w:r>
        <w:rPr>
          <w:rFonts w:ascii="仿宋_GB2312" w:eastAsia="仿宋_GB2312" w:cs="DengXian-Regular"/>
          <w:sz w:val="32"/>
          <w:szCs w:val="32"/>
        </w:rPr>
        <w:t>3</w:t>
      </w:r>
      <w:r>
        <w:rPr>
          <w:rFonts w:hint="eastAsia" w:ascii="仿宋_GB2312" w:eastAsia="仿宋_GB2312" w:cs="DengXian-Regular"/>
          <w:sz w:val="32"/>
          <w:szCs w:val="32"/>
        </w:rPr>
        <w:t>万元，占</w:t>
      </w:r>
      <w:r>
        <w:rPr>
          <w:rFonts w:ascii="仿宋_GB2312" w:eastAsia="仿宋_GB2312" w:cs="DengXian-Regular"/>
          <w:sz w:val="32"/>
          <w:szCs w:val="32"/>
        </w:rPr>
        <w:t>0.67%</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2" o:spid="_x0000_s1026" o:spt="75" type="#_x0000_t75" style="position:absolute;left:0pt;margin-left:10.5pt;margin-top:13.75pt;height:300.5pt;width:401.3pt;z-index:251658240;mso-width-relative:page;mso-height-relative:page;" o:ole="t" fillcolor="#FFFFFF" filled="f" o:preferrelative="t" stroked="f" coordsize="21600,21600">
            <v:path/>
            <v:fill on="f" color2="#FFFFFF" focussize="0,0"/>
            <v:stroke on="f"/>
            <v:imagedata r:id="rId7" gain="65536f" blacklevel="0f" gamma="0" o:title=""/>
            <o:lock v:ext="edit" position="f" selection="f" grouping="f" rotation="f" cropping="f" text="f" aspectratio="t"/>
          </v:shape>
          <o:OLEObject Type="Embed" ProgID="Excel.Chart.8" ShapeID="Picture 2" DrawAspect="Content" ObjectID="_1468075726" r:id="rId6">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445.97</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hint="eastAsia" w:ascii="仿宋_GB2312" w:eastAsia="仿宋_GB2312" w:cs="DengXian-Regular"/>
          <w:sz w:val="32"/>
          <w:szCs w:val="32"/>
          <w:lang w:val="en-US" w:eastAsia="zh-CN"/>
        </w:rPr>
        <w:t>2.82</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0.63</w:t>
      </w:r>
      <w:r>
        <w:rPr>
          <w:rFonts w:ascii="仿宋_GB2312" w:eastAsia="仿宋_GB2312" w:cs="DengXian-Regular"/>
          <w:sz w:val="32"/>
          <w:szCs w:val="32"/>
        </w:rPr>
        <w:t>%</w:t>
      </w:r>
      <w:r>
        <w:rPr>
          <w:rFonts w:hint="eastAsia" w:ascii="仿宋_GB2312" w:eastAsia="仿宋_GB2312" w:cs="DengXian-Regular"/>
          <w:sz w:val="32"/>
          <w:szCs w:val="32"/>
        </w:rPr>
        <w:t>，主要是项目调整；本年支出</w:t>
      </w:r>
      <w:r>
        <w:rPr>
          <w:rFonts w:ascii="仿宋_GB2312" w:eastAsia="仿宋_GB2312" w:cs="DengXian-Regular"/>
          <w:sz w:val="32"/>
          <w:szCs w:val="32"/>
        </w:rPr>
        <w:t>446.36</w:t>
      </w:r>
      <w:r>
        <w:rPr>
          <w:rFonts w:hint="eastAsia" w:ascii="仿宋_GB2312" w:eastAsia="仿宋_GB2312" w:cs="DengXian-Regular"/>
          <w:sz w:val="32"/>
          <w:szCs w:val="32"/>
        </w:rPr>
        <w:t>万元，减少</w:t>
      </w:r>
      <w:r>
        <w:rPr>
          <w:rFonts w:hint="eastAsia" w:ascii="仿宋_GB2312" w:eastAsia="仿宋_GB2312" w:cs="DengXian-Regular"/>
          <w:sz w:val="32"/>
          <w:szCs w:val="32"/>
          <w:lang w:val="en-US" w:eastAsia="zh-CN"/>
        </w:rPr>
        <w:t>2.43</w:t>
      </w:r>
      <w:r>
        <w:rPr>
          <w:rFonts w:hint="eastAsia" w:ascii="仿宋_GB2312" w:eastAsia="仿宋_GB2312" w:cs="DengXian-Regular"/>
          <w:sz w:val="32"/>
          <w:szCs w:val="32"/>
        </w:rPr>
        <w:t>万元，降低</w:t>
      </w:r>
      <w:r>
        <w:rPr>
          <w:rFonts w:ascii="仿宋_GB2312" w:eastAsia="仿宋_GB2312" w:cs="DengXian-Regular"/>
          <w:sz w:val="32"/>
          <w:szCs w:val="32"/>
        </w:rPr>
        <w:t>0.</w:t>
      </w:r>
      <w:r>
        <w:rPr>
          <w:rFonts w:hint="eastAsia" w:ascii="仿宋_GB2312" w:eastAsia="仿宋_GB2312" w:cs="DengXian-Regular"/>
          <w:sz w:val="32"/>
          <w:szCs w:val="32"/>
          <w:lang w:val="en-US" w:eastAsia="zh-CN"/>
        </w:rPr>
        <w:t>54</w:t>
      </w:r>
      <w:r>
        <w:rPr>
          <w:rFonts w:ascii="仿宋_GB2312" w:eastAsia="仿宋_GB2312" w:cs="DengXian-Regular"/>
          <w:sz w:val="32"/>
          <w:szCs w:val="32"/>
        </w:rPr>
        <w:t>%</w:t>
      </w:r>
      <w:r>
        <w:rPr>
          <w:rFonts w:hint="eastAsia" w:ascii="仿宋_GB2312" w:eastAsia="仿宋_GB2312" w:cs="DengXian-Regular"/>
          <w:sz w:val="32"/>
          <w:szCs w:val="32"/>
        </w:rPr>
        <w:t>，主要是项目调整。</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3" o:spid="_x0000_s1027" o:spt="75" type="#_x0000_t75" style="position:absolute;left:0pt;margin-left:18pt;margin-top:25.75pt;height:328.85pt;width:412.4pt;z-index:251659264;mso-width-relative:page;mso-height-relative:page;" o:ole="t" fillcolor="#FFFFFF" filled="f" o:preferrelative="t" stroked="f" coordsize="21600,21600">
            <v:path/>
            <v:fill on="f" color2="#FFFFFF" focussize="0,0"/>
            <v:stroke on="f"/>
            <v:imagedata r:id="rId9" gain="65536f" blacklevel="0f" gamma="0" o:title=""/>
            <o:lock v:ext="edit" position="f" selection="f" grouping="f" rotation="f" cropping="f" text="f" aspectratio="t"/>
          </v:shape>
          <o:OLEObject Type="Embed" ProgID="Excel.Chart.8" ShapeID="Picture 3" DrawAspect="Content" ObjectID="_1468075727" r:id="rId8">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hint="eastAsia" w:ascii="仿宋_GB2312" w:eastAsia="仿宋_GB2312" w:cs="DengXian-Regular"/>
          <w:sz w:val="32"/>
          <w:szCs w:val="32"/>
          <w:lang w:val="en-US" w:eastAsia="zh-CN"/>
        </w:rPr>
        <w:t>445.97</w:t>
      </w:r>
      <w:r>
        <w:rPr>
          <w:rFonts w:hint="eastAsia" w:ascii="仿宋_GB2312" w:eastAsia="仿宋_GB2312" w:cs="DengXian-Regular"/>
          <w:sz w:val="32"/>
          <w:szCs w:val="32"/>
        </w:rPr>
        <w:t>万元，完成年初预算的</w:t>
      </w:r>
      <w:r>
        <w:rPr>
          <w:rFonts w:ascii="仿宋_GB2312" w:eastAsia="仿宋_GB2312" w:cs="DengXian-Regular"/>
          <w:sz w:val="32"/>
          <w:szCs w:val="32"/>
        </w:rPr>
        <w:t>102.</w:t>
      </w:r>
      <w:r>
        <w:rPr>
          <w:rFonts w:hint="eastAsia" w:ascii="仿宋_GB2312" w:eastAsia="仿宋_GB2312" w:cs="DengXian-Regular"/>
          <w:sz w:val="32"/>
          <w:szCs w:val="32"/>
          <w:lang w:val="en-US" w:eastAsia="zh-CN"/>
        </w:rPr>
        <w:t>65</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ascii="仿宋_GB2312" w:eastAsia="仿宋_GB2312" w:cs="DengXian-Regular"/>
          <w:sz w:val="32"/>
          <w:szCs w:val="32"/>
        </w:rPr>
        <w:t>11.</w:t>
      </w:r>
      <w:r>
        <w:rPr>
          <w:rFonts w:hint="eastAsia" w:ascii="仿宋_GB2312" w:eastAsia="仿宋_GB2312" w:cs="DengXian-Regular"/>
          <w:sz w:val="32"/>
          <w:szCs w:val="32"/>
          <w:lang w:val="en-US" w:eastAsia="zh-CN"/>
        </w:rPr>
        <w:t>52</w:t>
      </w:r>
      <w:r>
        <w:rPr>
          <w:rFonts w:hint="eastAsia" w:ascii="仿宋_GB2312" w:eastAsia="仿宋_GB2312" w:cs="DengXian-Regular"/>
          <w:sz w:val="32"/>
          <w:szCs w:val="32"/>
        </w:rPr>
        <w:t>万元，决算数大于预算数主要是人员增资，项目调整；本年支出</w:t>
      </w:r>
      <w:r>
        <w:rPr>
          <w:rFonts w:ascii="仿宋_GB2312" w:eastAsia="仿宋_GB2312" w:cs="DengXian-Regular"/>
          <w:sz w:val="32"/>
          <w:szCs w:val="32"/>
        </w:rPr>
        <w:t>446.36</w:t>
      </w:r>
      <w:r>
        <w:rPr>
          <w:rFonts w:hint="eastAsia" w:ascii="仿宋_GB2312" w:eastAsia="仿宋_GB2312" w:cs="DengXian-Regular"/>
          <w:sz w:val="32"/>
          <w:szCs w:val="32"/>
        </w:rPr>
        <w:t>万元，完成年初预算的</w:t>
      </w:r>
      <w:r>
        <w:rPr>
          <w:rFonts w:ascii="仿宋_GB2312" w:eastAsia="仿宋_GB2312" w:cs="DengXian-Regular"/>
          <w:sz w:val="32"/>
          <w:szCs w:val="32"/>
        </w:rPr>
        <w:t>102.74%,</w:t>
      </w:r>
      <w:r>
        <w:rPr>
          <w:rFonts w:hint="eastAsia" w:ascii="仿宋_GB2312" w:eastAsia="仿宋_GB2312" w:cs="DengXian-Regular"/>
          <w:sz w:val="32"/>
          <w:szCs w:val="32"/>
        </w:rPr>
        <w:t>比年初预算增加</w:t>
      </w:r>
      <w:r>
        <w:rPr>
          <w:rFonts w:ascii="仿宋_GB2312" w:eastAsia="仿宋_GB2312" w:cs="DengXian-Regular"/>
          <w:sz w:val="32"/>
          <w:szCs w:val="32"/>
        </w:rPr>
        <w:t>11.91</w:t>
      </w:r>
      <w:r>
        <w:rPr>
          <w:rFonts w:hint="eastAsia" w:ascii="仿宋_GB2312" w:eastAsia="仿宋_GB2312" w:cs="DengXian-Regular"/>
          <w:sz w:val="32"/>
          <w:szCs w:val="32"/>
        </w:rPr>
        <w:t>万元，决算数大于预算数主要是人员增资，项目调整。</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420" w:firstLineChars="200"/>
        <w:rPr>
          <w:rFonts w:ascii="仿宋_GB2312" w:eastAsia="仿宋_GB2312" w:cs="DengXian-Regular"/>
          <w:sz w:val="32"/>
          <w:szCs w:val="32"/>
          <w:highlight w:val="yellow"/>
        </w:rPr>
      </w:pPr>
      <w:r>
        <w:rPr>
          <w:rFonts w:ascii="Times New Roman" w:hAnsi="Times New Roman" w:eastAsia="宋体" w:cs="Times New Roman"/>
          <w:kern w:val="2"/>
          <w:sz w:val="21"/>
          <w:szCs w:val="24"/>
          <w:lang w:val="en-US" w:eastAsia="zh-CN" w:bidi="ar-SA"/>
        </w:rPr>
        <w:pict>
          <v:shape id="Picture 4" o:spid="_x0000_s1028" o:spt="75" type="#_x0000_t75" style="position:absolute;left:0pt;margin-left:18.85pt;margin-top:5.95pt;height:300.55pt;width:401.45pt;z-index:251660288;mso-width-relative:page;mso-height-relative:page;" o:ole="t" fillcolor="#FFFFFF" filled="f" o:preferrelative="t" stroked="f" coordsize="21600,21600">
            <v:path/>
            <v:fill on="f" color2="#FFFFFF" focussize="0,0"/>
            <v:stroke on="f"/>
            <v:imagedata r:id="rId11" gain="65536f" blacklevel="0f" gamma="0" o:title=""/>
            <o:lock v:ext="edit" position="f" selection="f" grouping="f" rotation="f" cropping="f" text="f" aspectratio="t"/>
          </v:shape>
          <o:OLEObject Type="Embed" ProgID="Excel.Chart.8" ShapeID="Picture 4" DrawAspect="Content" ObjectID="_1468075728" r:id="rId10">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446.36</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446.36</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；公共安全（类）支出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；教育（类）支出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；科学技术（类）支出</w:t>
      </w:r>
      <w:r>
        <w:rPr>
          <w:rFonts w:ascii="仿宋_GB2312" w:eastAsia="仿宋_GB2312" w:cs="DengXian-Regular"/>
          <w:sz w:val="32"/>
          <w:szCs w:val="32"/>
        </w:rPr>
        <w:t>0</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占</w:t>
      </w:r>
      <w:r>
        <w:rPr>
          <w:rFonts w:ascii="仿宋_GB2312" w:eastAsia="仿宋_GB2312" w:cs="DengXian-Regular"/>
          <w:sz w:val="32"/>
          <w:szCs w:val="32"/>
        </w:rPr>
        <w:t>0%</w:t>
      </w:r>
      <w:r>
        <w:rPr>
          <w:rFonts w:hint="eastAsia" w:ascii="仿宋_GB2312" w:eastAsia="仿宋_GB2312" w:cs="DengXian-Regular"/>
          <w:sz w:val="32"/>
          <w:szCs w:val="32"/>
        </w:rPr>
        <w:t>；社会保障和就业（类）支出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；住房保障（类）支出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r>
        <w:rPr>
          <w:rFonts w:ascii="Times New Roman" w:hAnsi="Times New Roman" w:eastAsia="宋体" w:cs="Times New Roman"/>
          <w:kern w:val="2"/>
          <w:sz w:val="21"/>
          <w:szCs w:val="24"/>
          <w:lang w:val="en-US" w:eastAsia="zh-CN" w:bidi="ar-SA"/>
        </w:rPr>
        <w:pict>
          <v:shape id="Picture 5" o:spid="_x0000_s1029" o:spt="75" type="#_x0000_t75" style="position:absolute;left:0pt;margin-left:23pt;margin-top:5.8pt;height:300.5pt;width:401.3pt;z-index:251661312;mso-width-relative:page;mso-height-relative:page;" o:ole="t" fillcolor="#FFFFFF" filled="f" o:preferrelative="t" stroked="f" coordsize="21600,21600">
            <v:path/>
            <v:fill on="f" color2="#FFFFFF" focussize="0,0"/>
            <v:stroke on="f"/>
            <v:imagedata r:id="rId13" gain="65536f" blacklevel="0f" gamma="0" o:title=""/>
            <o:lock v:ext="edit" position="f" selection="f" grouping="f" rotation="f" cropping="f" text="f" aspectratio="t"/>
          </v:shape>
          <o:OLEObject Type="Embed" ProgID="Excel.Chart.8" ShapeID="Picture 5" DrawAspect="Content" ObjectID="_1468075729" r:id="rId12">
            <o:LockedField>false</o:LockedField>
          </o:OLEObject>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443.36</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393.43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49.94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rPr>
          <w:rFonts w:ascii="黑体" w:eastAsia="黑体"/>
          <w:b w:val="0"/>
          <w:bCs w:val="0"/>
        </w:rPr>
      </w:pPr>
    </w:p>
    <w:p>
      <w:pPr>
        <w:pStyle w:val="3"/>
        <w:keepNext/>
        <w:keepLines/>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4.92</w:t>
      </w:r>
      <w:r>
        <w:rPr>
          <w:rFonts w:hint="eastAsia" w:eastAsia="仿宋_GB2312"/>
          <w:sz w:val="32"/>
          <w:szCs w:val="32"/>
        </w:rPr>
        <w:t>万元，比年初预算减少</w:t>
      </w:r>
      <w:r>
        <w:rPr>
          <w:rFonts w:eastAsia="仿宋_GB2312"/>
          <w:sz w:val="32"/>
          <w:szCs w:val="32"/>
        </w:rPr>
        <w:t>2.08</w:t>
      </w:r>
      <w:r>
        <w:rPr>
          <w:rFonts w:hint="eastAsia" w:eastAsia="仿宋_GB2312"/>
          <w:sz w:val="32"/>
          <w:szCs w:val="32"/>
        </w:rPr>
        <w:t>万元，降低</w:t>
      </w:r>
      <w:r>
        <w:rPr>
          <w:rFonts w:eastAsia="仿宋_GB2312"/>
          <w:sz w:val="32"/>
          <w:szCs w:val="32"/>
        </w:rPr>
        <w:t>29.71%</w:t>
      </w:r>
      <w:r>
        <w:rPr>
          <w:rFonts w:hint="eastAsia" w:eastAsia="仿宋_GB2312"/>
          <w:sz w:val="32"/>
          <w:szCs w:val="32"/>
        </w:rPr>
        <w:t>，主要是厉行节约，减少</w:t>
      </w:r>
      <w:r>
        <w:rPr>
          <w:rFonts w:hint="eastAsia" w:eastAsia="仿宋_GB2312"/>
          <w:sz w:val="32"/>
          <w:szCs w:val="32"/>
          <w:lang w:eastAsia="zh-CN"/>
        </w:rPr>
        <w:t>“三公”经费</w:t>
      </w:r>
      <w:r>
        <w:rPr>
          <w:rFonts w:hint="eastAsia" w:eastAsia="仿宋_GB2312"/>
          <w:sz w:val="32"/>
          <w:szCs w:val="32"/>
        </w:rPr>
        <w:t>支出；比</w:t>
      </w:r>
      <w:r>
        <w:rPr>
          <w:rFonts w:eastAsia="仿宋_GB2312"/>
          <w:sz w:val="32"/>
          <w:szCs w:val="32"/>
        </w:rPr>
        <w:t>2017</w:t>
      </w:r>
      <w:r>
        <w:rPr>
          <w:rFonts w:hint="eastAsia" w:eastAsia="仿宋_GB2312"/>
          <w:sz w:val="32"/>
          <w:szCs w:val="32"/>
        </w:rPr>
        <w:t>年度决算增加</w:t>
      </w:r>
      <w:r>
        <w:rPr>
          <w:rFonts w:eastAsia="仿宋_GB2312"/>
          <w:sz w:val="32"/>
          <w:szCs w:val="32"/>
        </w:rPr>
        <w:t>3.16</w:t>
      </w:r>
      <w:r>
        <w:rPr>
          <w:rFonts w:hint="eastAsia" w:eastAsia="仿宋_GB2312"/>
          <w:sz w:val="32"/>
          <w:szCs w:val="32"/>
        </w:rPr>
        <w:t>万元，增长</w:t>
      </w:r>
      <w:r>
        <w:rPr>
          <w:rFonts w:eastAsia="仿宋_GB2312"/>
          <w:sz w:val="32"/>
          <w:szCs w:val="32"/>
        </w:rPr>
        <w:t>179.55%</w:t>
      </w:r>
      <w:r>
        <w:rPr>
          <w:rFonts w:hint="eastAsia" w:eastAsia="仿宋_GB2312"/>
          <w:sz w:val="32"/>
          <w:szCs w:val="32"/>
        </w:rPr>
        <w:t>，主要是业务量</w:t>
      </w:r>
      <w:r>
        <w:rPr>
          <w:rFonts w:hint="eastAsia" w:eastAsia="仿宋_GB2312"/>
          <w:sz w:val="32"/>
          <w:szCs w:val="32"/>
          <w:lang w:eastAsia="zh-CN"/>
        </w:rPr>
        <w:t>增加</w:t>
      </w:r>
      <w:r>
        <w:rPr>
          <w:rFonts w:hint="eastAsia" w:eastAsia="仿宋_GB2312"/>
          <w:sz w:val="32"/>
          <w:szCs w:val="32"/>
        </w:rPr>
        <w:t>，公车费用增加。具体情况如下：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4.92</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eastAsia="仿宋_GB2312"/>
          <w:sz w:val="32"/>
          <w:szCs w:val="32"/>
        </w:rPr>
        <w:t>2.08</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29.71%</w:t>
      </w:r>
      <w:r>
        <w:rPr>
          <w:rFonts w:hint="eastAsia" w:eastAsia="仿宋_GB2312"/>
          <w:sz w:val="32"/>
          <w:szCs w:val="32"/>
        </w:rPr>
        <w:t>，主要是厉行节约，减少支出；比</w:t>
      </w:r>
      <w:r>
        <w:rPr>
          <w:rFonts w:eastAsia="仿宋_GB2312"/>
          <w:sz w:val="32"/>
          <w:szCs w:val="32"/>
        </w:rPr>
        <w:t>2017</w:t>
      </w:r>
      <w:r>
        <w:rPr>
          <w:rFonts w:hint="eastAsia" w:eastAsia="仿宋_GB2312"/>
          <w:sz w:val="32"/>
          <w:szCs w:val="32"/>
        </w:rPr>
        <w:t>年度决算增加</w:t>
      </w:r>
      <w:r>
        <w:rPr>
          <w:rFonts w:eastAsia="仿宋_GB2312"/>
          <w:sz w:val="32"/>
          <w:szCs w:val="32"/>
        </w:rPr>
        <w:t>3.16</w:t>
      </w:r>
      <w:r>
        <w:rPr>
          <w:rFonts w:hint="eastAsia" w:eastAsia="仿宋_GB2312"/>
          <w:sz w:val="32"/>
          <w:szCs w:val="32"/>
        </w:rPr>
        <w:t>万元，增长</w:t>
      </w:r>
      <w:r>
        <w:rPr>
          <w:rFonts w:eastAsia="仿宋_GB2312"/>
          <w:sz w:val="32"/>
          <w:szCs w:val="32"/>
        </w:rPr>
        <w:t>179.55%</w:t>
      </w:r>
      <w:r>
        <w:rPr>
          <w:rFonts w:hint="eastAsia" w:eastAsia="仿宋_GB2312"/>
          <w:sz w:val="32"/>
          <w:szCs w:val="32"/>
        </w:rPr>
        <w:t>，主要是业务量增</w:t>
      </w:r>
      <w:r>
        <w:rPr>
          <w:rFonts w:hint="eastAsia" w:eastAsia="仿宋_GB2312"/>
          <w:sz w:val="32"/>
          <w:szCs w:val="32"/>
          <w:lang w:eastAsia="zh-CN"/>
        </w:rPr>
        <w:t>加</w:t>
      </w:r>
      <w:r>
        <w:rPr>
          <w:rFonts w:hint="eastAsia" w:eastAsia="仿宋_GB2312"/>
          <w:sz w:val="32"/>
          <w:szCs w:val="32"/>
        </w:rPr>
        <w:t>，公车费用增加。</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公务用车运行维护费支出</w:t>
      </w:r>
      <w:r>
        <w:rPr>
          <w:rFonts w:eastAsia="仿宋_GB2312"/>
          <w:b/>
          <w:sz w:val="32"/>
          <w:szCs w:val="32"/>
        </w:rPr>
        <w:t>4.92</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2</w:t>
      </w:r>
      <w:r>
        <w:rPr>
          <w:rFonts w:hint="eastAsia" w:eastAsia="仿宋_GB2312"/>
          <w:sz w:val="32"/>
          <w:szCs w:val="32"/>
        </w:rPr>
        <w:t>辆。公车运行维护费支出比年初预算减少</w:t>
      </w:r>
      <w:r>
        <w:rPr>
          <w:rFonts w:eastAsia="仿宋_GB2312"/>
          <w:sz w:val="32"/>
          <w:szCs w:val="32"/>
        </w:rPr>
        <w:t>2.08</w:t>
      </w:r>
      <w:r>
        <w:rPr>
          <w:rFonts w:hint="eastAsia" w:eastAsia="仿宋_GB2312"/>
          <w:sz w:val="32"/>
          <w:szCs w:val="32"/>
        </w:rPr>
        <w:t>万元，降低</w:t>
      </w:r>
      <w:r>
        <w:rPr>
          <w:rFonts w:eastAsia="仿宋_GB2312"/>
          <w:sz w:val="32"/>
          <w:szCs w:val="32"/>
        </w:rPr>
        <w:t>29.71%</w:t>
      </w:r>
      <w:r>
        <w:rPr>
          <w:rFonts w:hint="eastAsia" w:eastAsia="仿宋_GB2312"/>
          <w:sz w:val="32"/>
          <w:szCs w:val="32"/>
        </w:rPr>
        <w:t>，主要是厉行节约，减少公车运行维护费支出；比</w:t>
      </w:r>
      <w:r>
        <w:rPr>
          <w:rFonts w:eastAsia="仿宋_GB2312"/>
          <w:sz w:val="32"/>
          <w:szCs w:val="32"/>
        </w:rPr>
        <w:t>2017</w:t>
      </w:r>
      <w:r>
        <w:rPr>
          <w:rFonts w:hint="eastAsia" w:eastAsia="仿宋_GB2312"/>
          <w:sz w:val="32"/>
          <w:szCs w:val="32"/>
        </w:rPr>
        <w:t>年度决算增加</w:t>
      </w:r>
      <w:r>
        <w:rPr>
          <w:rFonts w:eastAsia="仿宋_GB2312"/>
          <w:sz w:val="32"/>
          <w:szCs w:val="32"/>
        </w:rPr>
        <w:t>3.16</w:t>
      </w:r>
      <w:r>
        <w:rPr>
          <w:rFonts w:hint="eastAsia" w:eastAsia="仿宋_GB2312"/>
          <w:sz w:val="32"/>
          <w:szCs w:val="32"/>
        </w:rPr>
        <w:t>万元，增长</w:t>
      </w:r>
      <w:r>
        <w:rPr>
          <w:rFonts w:eastAsia="仿宋_GB2312"/>
          <w:sz w:val="32"/>
          <w:szCs w:val="32"/>
        </w:rPr>
        <w:t>179.55%</w:t>
      </w:r>
      <w:r>
        <w:rPr>
          <w:rFonts w:hint="eastAsia" w:eastAsia="仿宋_GB2312"/>
          <w:sz w:val="32"/>
          <w:szCs w:val="32"/>
        </w:rPr>
        <w:t>，主要是业务量增</w:t>
      </w:r>
      <w:r>
        <w:rPr>
          <w:rFonts w:hint="eastAsia" w:eastAsia="仿宋_GB2312"/>
          <w:sz w:val="32"/>
          <w:szCs w:val="32"/>
          <w:lang w:eastAsia="zh-CN"/>
        </w:rPr>
        <w:t>加</w:t>
      </w:r>
      <w:r>
        <w:rPr>
          <w:rFonts w:hint="eastAsia" w:eastAsia="仿宋_GB2312"/>
          <w:sz w:val="32"/>
          <w:szCs w:val="32"/>
        </w:rPr>
        <w:t>，公车运行维护费</w:t>
      </w:r>
      <w:r>
        <w:rPr>
          <w:rFonts w:hint="eastAsia" w:eastAsia="仿宋_GB2312"/>
          <w:sz w:val="32"/>
          <w:szCs w:val="32"/>
          <w:lang w:eastAsia="zh-CN"/>
        </w:rPr>
        <w:t>支出</w:t>
      </w:r>
      <w:r>
        <w:rPr>
          <w:rFonts w:hint="eastAsia" w:eastAsia="仿宋_GB2312"/>
          <w:sz w:val="32"/>
          <w:szCs w:val="32"/>
        </w:rPr>
        <w:t>增加。</w:t>
      </w:r>
    </w:p>
    <w:p>
      <w:pPr>
        <w:widowControl w:val="0"/>
        <w:wordWrap/>
        <w:adjustRightInd/>
        <w:snapToGrid/>
        <w:spacing w:after="160" w:line="480" w:lineRule="auto"/>
        <w:ind w:left="0" w:leftChars="0" w:right="0" w:firstLine="643" w:firstLineChars="200"/>
        <w:jc w:val="both"/>
        <w:textAlignment w:val="auto"/>
        <w:outlineLvl w:val="9"/>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人次。公务接待费支出比年初预算增加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w:t>
      </w:r>
      <w:r>
        <w:rPr>
          <w:rFonts w:eastAsia="仿宋_GB2312"/>
          <w:sz w:val="32"/>
          <w:szCs w:val="32"/>
        </w:rPr>
        <w:t>2017</w:t>
      </w:r>
      <w:r>
        <w:rPr>
          <w:rFonts w:hint="eastAsia" w:eastAsia="仿宋_GB2312"/>
          <w:sz w:val="32"/>
          <w:szCs w:val="32"/>
        </w:rPr>
        <w:t>年决算无增减变化。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rPr>
          <w:rFonts w:ascii="仿宋_GB2312" w:eastAsia="仿宋_GB2312" w:cs="DengXian-Regular"/>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rPr>
        <w:t>（一）预算绩效管理工作开展情况。</w:t>
      </w:r>
    </w:p>
    <w:p>
      <w:pPr>
        <w:widowControl w:val="0"/>
        <w:wordWrap/>
        <w:autoSpaceDE w:val="0"/>
        <w:autoSpaceDN w:val="0"/>
        <w:adjustRightInd w:val="0"/>
        <w:spacing w:after="0" w:line="580" w:lineRule="exact"/>
        <w:ind w:left="0" w:leftChars="0" w:right="0"/>
        <w:jc w:val="left"/>
        <w:textAlignment w:val="auto"/>
        <w:outlineLvl w:val="9"/>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项目绩效评价管理办法</w:t>
      </w:r>
      <w:r>
        <w:rPr>
          <w:rFonts w:hint="eastAsia" w:ascii="仿宋_GB2312" w:hAnsi="仿宋_GB2312" w:eastAsia="仿宋_GB2312" w:cs="仿宋_GB2312"/>
          <w:sz w:val="32"/>
          <w:szCs w:val="32"/>
          <w:highlight w:val="none"/>
        </w:rPr>
        <w:t>要求，结合</w:t>
      </w:r>
      <w:r>
        <w:rPr>
          <w:rFonts w:hint="eastAsia" w:ascii="仿宋_GB2312" w:hAnsi="仿宋_GB2312" w:eastAsia="仿宋_GB2312" w:cs="仿宋_GB2312"/>
          <w:sz w:val="32"/>
          <w:szCs w:val="32"/>
          <w:highlight w:val="none"/>
          <w:lang w:eastAsia="zh-CN"/>
        </w:rPr>
        <w:t>本单位</w:t>
      </w:r>
      <w:r>
        <w:rPr>
          <w:rFonts w:hint="eastAsia" w:ascii="仿宋_GB2312" w:hAnsi="仿宋_GB2312" w:eastAsia="仿宋_GB2312" w:cs="仿宋_GB2312"/>
          <w:sz w:val="32"/>
          <w:szCs w:val="32"/>
          <w:highlight w:val="none"/>
        </w:rPr>
        <w:t>实际情况，成立了绩效评价工作小组，结合评价内容和重点，做到有计划、有安排、扎实开展本次自评工作。</w:t>
      </w:r>
    </w:p>
    <w:p>
      <w:pPr>
        <w:widowControl w:val="0"/>
        <w:numPr>
          <w:ilvl w:val="0"/>
          <w:numId w:val="2"/>
        </w:numPr>
        <w:wordWrap/>
        <w:adjustRightInd w:val="0"/>
        <w:snapToGrid w:val="0"/>
        <w:spacing w:after="0" w:line="580" w:lineRule="exact"/>
        <w:ind w:left="0" w:leftChars="0" w:right="0" w:firstLine="640" w:firstLineChars="200"/>
        <w:textAlignment w:val="auto"/>
        <w:outlineLvl w:val="9"/>
        <w:rPr>
          <w:rFonts w:ascii="仿宋_GB2312" w:eastAsia="仿宋_GB2312" w:cs="DengXian-Regular"/>
          <w:sz w:val="32"/>
          <w:szCs w:val="32"/>
        </w:rPr>
      </w:pPr>
      <w:r>
        <w:rPr>
          <w:rFonts w:hint="eastAsia" w:ascii="仿宋_GB2312" w:eastAsia="仿宋_GB2312" w:cs="DengXian-Regular"/>
          <w:sz w:val="32"/>
          <w:szCs w:val="32"/>
        </w:rPr>
        <w:t>项目绩效自评结果。</w:t>
      </w:r>
    </w:p>
    <w:p>
      <w:pPr>
        <w:widowControl w:val="0"/>
        <w:wordWrap/>
        <w:autoSpaceDE w:val="0"/>
        <w:autoSpaceDN w:val="0"/>
        <w:adjustRightInd w:val="0"/>
        <w:spacing w:after="0" w:line="580" w:lineRule="exact"/>
        <w:ind w:left="0" w:leftChars="0" w:right="0"/>
        <w:jc w:val="left"/>
        <w:textAlignment w:val="auto"/>
        <w:outlineLvl w:val="9"/>
        <w:rPr>
          <w:rFonts w:ascii="仿宋_GB2312" w:eastAsia="仿宋_GB2312" w:cs="DengXian-Regular"/>
          <w:sz w:val="32"/>
          <w:szCs w:val="32"/>
        </w:rPr>
      </w:pPr>
      <w:r>
        <w:rPr>
          <w:rFonts w:ascii="仿宋_GB2312" w:hAnsi="仿宋_GB2312" w:eastAsia="仿宋_GB2312" w:cs="仿宋_GB2312"/>
          <w:sz w:val="32"/>
          <w:szCs w:val="32"/>
        </w:rPr>
        <w:t xml:space="preserve">     2018</w:t>
      </w:r>
      <w:r>
        <w:rPr>
          <w:rFonts w:hint="eastAsia" w:ascii="仿宋_GB2312" w:hAnsi="仿宋_GB2312" w:eastAsia="仿宋_GB2312" w:cs="仿宋_GB2312"/>
          <w:sz w:val="32"/>
          <w:szCs w:val="32"/>
        </w:rPr>
        <w:t>年，我局大力加强全县价格市场监管、监测，使我县物价总水平基本稳定。按职能分类纯净目标：保持全县物价总水平基本稳定。负责全县商品价格和服务收费的管理、调控、监督建撤和服务。自评为优。</w:t>
      </w:r>
    </w:p>
    <w:p>
      <w:pPr>
        <w:widowControl w:val="0"/>
        <w:wordWrap/>
        <w:adjustRightInd w:val="0"/>
        <w:snapToGrid w:val="0"/>
        <w:spacing w:after="0" w:line="580" w:lineRule="exact"/>
        <w:ind w:left="0" w:leftChars="0" w:right="0" w:firstLine="640" w:firstLineChars="200"/>
        <w:jc w:val="both"/>
        <w:textAlignment w:val="auto"/>
        <w:outlineLvl w:val="9"/>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widowControl w:val="0"/>
        <w:wordWrap/>
        <w:spacing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kern w:val="2"/>
          <w:sz w:val="32"/>
          <w:szCs w:val="32"/>
          <w:lang w:val="en-US" w:eastAsia="zh-CN" w:bidi="ar-SA"/>
        </w:rPr>
        <w:t>1、农产品成本调查。绩效目标：确保农产品调查合理布局，样本具有代表性，提高调查数据的科学性，为上级和县政府提供成本数据，为制定宏观经济政策、价格政策、稳定市场物价提供服务。评价结果：农产品成本调查任务完成率100%，自评优秀。</w:t>
      </w:r>
    </w:p>
    <w:p>
      <w:pPr>
        <w:widowControl w:val="0"/>
        <w:wordWrap/>
        <w:spacing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商品和服务价格监督检查。绩效目标：治理价格违法行为，规范收费环境和价格秩序；确保价格行政执法、处罚、审理程序合法；推行明码标价，促进明码实价；促进经营者价格自律。评价结果：价格和收费监督检查目标完成率100%，欺诈案件处理率100%，自评优秀。</w:t>
      </w:r>
    </w:p>
    <w:p>
      <w:pPr>
        <w:widowControl w:val="0"/>
        <w:wordWrap/>
        <w:spacing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2"/>
          <w:sz w:val="32"/>
          <w:szCs w:val="32"/>
          <w:lang w:val="en-US" w:eastAsia="zh-CN" w:bidi="ar-SA"/>
        </w:rPr>
        <w:t>3、调整商品、运输、服务价格。绩效目标：推进国家、省市价格政策落实，完善价格形成机制。评价结果：年度重点价格改革任务完成率100%，自评优秀。</w:t>
      </w: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widowControl w:val="0"/>
        <w:wordWrap/>
        <w:spacing w:before="0" w:after="0" w:line="580" w:lineRule="exact"/>
        <w:ind w:left="0" w:leftChars="0" w:right="0" w:firstLine="643" w:firstLineChars="200"/>
        <w:jc w:val="both"/>
        <w:textAlignment w:val="auto"/>
        <w:rPr>
          <w:rFonts w:ascii="楷体_GB2312" w:eastAsia="楷体_GB2312" w:cs="DengXian-Bold"/>
        </w:rPr>
      </w:pPr>
      <w:r>
        <w:rPr>
          <w:rFonts w:hint="eastAsia" w:ascii="楷体_GB2312" w:eastAsia="楷体_GB2312" w:cs="DengXian-Bold"/>
        </w:rPr>
        <w:t>（一）机关运行经费情况</w:t>
      </w:r>
    </w:p>
    <w:p>
      <w:pPr>
        <w:widowControl w:val="0"/>
        <w:wordWrap/>
        <w:adjustRightInd w:val="0"/>
        <w:snapToGrid w:val="0"/>
        <w:spacing w:after="0" w:line="580" w:lineRule="exact"/>
        <w:ind w:left="0" w:leftChars="0" w:right="0" w:firstLine="640" w:firstLineChars="200"/>
        <w:jc w:val="both"/>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49.94</w:t>
      </w:r>
      <w:r>
        <w:rPr>
          <w:rFonts w:hint="eastAsia" w:ascii="仿宋_GB2312" w:eastAsia="仿宋_GB2312" w:cs="DengXian-Regular"/>
          <w:sz w:val="32"/>
          <w:szCs w:val="32"/>
        </w:rPr>
        <w:t>万元，比年初预算数增加</w:t>
      </w:r>
      <w:r>
        <w:rPr>
          <w:rFonts w:ascii="仿宋_GB2312" w:eastAsia="仿宋_GB2312" w:cs="DengXian-Regular"/>
          <w:sz w:val="32"/>
          <w:szCs w:val="32"/>
        </w:rPr>
        <w:t>16.08</w:t>
      </w:r>
      <w:r>
        <w:rPr>
          <w:rFonts w:hint="eastAsia" w:ascii="仿宋_GB2312" w:eastAsia="仿宋_GB2312" w:cs="DengXian-Regular"/>
          <w:sz w:val="32"/>
          <w:szCs w:val="32"/>
        </w:rPr>
        <w:t>万元，增长</w:t>
      </w:r>
      <w:r>
        <w:rPr>
          <w:rFonts w:ascii="仿宋_GB2312" w:eastAsia="仿宋_GB2312" w:cs="DengXian-Regular"/>
          <w:sz w:val="32"/>
          <w:szCs w:val="32"/>
        </w:rPr>
        <w:t xml:space="preserve">47.49 </w:t>
      </w:r>
      <w:r>
        <w:rPr>
          <w:rFonts w:eastAsia="仿宋_GB2312"/>
          <w:sz w:val="32"/>
          <w:szCs w:val="32"/>
        </w:rPr>
        <w:t>%</w:t>
      </w:r>
      <w:r>
        <w:rPr>
          <w:rFonts w:hint="eastAsia" w:ascii="仿宋_GB2312" w:eastAsia="仿宋_GB2312" w:cs="DengXian-Regular"/>
          <w:sz w:val="32"/>
          <w:szCs w:val="32"/>
        </w:rPr>
        <w:t>。主要是业务量</w:t>
      </w:r>
      <w:r>
        <w:rPr>
          <w:rFonts w:hint="eastAsia" w:ascii="仿宋_GB2312" w:eastAsia="仿宋_GB2312" w:cs="DengXian-Regular"/>
          <w:sz w:val="32"/>
          <w:szCs w:val="32"/>
          <w:lang w:eastAsia="zh-CN"/>
        </w:rPr>
        <w:t>增加</w:t>
      </w:r>
      <w:r>
        <w:rPr>
          <w:rFonts w:hint="eastAsia" w:ascii="仿宋_GB2312" w:eastAsia="仿宋_GB2312" w:cs="DengXian-Regular"/>
          <w:sz w:val="32"/>
          <w:szCs w:val="32"/>
        </w:rPr>
        <w:t>，</w:t>
      </w:r>
      <w:r>
        <w:rPr>
          <w:rFonts w:hint="eastAsia" w:ascii="仿宋_GB2312" w:eastAsia="仿宋_GB2312" w:cs="DengXian-Regular"/>
          <w:sz w:val="32"/>
          <w:szCs w:val="32"/>
          <w:lang w:eastAsia="zh-CN"/>
        </w:rPr>
        <w:t>支出增加</w:t>
      </w:r>
      <w:r>
        <w:rPr>
          <w:rFonts w:hint="eastAsia" w:ascii="仿宋_GB2312" w:eastAsia="仿宋_GB2312" w:cs="DengXian-Regular"/>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年度决算增加</w:t>
      </w:r>
      <w:r>
        <w:rPr>
          <w:rFonts w:hint="eastAsia" w:eastAsia="仿宋_GB2312"/>
          <w:sz w:val="32"/>
          <w:szCs w:val="32"/>
          <w:lang w:val="en-US" w:eastAsia="zh-CN"/>
        </w:rPr>
        <w:t>24.81</w:t>
      </w:r>
      <w:r>
        <w:rPr>
          <w:rFonts w:hint="eastAsia" w:eastAsia="仿宋_GB2312"/>
          <w:sz w:val="32"/>
          <w:szCs w:val="32"/>
        </w:rPr>
        <w:t>万元，增长</w:t>
      </w:r>
      <w:r>
        <w:rPr>
          <w:rFonts w:hint="eastAsia" w:eastAsia="仿宋_GB2312"/>
          <w:sz w:val="32"/>
          <w:szCs w:val="32"/>
          <w:lang w:val="en-US" w:eastAsia="zh-CN"/>
        </w:rPr>
        <w:t>98.73</w:t>
      </w:r>
      <w:r>
        <w:rPr>
          <w:rFonts w:eastAsia="仿宋_GB2312"/>
          <w:sz w:val="32"/>
          <w:szCs w:val="32"/>
        </w:rPr>
        <w:t>%</w:t>
      </w:r>
      <w:r>
        <w:rPr>
          <w:rFonts w:hint="eastAsia" w:eastAsia="仿宋_GB2312"/>
          <w:sz w:val="32"/>
          <w:szCs w:val="32"/>
        </w:rPr>
        <w:t>，主要是人员</w:t>
      </w:r>
      <w:r>
        <w:rPr>
          <w:rFonts w:hint="eastAsia" w:eastAsia="仿宋_GB2312"/>
          <w:sz w:val="32"/>
          <w:szCs w:val="32"/>
          <w:lang w:eastAsia="zh-CN"/>
        </w:rPr>
        <w:t>调整，</w:t>
      </w:r>
      <w:r>
        <w:rPr>
          <w:rFonts w:hint="eastAsia" w:eastAsia="仿宋_GB2312"/>
          <w:sz w:val="32"/>
          <w:szCs w:val="32"/>
        </w:rPr>
        <w:t>工作量</w:t>
      </w:r>
      <w:r>
        <w:rPr>
          <w:rFonts w:hint="eastAsia" w:eastAsia="仿宋_GB2312"/>
          <w:sz w:val="32"/>
          <w:szCs w:val="32"/>
          <w:lang w:eastAsia="zh-CN"/>
        </w:rPr>
        <w:t>增加，</w:t>
      </w:r>
      <w:r>
        <w:rPr>
          <w:rFonts w:hint="eastAsia" w:ascii="仿宋_GB2312" w:eastAsia="仿宋_GB2312" w:cs="DengXian-Regular"/>
          <w:sz w:val="32"/>
          <w:szCs w:val="32"/>
          <w:lang w:eastAsia="zh-CN"/>
        </w:rPr>
        <w:t>支出增加</w:t>
      </w:r>
      <w:r>
        <w:rPr>
          <w:rFonts w:hint="eastAsia" w:eastAsia="仿宋_GB2312"/>
          <w:sz w:val="32"/>
          <w:szCs w:val="32"/>
        </w:rPr>
        <w:t>。</w:t>
      </w:r>
    </w:p>
    <w:p>
      <w:pPr>
        <w:pStyle w:val="4"/>
        <w:widowControl w:val="0"/>
        <w:wordWrap/>
        <w:adjustRightInd/>
        <w:snapToGrid/>
        <w:spacing w:before="0" w:after="0" w:line="580" w:lineRule="exact"/>
        <w:ind w:left="0" w:leftChars="0" w:right="0" w:firstLine="643" w:firstLineChars="200"/>
        <w:textAlignment w:val="auto"/>
        <w:rPr>
          <w:rFonts w:ascii="楷体_GB2312" w:eastAsia="楷体_GB2312" w:cs="DengXian-Bold"/>
        </w:rPr>
      </w:pPr>
      <w:r>
        <w:rPr>
          <w:rFonts w:hint="eastAsia" w:ascii="楷体_GB2312" w:eastAsia="楷体_GB2312" w:cs="DengXian-Bold"/>
        </w:rPr>
        <w:t>（二）政府采购情况</w:t>
      </w:r>
    </w:p>
    <w:p>
      <w:pPr>
        <w:widowControl w:val="0"/>
        <w:wordWrap/>
        <w:adjustRightInd/>
        <w:snapToGrid/>
        <w:spacing w:after="0" w:line="580" w:lineRule="exact"/>
        <w:ind w:left="0" w:leftChars="0" w:right="0" w:firstLine="640" w:firstLineChars="200"/>
        <w:jc w:val="left"/>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ascii="仿宋_GB2312" w:eastAsia="仿宋_GB2312" w:cs="DengXian-Regular"/>
          <w:sz w:val="32"/>
          <w:szCs w:val="32"/>
        </w:rPr>
        <w:t>2.05</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2.05</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2</w:t>
      </w:r>
      <w:r>
        <w:rPr>
          <w:rFonts w:hint="eastAsia" w:ascii="仿宋_GB2312" w:eastAsia="仿宋_GB2312" w:cs="DengXian-Regular"/>
          <w:sz w:val="32"/>
          <w:szCs w:val="32"/>
        </w:rPr>
        <w:t>辆，比上年增加</w:t>
      </w:r>
      <w:r>
        <w:rPr>
          <w:rFonts w:ascii="仿宋_GB2312" w:eastAsia="仿宋_GB2312" w:cs="DengXian-Regular"/>
          <w:sz w:val="32"/>
          <w:szCs w:val="32"/>
        </w:rPr>
        <w:t>0</w:t>
      </w:r>
      <w:r>
        <w:rPr>
          <w:rFonts w:hint="eastAsia" w:ascii="仿宋_GB2312" w:eastAsia="仿宋_GB2312" w:cs="DengXian-Regular"/>
          <w:sz w:val="32"/>
          <w:szCs w:val="32"/>
        </w:rPr>
        <w:t>辆，主要是较上年无增减变化。其中，副部（省）级及以上领导用车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比上年增加</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年度政府性基金无收支及结转结余情况，故</w:t>
      </w:r>
      <w:r>
        <w:rPr>
          <w:rFonts w:ascii="仿宋_GB2312" w:eastAsia="仿宋_GB2312" w:cs="DengXian-Regular"/>
          <w:sz w:val="32"/>
          <w:szCs w:val="32"/>
        </w:rPr>
        <w:t>08</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年度政国有资本经营无收支及结转结余情况，故</w:t>
      </w:r>
      <w:r>
        <w:rPr>
          <w:rFonts w:ascii="仿宋_GB2312" w:eastAsia="仿宋_GB2312" w:cs="DengXian-Regular"/>
          <w:sz w:val="32"/>
          <w:szCs w:val="32"/>
        </w:rPr>
        <w:t>09</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UnicodeMS">
    <w:altName w:val="Dotum"/>
    <w:panose1 w:val="00000000000000000000"/>
    <w:charset w:val="81"/>
    <w:family w:val="auto"/>
    <w:pitch w:val="default"/>
    <w:sig w:usb0="00000000" w:usb1="00000000" w:usb2="00000010" w:usb3="00000000" w:csb0="00080000"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71F10"/>
    <w:multiLevelType w:val="singleLevel"/>
    <w:tmpl w:val="92C71F10"/>
    <w:lvl w:ilvl="0" w:tentative="0">
      <w:start w:val="2"/>
      <w:numFmt w:val="chineseCounting"/>
      <w:suff w:val="nothing"/>
      <w:lvlText w:val="（%1）"/>
      <w:lvlJc w:val="left"/>
      <w:rPr>
        <w:rFonts w:hint="eastAsia" w:cs="Times New Roman"/>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1429"/>
    <w:rsid w:val="00067693"/>
    <w:rsid w:val="000838C3"/>
    <w:rsid w:val="000A685B"/>
    <w:rsid w:val="000B2446"/>
    <w:rsid w:val="000D7C65"/>
    <w:rsid w:val="000E2F81"/>
    <w:rsid w:val="00101F8D"/>
    <w:rsid w:val="00117946"/>
    <w:rsid w:val="00117E2C"/>
    <w:rsid w:val="00146C47"/>
    <w:rsid w:val="00152FB8"/>
    <w:rsid w:val="00167E42"/>
    <w:rsid w:val="00176658"/>
    <w:rsid w:val="0018239E"/>
    <w:rsid w:val="001A5D0B"/>
    <w:rsid w:val="001B3410"/>
    <w:rsid w:val="001B7503"/>
    <w:rsid w:val="001C030D"/>
    <w:rsid w:val="001C0930"/>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1B81"/>
    <w:rsid w:val="00575922"/>
    <w:rsid w:val="005A3C0D"/>
    <w:rsid w:val="005A6C90"/>
    <w:rsid w:val="005B37E6"/>
    <w:rsid w:val="005E3FB0"/>
    <w:rsid w:val="005F4B66"/>
    <w:rsid w:val="005F5208"/>
    <w:rsid w:val="00615C31"/>
    <w:rsid w:val="00636C7B"/>
    <w:rsid w:val="00641318"/>
    <w:rsid w:val="0064405D"/>
    <w:rsid w:val="00695557"/>
    <w:rsid w:val="006D4EA7"/>
    <w:rsid w:val="006E5FD4"/>
    <w:rsid w:val="0070012A"/>
    <w:rsid w:val="0070664B"/>
    <w:rsid w:val="007071B8"/>
    <w:rsid w:val="007155C2"/>
    <w:rsid w:val="007414DE"/>
    <w:rsid w:val="00760C0C"/>
    <w:rsid w:val="007905A9"/>
    <w:rsid w:val="007E072B"/>
    <w:rsid w:val="007E5500"/>
    <w:rsid w:val="007F055B"/>
    <w:rsid w:val="00811C2F"/>
    <w:rsid w:val="008233E9"/>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B09CB"/>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4073F84"/>
    <w:rsid w:val="045A3DF7"/>
    <w:rsid w:val="066E2C1A"/>
    <w:rsid w:val="0B60750A"/>
    <w:rsid w:val="0BF8361D"/>
    <w:rsid w:val="10686488"/>
    <w:rsid w:val="10DF728A"/>
    <w:rsid w:val="1264200E"/>
    <w:rsid w:val="141C5B77"/>
    <w:rsid w:val="18D8339D"/>
    <w:rsid w:val="19C85677"/>
    <w:rsid w:val="1A21388F"/>
    <w:rsid w:val="1A570D2F"/>
    <w:rsid w:val="1EB02F65"/>
    <w:rsid w:val="22972B5F"/>
    <w:rsid w:val="28FB0B8D"/>
    <w:rsid w:val="2D2B7942"/>
    <w:rsid w:val="2D46481D"/>
    <w:rsid w:val="2E733B28"/>
    <w:rsid w:val="2FD44507"/>
    <w:rsid w:val="31852B5A"/>
    <w:rsid w:val="32D01238"/>
    <w:rsid w:val="3426571B"/>
    <w:rsid w:val="3B3722CC"/>
    <w:rsid w:val="3D026DA3"/>
    <w:rsid w:val="3DFC59A8"/>
    <w:rsid w:val="3ECF245E"/>
    <w:rsid w:val="3FB96314"/>
    <w:rsid w:val="4D802136"/>
    <w:rsid w:val="53A44FAF"/>
    <w:rsid w:val="557D1BD1"/>
    <w:rsid w:val="580E2E04"/>
    <w:rsid w:val="594329EC"/>
    <w:rsid w:val="5BEE1540"/>
    <w:rsid w:val="5BF117E5"/>
    <w:rsid w:val="5DE61A5D"/>
    <w:rsid w:val="63C04243"/>
    <w:rsid w:val="649C01C7"/>
    <w:rsid w:val="66A30624"/>
    <w:rsid w:val="69655E7A"/>
    <w:rsid w:val="699A3F60"/>
    <w:rsid w:val="6A5D4D8D"/>
    <w:rsid w:val="6DCF21B6"/>
    <w:rsid w:val="72902E62"/>
    <w:rsid w:val="72E263A0"/>
    <w:rsid w:val="73C61104"/>
    <w:rsid w:val="765B27BA"/>
    <w:rsid w:val="776452EA"/>
    <w:rsid w:val="77DC6ACF"/>
    <w:rsid w:val="7884268B"/>
    <w:rsid w:val="7DC663B9"/>
    <w:rsid w:val="7FD21032"/>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paragraph" w:styleId="5">
    <w:name w:val="heading 4"/>
    <w:basedOn w:val="1"/>
    <w:next w:val="1"/>
    <w:link w:val="20"/>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uiPriority w:val="99"/>
  </w:style>
  <w:style w:type="table" w:default="1" w:styleId="12">
    <w:name w:val="Normal Table"/>
    <w:unhideWhenUsed/>
    <w:qFormat/>
    <w:uiPriority w:val="99"/>
    <w:pPr>
      <w:widowControl/>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6">
    <w:name w:val="Date"/>
    <w:basedOn w:val="1"/>
    <w:next w:val="1"/>
    <w:link w:val="21"/>
    <w:semiHidden/>
    <w:uiPriority w:val="99"/>
    <w:pPr>
      <w:ind w:left="100" w:leftChars="2500"/>
    </w:pPr>
  </w:style>
  <w:style w:type="paragraph" w:styleId="7">
    <w:name w:val="Balloon Text"/>
    <w:basedOn w:val="1"/>
    <w:link w:val="22"/>
    <w:semiHidden/>
    <w:uiPriority w:val="99"/>
    <w:rPr>
      <w:sz w:val="18"/>
      <w:szCs w:val="18"/>
    </w:rPr>
  </w:style>
  <w:style w:type="paragraph" w:styleId="8">
    <w:name w:val="footer"/>
    <w:basedOn w:val="1"/>
    <w:link w:val="23"/>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4"/>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5"/>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6"/>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5">
    <w:name w:val="No Spacing"/>
    <w:link w:val="27"/>
    <w:qFormat/>
    <w:uiPriority w:val="99"/>
    <w:pPr>
      <w:spacing w:after="160" w:line="480" w:lineRule="auto"/>
    </w:pPr>
    <w:rPr>
      <w:rFonts w:ascii="Cambria" w:hAnsi="Cambria" w:eastAsia="黑体" w:cs="Times New Roman"/>
      <w:kern w:val="0"/>
      <w:sz w:val="22"/>
      <w:szCs w:val="22"/>
      <w:lang w:val="en-US" w:eastAsia="zh-CN" w:bidi="ar-SA"/>
    </w:rPr>
  </w:style>
  <w:style w:type="paragraph" w:customStyle="1" w:styleId="16">
    <w:name w:val="List Paragraph"/>
    <w:basedOn w:val="1"/>
    <w:qFormat/>
    <w:uiPriority w:val="99"/>
    <w:pPr>
      <w:ind w:firstLine="420" w:firstLineChars="200"/>
    </w:pPr>
  </w:style>
  <w:style w:type="character" w:customStyle="1" w:styleId="17">
    <w:name w:val="Heading 1 Char"/>
    <w:basedOn w:val="14"/>
    <w:link w:val="2"/>
    <w:locked/>
    <w:uiPriority w:val="99"/>
    <w:rPr>
      <w:rFonts w:ascii="Times New Roman" w:hAnsi="Times New Roman" w:eastAsia="宋体" w:cs="Times New Roman"/>
      <w:b/>
      <w:bCs/>
      <w:kern w:val="44"/>
      <w:sz w:val="44"/>
      <w:szCs w:val="44"/>
    </w:rPr>
  </w:style>
  <w:style w:type="character" w:customStyle="1" w:styleId="18">
    <w:name w:val="Heading 2 Char"/>
    <w:basedOn w:val="14"/>
    <w:link w:val="3"/>
    <w:locked/>
    <w:uiPriority w:val="99"/>
    <w:rPr>
      <w:rFonts w:ascii="Calibri" w:hAnsi="Calibri" w:eastAsia="宋体" w:cs="Times New Roman"/>
      <w:b/>
      <w:bCs/>
      <w:sz w:val="32"/>
      <w:szCs w:val="32"/>
    </w:rPr>
  </w:style>
  <w:style w:type="character" w:customStyle="1" w:styleId="19">
    <w:name w:val="Heading 3 Char"/>
    <w:basedOn w:val="14"/>
    <w:link w:val="4"/>
    <w:locked/>
    <w:uiPriority w:val="99"/>
    <w:rPr>
      <w:rFonts w:ascii="Times New Roman" w:hAnsi="Times New Roman" w:eastAsia="宋体" w:cs="Times New Roman"/>
      <w:b/>
      <w:bCs/>
      <w:sz w:val="32"/>
      <w:szCs w:val="32"/>
    </w:rPr>
  </w:style>
  <w:style w:type="character" w:customStyle="1" w:styleId="20">
    <w:name w:val="Heading 4 Char"/>
    <w:basedOn w:val="14"/>
    <w:link w:val="5"/>
    <w:locked/>
    <w:uiPriority w:val="99"/>
    <w:rPr>
      <w:rFonts w:ascii="Calibri" w:hAnsi="Calibri" w:eastAsia="宋体" w:cs="Times New Roman"/>
      <w:b/>
      <w:bCs/>
      <w:sz w:val="28"/>
      <w:szCs w:val="28"/>
    </w:rPr>
  </w:style>
  <w:style w:type="character" w:customStyle="1" w:styleId="21">
    <w:name w:val="Date Char"/>
    <w:basedOn w:val="14"/>
    <w:link w:val="6"/>
    <w:semiHidden/>
    <w:locked/>
    <w:uiPriority w:val="99"/>
    <w:rPr>
      <w:rFonts w:ascii="Times New Roman" w:hAnsi="Times New Roman" w:eastAsia="宋体" w:cs="Times New Roman"/>
      <w:sz w:val="24"/>
      <w:szCs w:val="24"/>
    </w:rPr>
  </w:style>
  <w:style w:type="character" w:customStyle="1" w:styleId="22">
    <w:name w:val="Balloon Text Char"/>
    <w:basedOn w:val="14"/>
    <w:link w:val="7"/>
    <w:semiHidden/>
    <w:locked/>
    <w:uiPriority w:val="99"/>
    <w:rPr>
      <w:rFonts w:ascii="Times New Roman" w:hAnsi="Times New Roman" w:eastAsia="宋体" w:cs="Times New Roman"/>
      <w:sz w:val="18"/>
      <w:szCs w:val="18"/>
    </w:rPr>
  </w:style>
  <w:style w:type="character" w:customStyle="1" w:styleId="23">
    <w:name w:val="Footer Char"/>
    <w:basedOn w:val="14"/>
    <w:link w:val="8"/>
    <w:locked/>
    <w:uiPriority w:val="99"/>
    <w:rPr>
      <w:rFonts w:cs="Times New Roman"/>
      <w:sz w:val="18"/>
      <w:szCs w:val="18"/>
    </w:rPr>
  </w:style>
  <w:style w:type="character" w:customStyle="1" w:styleId="24">
    <w:name w:val="Header Char"/>
    <w:basedOn w:val="14"/>
    <w:link w:val="9"/>
    <w:locked/>
    <w:uiPriority w:val="99"/>
    <w:rPr>
      <w:rFonts w:cs="Times New Roman"/>
      <w:sz w:val="18"/>
      <w:szCs w:val="18"/>
    </w:rPr>
  </w:style>
  <w:style w:type="character" w:customStyle="1" w:styleId="25">
    <w:name w:val="Subtitle Char"/>
    <w:basedOn w:val="14"/>
    <w:link w:val="10"/>
    <w:locked/>
    <w:uiPriority w:val="99"/>
    <w:rPr>
      <w:rFonts w:ascii="Calibri" w:hAnsi="Calibri" w:eastAsia="宋体" w:cs="Times New Roman"/>
      <w:i/>
      <w:iCs/>
      <w:color w:val="F0A22E"/>
      <w:spacing w:val="15"/>
      <w:kern w:val="0"/>
      <w:sz w:val="24"/>
      <w:szCs w:val="24"/>
    </w:rPr>
  </w:style>
  <w:style w:type="character" w:customStyle="1" w:styleId="26">
    <w:name w:val="Title Char"/>
    <w:basedOn w:val="14"/>
    <w:link w:val="11"/>
    <w:locked/>
    <w:uiPriority w:val="99"/>
    <w:rPr>
      <w:rFonts w:ascii="Calibri" w:hAnsi="Calibri" w:eastAsia="宋体" w:cs="Times New Roman"/>
      <w:color w:val="3A2C24"/>
      <w:spacing w:val="5"/>
      <w:kern w:val="28"/>
      <w:sz w:val="52"/>
      <w:szCs w:val="52"/>
    </w:rPr>
  </w:style>
  <w:style w:type="character" w:customStyle="1" w:styleId="27">
    <w:name w:val="No Spacing Char"/>
    <w:basedOn w:val="14"/>
    <w:link w:val="15"/>
    <w:locked/>
    <w:uiPriority w:val="99"/>
    <w:rPr>
      <w:rFonts w:cs="Times New Roman"/>
      <w:sz w:val="22"/>
      <w:szCs w:val="22"/>
      <w:lang w:val="en-US" w:eastAsia="zh-CN" w:bidi="ar-SA"/>
    </w:rPr>
  </w:style>
  <w:style w:type="character" w:customStyle="1" w:styleId="28">
    <w:name w:val="Style1"/>
    <w:basedOn w:val="14"/>
    <w:uiPriority w:val="99"/>
    <w:rPr>
      <w:rFonts w:ascii="Cambria" w:hAnsi="黑体" w:eastAsia="黑体" w:cs="Times New Roman"/>
      <w:sz w:val="22"/>
      <w:szCs w:val="22"/>
      <w:lang w:eastAsia="zh-CN"/>
    </w:rPr>
  </w:style>
  <w:style w:type="character" w:customStyle="1" w:styleId="29">
    <w:name w:val="Style2"/>
    <w:basedOn w:val="14"/>
    <w:uiPriority w:val="99"/>
    <w:rPr>
      <w:rFonts w:ascii="Cambria" w:hAnsi="黑体" w:eastAsia="黑体" w:cs="Times New Roman"/>
      <w:sz w:val="22"/>
      <w:szCs w:val="22"/>
      <w:lang w:eastAsia="zh-CN"/>
    </w:rPr>
  </w:style>
  <w:style w:type="character" w:customStyle="1" w:styleId="30">
    <w:name w:val="Style3"/>
    <w:basedOn w:val="14"/>
    <w:uiPriority w:val="99"/>
    <w:rPr>
      <w:rFonts w:ascii="Cambria" w:hAnsi="黑体" w:eastAsia="黑体" w:cs="Times New Roman"/>
      <w:sz w:val="22"/>
      <w:szCs w:val="22"/>
      <w:lang w:eastAsia="zh-CN"/>
    </w:rPr>
  </w:style>
  <w:style w:type="character" w:customStyle="1" w:styleId="31">
    <w:name w:val="Style4"/>
    <w:basedOn w:val="14"/>
    <w:uiPriority w:val="99"/>
    <w:rPr>
      <w:rFonts w:ascii="Cambria" w:hAnsi="黑体" w:eastAsia="黑体" w:cs="Times New Roman"/>
      <w:sz w:val="22"/>
      <w:szCs w:val="22"/>
      <w:lang w:eastAsia="zh-CN"/>
    </w:rPr>
  </w:style>
  <w:style w:type="character" w:customStyle="1" w:styleId="32">
    <w:name w:val="Style5"/>
    <w:basedOn w:val="14"/>
    <w:uiPriority w:val="99"/>
    <w:rPr>
      <w:rFonts w:ascii="Cambria" w:hAnsi="黑体" w:eastAsia="黑体" w:cs="Times New Roman"/>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25</Pages>
  <Words>1011</Words>
  <Characters>5769</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2019-11-13T08:09:00Z</cp:lastPrinted>
  <dcterms:modified xsi:type="dcterms:W3CDTF">2022-03-22T07:08:21Z</dcterms:modified>
  <dc:subject>石家庄市xxx部门</dc:subject>
  <dc:title>2017年度部门决算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2B65315A23D74B6586705D47B63DAF29</vt:lpwstr>
  </property>
</Properties>
</file>