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color w:val="000000" w:themeColor="text1"/>
          <w:sz w:val="96"/>
          <w:szCs w:val="96"/>
          <w14:textFill>
            <w14:solidFill>
              <w14:schemeClr w14:val="tx1"/>
            </w14:solidFill>
          </w14:textFill>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rPr>
        <w:t>大城县住房保障与房产管理局</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大城县住房保障与房产管理局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（一）宣传贯彻《中华人民共和国城市房地产管理法</w:t>
      </w:r>
      <w:bookmarkStart w:id="0" w:name="_GoBack"/>
      <w:bookmarkEnd w:id="0"/>
      <w:r>
        <w:rPr>
          <w:rFonts w:hint="eastAsia" w:ascii="仿宋_GB2312" w:hAnsi="仿宋_GB2312" w:eastAsia="仿宋_GB2312" w:cs="仿宋_GB2312"/>
          <w:sz w:val="32"/>
          <w:szCs w:val="32"/>
        </w:rPr>
        <w:t>》，参照该法及有关法律、法规，制定适合我县实际情况的房产管理规章、管理办法等。</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（二）负责指导和管理全县房地产业工作。</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（三）制定全县建设计划，商品房开发计划，经济适用住房建设计划，编制住宅建设，商品房开发，经济适用住房建设的中、长期发展规划并组织实施。</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（四）负责全县房产开发企业，物业管理企业资质的审查申报和商品房出售等经营行为的监督管理。</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（五）管理全县房产交易市场，制定我县房产交易市场管理办法、规章等，规范房产交易行为，办理全县范围内的房产交易及租赁事宜。</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（六）统一管理全县住宅的工发建设，确保住宅建设的质量。负责直管公产住宅的建设和管理；负责城区内住宅小区的物业管理工作和其它有关管理工作。</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（七）全县住房制度改革工作，制定房改政策，检查指导全县房改工作。</w:t>
      </w:r>
    </w:p>
    <w:p>
      <w:pPr>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（八）负责调解和配合有关部门仲裁房产纠纷，制止和纠正住房中违法行为；负责危房鉴定工作。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（九）负责全县各类房屋和租赁管理工作，办理房屋租赁许可证。</w:t>
      </w:r>
    </w:p>
    <w:p>
      <w:pPr>
        <w:autoSpaceDE w:val="0"/>
        <w:autoSpaceDN w:val="0"/>
        <w:snapToGrid w:val="0"/>
        <w:spacing w:line="58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（十）承办县政府交办的其他事项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大城县住房保障与房产管理局(本级)</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参公事业单位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第二部分</w:t>
      </w:r>
    </w:p>
    <w:p>
      <w:pPr>
        <w:widowControl/>
        <w:spacing w:line="1200" w:lineRule="exact"/>
        <w:jc w:val="center"/>
        <w:rPr>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tbl>
      <w:tblPr>
        <w:tblStyle w:val="12"/>
        <w:tblW w:w="9300" w:type="dxa"/>
        <w:jc w:val="center"/>
        <w:tblInd w:w="0" w:type="dxa"/>
        <w:tblLayout w:type="fixed"/>
        <w:tblCellMar>
          <w:top w:w="0" w:type="dxa"/>
          <w:left w:w="0" w:type="dxa"/>
          <w:bottom w:w="0" w:type="dxa"/>
          <w:right w:w="0" w:type="dxa"/>
        </w:tblCellMar>
      </w:tblPr>
      <w:tblGrid>
        <w:gridCol w:w="2700"/>
        <w:gridCol w:w="567"/>
        <w:gridCol w:w="1336"/>
        <w:gridCol w:w="2700"/>
        <w:gridCol w:w="567"/>
        <w:gridCol w:w="1430"/>
      </w:tblGrid>
      <w:tr>
        <w:tblPrEx>
          <w:tblLayout w:type="fixed"/>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Layout w:type="fixed"/>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Layout w:type="fixed"/>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Layout w:type="fixed"/>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2638.50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23.90</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11.53</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1952.88</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2.13</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2638.50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1990.44</w:t>
            </w:r>
          </w:p>
        </w:tc>
      </w:tr>
      <w:tr>
        <w:tblPrEx>
          <w:tblLayout w:type="fixed"/>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12.08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660.13</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2650.58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2650.58</w:t>
            </w:r>
          </w:p>
        </w:tc>
      </w:tr>
      <w:tr>
        <w:tblPrEx>
          <w:tblLayout w:type="fixed"/>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Ind w:w="0" w:type="dxa"/>
        <w:tblLayout w:type="fixed"/>
        <w:tblCellMar>
          <w:top w:w="0" w:type="dxa"/>
          <w:left w:w="0" w:type="dxa"/>
          <w:bottom w:w="0" w:type="dxa"/>
          <w:right w:w="0" w:type="dxa"/>
        </w:tblCellMar>
      </w:tblPr>
      <w:tblGrid>
        <w:gridCol w:w="335"/>
        <w:gridCol w:w="179"/>
        <w:gridCol w:w="432"/>
        <w:gridCol w:w="1605"/>
        <w:gridCol w:w="334"/>
        <w:gridCol w:w="260"/>
        <w:gridCol w:w="366"/>
        <w:gridCol w:w="449"/>
        <w:gridCol w:w="511"/>
        <w:gridCol w:w="305"/>
        <w:gridCol w:w="430"/>
        <w:gridCol w:w="385"/>
        <w:gridCol w:w="442"/>
        <w:gridCol w:w="373"/>
        <w:gridCol w:w="548"/>
        <w:gridCol w:w="920"/>
        <w:gridCol w:w="926"/>
      </w:tblGrid>
      <w:tr>
        <w:tblPrEx>
          <w:tblLayout w:type="fixed"/>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Layout w:type="fixed"/>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3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0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Layout w:type="fixed"/>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5" w:hRule="atLeast"/>
          <w:jc w:val="center"/>
        </w:trPr>
        <w:tc>
          <w:tcPr>
            <w:tcW w:w="2551"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60"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6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35"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827"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Layout w:type="fixed"/>
          <w:tblCellMar>
            <w:top w:w="0" w:type="dxa"/>
            <w:left w:w="0" w:type="dxa"/>
            <w:bottom w:w="0" w:type="dxa"/>
            <w:right w:w="0" w:type="dxa"/>
          </w:tblCellMar>
        </w:tblPrEx>
        <w:trPr>
          <w:trHeight w:val="626"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605"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6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6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35"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827"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Layout w:type="fixed"/>
          <w:tblCellMar>
            <w:top w:w="0" w:type="dxa"/>
            <w:left w:w="0" w:type="dxa"/>
            <w:bottom w:w="0" w:type="dxa"/>
            <w:right w:w="0" w:type="dxa"/>
          </w:tblCellMar>
        </w:tblPrEx>
        <w:trPr>
          <w:trHeight w:val="391" w:hRule="atLeast"/>
          <w:jc w:val="center"/>
        </w:trPr>
        <w:tc>
          <w:tcPr>
            <w:tcW w:w="25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Layout w:type="fixed"/>
          <w:tblCellMar>
            <w:top w:w="0" w:type="dxa"/>
            <w:left w:w="0" w:type="dxa"/>
            <w:bottom w:w="0" w:type="dxa"/>
            <w:right w:w="0" w:type="dxa"/>
          </w:tblCellMar>
        </w:tblPrEx>
        <w:trPr>
          <w:trHeight w:val="90" w:hRule="atLeast"/>
          <w:jc w:val="center"/>
        </w:trPr>
        <w:tc>
          <w:tcPr>
            <w:tcW w:w="25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6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 w:val="18"/>
                <w:szCs w:val="18"/>
              </w:rPr>
            </w:pPr>
            <w:r>
              <w:rPr>
                <w:rFonts w:hint="eastAsia" w:ascii="宋体" w:hAnsi="宋体" w:cs="宋体"/>
                <w:b/>
                <w:color w:val="000000"/>
                <w:kern w:val="0"/>
                <w:sz w:val="22"/>
                <w:szCs w:val="22"/>
              </w:rPr>
              <w:t>2,638.50</w:t>
            </w:r>
          </w:p>
        </w:tc>
        <w:tc>
          <w:tcPr>
            <w:tcW w:w="96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 w:val="18"/>
                <w:szCs w:val="18"/>
              </w:rPr>
            </w:pPr>
            <w:r>
              <w:rPr>
                <w:rFonts w:hint="eastAsia" w:ascii="宋体" w:hAnsi="宋体" w:cs="宋体"/>
                <w:b/>
                <w:color w:val="000000"/>
                <w:kern w:val="0"/>
                <w:sz w:val="22"/>
                <w:szCs w:val="22"/>
              </w:rPr>
              <w:t>2,638.50</w:t>
            </w:r>
          </w:p>
        </w:tc>
        <w:tc>
          <w:tcPr>
            <w:tcW w:w="735"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827"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社会保障和就业支出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24.73</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24.73</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行政事业单位离退休</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24.73</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24.73</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机关事业单位基本养老保险缴费支出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24.73</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24.73</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医疗卫生与计划生育支出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行政事业单位医疗</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事业单位医疗</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城乡社区支出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2,011.81</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2,011.81</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城乡社区管理事务</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2,011.81</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2,011.81</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2120101</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行政运行</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805.74</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805.74</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2120102</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一般行政管理事务</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1,206.08</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1,206.08</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住房保障支出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590.42</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590.42</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22101</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保障性安居工程支出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590.42</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590.42</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2210106</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公共租赁住房</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206.44</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206.44</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4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2210199</w:t>
            </w:r>
          </w:p>
        </w:tc>
        <w:tc>
          <w:tcPr>
            <w:tcW w:w="1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其他保障性安居工程支出</w:t>
            </w:r>
          </w:p>
        </w:tc>
        <w:tc>
          <w:tcPr>
            <w:tcW w:w="96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383.98</w:t>
            </w:r>
          </w:p>
        </w:tc>
        <w:tc>
          <w:tcPr>
            <w:tcW w:w="96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383.98</w:t>
            </w:r>
          </w:p>
        </w:tc>
        <w:tc>
          <w:tcPr>
            <w:tcW w:w="7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2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704"/>
        <w:gridCol w:w="1410"/>
        <w:gridCol w:w="453"/>
        <w:gridCol w:w="642"/>
        <w:gridCol w:w="476"/>
        <w:gridCol w:w="514"/>
        <w:gridCol w:w="606"/>
        <w:gridCol w:w="365"/>
        <w:gridCol w:w="753"/>
        <w:gridCol w:w="331"/>
        <w:gridCol w:w="789"/>
        <w:gridCol w:w="294"/>
        <w:gridCol w:w="1084"/>
      </w:tblGrid>
      <w:tr>
        <w:tblPrEx>
          <w:tblLayout w:type="fixed"/>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Layout w:type="fixed"/>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Layout w:type="fixed"/>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837" w:hRule="atLeast"/>
        </w:trPr>
        <w:tc>
          <w:tcPr>
            <w:tcW w:w="269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95"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0"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71"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Layout w:type="fixed"/>
          <w:tblCellMar>
            <w:top w:w="0" w:type="dxa"/>
            <w:left w:w="0" w:type="dxa"/>
            <w:bottom w:w="0" w:type="dxa"/>
            <w:right w:w="0" w:type="dxa"/>
          </w:tblCellMar>
        </w:tblPrEx>
        <w:trPr>
          <w:trHeight w:val="782" w:hRule="atLeast"/>
        </w:trPr>
        <w:tc>
          <w:tcPr>
            <w:tcW w:w="128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95"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0"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71"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95" w:hRule="atLeast"/>
        </w:trPr>
        <w:tc>
          <w:tcPr>
            <w:tcW w:w="26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440" w:hRule="atLeast"/>
        </w:trPr>
        <w:tc>
          <w:tcPr>
            <w:tcW w:w="26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0"/>
                <w:szCs w:val="20"/>
              </w:rPr>
              <w:t>1,990.44</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0"/>
                <w:szCs w:val="20"/>
              </w:rPr>
              <w:t>825.15</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0"/>
                <w:szCs w:val="20"/>
              </w:rPr>
              <w:t>1,165.29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208</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社会保障和就业支出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20805</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行政事业单位离退休</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2080505</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机关事业单位基本养老保险缴费支出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210</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医疗卫生与计划生育支出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21011</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行政事业单位医疗</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2101102</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事业单位医疗</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城乡社区支出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1,952.88</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21201</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城乡社区管理事务</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1,952.88</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2120101</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行政运行</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2120102</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一般行政管理事务</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221</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住房保障支出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22101</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保障性安居工程支出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2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2210199</w:t>
            </w:r>
          </w:p>
        </w:tc>
        <w:tc>
          <w:tcPr>
            <w:tcW w:w="14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其他保障性安居工程支出</w:t>
            </w:r>
          </w:p>
        </w:tc>
        <w:tc>
          <w:tcPr>
            <w:tcW w:w="10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9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9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Layout w:type="fixed"/>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Layout w:type="fixed"/>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Layout w:type="fixed"/>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Layout w:type="fixed"/>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2638.50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23.90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23.90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11.53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1952.88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1952.88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2638.50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1990.44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1990.44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12.08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660.13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660.13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12.08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2650.58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2650.58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2650.58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Layout w:type="fixed"/>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Layout w:type="fixed"/>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Layout w:type="fixed"/>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Layout w:type="fixed"/>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Layout w:type="fixed"/>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Layout w:type="fixed"/>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0"/>
                <w:szCs w:val="20"/>
              </w:rPr>
              <w:t>1,990.44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0"/>
                <w:szCs w:val="20"/>
              </w:rPr>
              <w:t>825.15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0"/>
                <w:szCs w:val="20"/>
              </w:rPr>
              <w:t>1,165.29</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23.90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城乡社区支出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1,952.88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城乡社区管理事务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1,952.88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789.72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2120102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1,163.16</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22101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保障性安居工程支出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r>
      <w:tr>
        <w:tblPrEx>
          <w:tblLayout w:type="fixed"/>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2210199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0"/>
                <w:szCs w:val="20"/>
              </w:rPr>
              <w:t xml:space="preserve">  其他保障性安居工程支出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0"/>
                <w:szCs w:val="20"/>
              </w:rPr>
              <w:t>2.13</w:t>
            </w:r>
          </w:p>
        </w:tc>
      </w:tr>
      <w:tr>
        <w:tblPrEx>
          <w:tblLayout w:type="fixed"/>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Ind w:w="0" w:type="dxa"/>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Layout w:type="fixed"/>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Layout w:type="fixed"/>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Layout w:type="fixed"/>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Layout w:type="fixed"/>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779.80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37.27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744.37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4.63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1.00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0.74</w:t>
            </w: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2.03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rPr>
              <w:t>0.74</w:t>
            </w: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23.90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4.01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8.41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6.23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11.53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0.12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7.11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7.34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0.37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0.08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7.34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1.00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1.50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0.78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787.14</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0"/>
                <w:szCs w:val="20"/>
              </w:rPr>
              <w:t>38.01</w:t>
            </w:r>
          </w:p>
        </w:tc>
      </w:tr>
      <w:tr>
        <w:tblPrEx>
          <w:tblLayout w:type="fixed"/>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Ind w:w="0" w:type="dxa"/>
        <w:tblLayout w:type="fixed"/>
        <w:tblCellMar>
          <w:top w:w="0" w:type="dxa"/>
          <w:left w:w="0" w:type="dxa"/>
          <w:bottom w:w="0" w:type="dxa"/>
          <w:right w:w="0" w:type="dxa"/>
        </w:tblCellMar>
      </w:tblPr>
      <w:tblGrid>
        <w:gridCol w:w="1158"/>
        <w:gridCol w:w="1527"/>
        <w:gridCol w:w="1528"/>
        <w:gridCol w:w="1530"/>
        <w:gridCol w:w="1530"/>
        <w:gridCol w:w="1527"/>
      </w:tblGrid>
      <w:tr>
        <w:tblPrEx>
          <w:tblLayout w:type="fixed"/>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Layout w:type="fixed"/>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Layout w:type="fixed"/>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0.08</w:t>
            </w:r>
          </w:p>
        </w:tc>
      </w:tr>
      <w:tr>
        <w:tblPrEx>
          <w:tblLayout w:type="fixed"/>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0.08</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Layout w:type="fixed"/>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Layout w:type="fixed"/>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Layout w:type="fixed"/>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Layout w:type="fixed"/>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Layout w:type="fixed"/>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Layout w:type="fixed"/>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Layout w:type="fixed"/>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Layout w:type="fixed"/>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Cs w:val="21"/>
              </w:rPr>
              <w:t>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Layout w:type="fixed"/>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Layout w:type="fixed"/>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Layout w:type="fixed"/>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Layout w:type="fixed"/>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Layout w:type="fixed"/>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0.75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第三部分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本部门2018年度收支总计2650.58万元。与2017年度决算相比，收支各减少9772.02万元，下降78.6%，主要是</w:t>
      </w:r>
      <w:r>
        <w:rPr>
          <w:rFonts w:hint="eastAsia" w:eastAsia="仿宋_GB2312"/>
          <w:sz w:val="32"/>
          <w:szCs w:val="32"/>
        </w:rPr>
        <w:t>节能环保和住房保障项目减少</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本部门2018年度本年收入合计2638.50万元，其中：财政拨款收入2638.50万元，占100%；事业收入0万元，占0%；经营收入0万元，占0%；其他收入0万元，占0%。如图所示：</w:t>
      </w:r>
    </w:p>
    <w:p>
      <w:pPr>
        <w:adjustRightInd w:val="0"/>
        <w:snapToGrid w:val="0"/>
        <w:spacing w:line="584" w:lineRule="exact"/>
        <w:jc w:val="center"/>
        <w:rPr>
          <w:rFonts w:eastAsia="仿宋_GB2312"/>
          <w:sz w:val="32"/>
          <w:szCs w:val="32"/>
        </w:rPr>
      </w:pPr>
      <w:r>
        <w:rPr>
          <w:rFonts w:eastAsia="仿宋_GB2312"/>
          <w:sz w:val="32"/>
          <w:szCs w:val="32"/>
        </w:rPr>
        <w:t>图1：收入决算结构饼状图</w:t>
      </w:r>
    </w:p>
    <w:p>
      <w:pPr>
        <w:rPr>
          <w:rFonts w:ascii="黑体" w:eastAsia="黑体" w:hAnsiTheme="majorHAnsi" w:cstheme="majorBidi"/>
          <w:sz w:val="32"/>
          <w:szCs w:val="32"/>
        </w:rPr>
      </w:pPr>
      <w:r>
        <w:rPr>
          <w:rFonts w:hint="eastAsia" w:ascii="黑体" w:eastAsia="黑体" w:hAnsiTheme="majorHAnsi" w:cstheme="majorBidi"/>
          <w:sz w:val="32"/>
          <w:szCs w:val="32"/>
        </w:rPr>
        <w:drawing>
          <wp:inline distT="0" distB="0" distL="114300" distR="114300">
            <wp:extent cx="5080000" cy="3810000"/>
            <wp:effectExtent l="4445" t="4445" r="209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本部门2018年度本年支出合计1990.44万元，其中：基本支出825.15万元，占41.45%；项目支出1165.29万元，占58.55%；经营支出0万元，占0%。如图所示：</w:t>
      </w:r>
    </w:p>
    <w:p>
      <w:pPr>
        <w:adjustRightInd w:val="0"/>
        <w:snapToGrid w:val="0"/>
        <w:spacing w:after="0" w:line="580" w:lineRule="exact"/>
        <w:jc w:val="center"/>
        <w:rPr>
          <w:rFonts w:ascii="仿宋_GB2312" w:eastAsia="仿宋_GB2312" w:cs="DengXian-Regular"/>
          <w:sz w:val="32"/>
          <w:szCs w:val="32"/>
        </w:rPr>
      </w:pPr>
      <w:r>
        <w:rPr>
          <w:rFonts w:eastAsia="仿宋_GB2312"/>
          <w:sz w:val="32"/>
          <w:szCs w:val="32"/>
        </w:rPr>
        <w:t>图2：支出决算结构饼状图</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58240" behindDoc="0" locked="0" layoutInCell="1" allowOverlap="1">
            <wp:simplePos x="0" y="0"/>
            <wp:positionH relativeFrom="column">
              <wp:posOffset>410845</wp:posOffset>
            </wp:positionH>
            <wp:positionV relativeFrom="paragraph">
              <wp:posOffset>-3053715</wp:posOffset>
            </wp:positionV>
            <wp:extent cx="5080000" cy="3343275"/>
            <wp:effectExtent l="4445" t="4445" r="20955" b="5080"/>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2638.50万元,比2017年度减少1499.62万元，降低36.24%，主要是保障房项目减少；本年支出1990.44万元，减少2822.22万元，降低58.64%，主要是节能环保支出减少。</w:t>
      </w:r>
    </w:p>
    <w:p>
      <w:pPr>
        <w:adjustRightInd w:val="0"/>
        <w:snapToGrid w:val="0"/>
        <w:spacing w:after="0" w:line="580" w:lineRule="exact"/>
        <w:jc w:val="center"/>
        <w:rPr>
          <w:rFonts w:ascii="仿宋_GB2312" w:eastAsia="仿宋_GB2312" w:cs="DengXian-Regular"/>
          <w:sz w:val="32"/>
          <w:szCs w:val="32"/>
        </w:rPr>
      </w:pPr>
      <w:r>
        <w:rPr>
          <w:rFonts w:hint="eastAsia" w:eastAsia="仿宋_GB2312"/>
          <w:sz w:val="32"/>
          <w:szCs w:val="32"/>
        </w:rPr>
        <w:t>图3：财政拨款收支情况</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drawing>
          <wp:anchor distT="0" distB="0" distL="114300" distR="114300" simplePos="0" relativeHeight="251659264" behindDoc="0" locked="0" layoutInCell="1" allowOverlap="1">
            <wp:simplePos x="0" y="0"/>
            <wp:positionH relativeFrom="column">
              <wp:posOffset>229870</wp:posOffset>
            </wp:positionH>
            <wp:positionV relativeFrom="paragraph">
              <wp:posOffset>334010</wp:posOffset>
            </wp:positionV>
            <wp:extent cx="5080000" cy="3657600"/>
            <wp:effectExtent l="4445" t="4445" r="20955" b="14605"/>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2638.50万元，完成年初预算的24.8%,比年初预算减少6499.75万元，决算数小于预算数主要是保障房项目减少；本年支出1990.44万元，完成年初预算的18.71%,比年初预算减少8647.43万元，决算数小于预算数主要是节能环保项目减少。</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rPr>
        <w:drawing>
          <wp:anchor distT="0" distB="0" distL="114300" distR="114300" simplePos="0" relativeHeight="251660288" behindDoc="0" locked="0" layoutInCell="1" allowOverlap="1">
            <wp:simplePos x="0" y="0"/>
            <wp:positionH relativeFrom="column">
              <wp:posOffset>410845</wp:posOffset>
            </wp:positionH>
            <wp:positionV relativeFrom="paragraph">
              <wp:posOffset>-2939415</wp:posOffset>
            </wp:positionV>
            <wp:extent cx="5080000" cy="3228975"/>
            <wp:effectExtent l="4445" t="4445" r="20955" b="508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1990.44万元，主要用于以下方面：社会保障和就业（类）支出23.90万元，占1.2%；医疗卫生与计划生育（类）支出11.53万元，占0.58%;城乡社区（类）支出1952.88万元，占98.11%;住房保障（类）支出2.13万元，0.11%。</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661312" behindDoc="0" locked="0" layoutInCell="1" allowOverlap="1">
            <wp:simplePos x="0" y="0"/>
            <wp:positionH relativeFrom="column">
              <wp:posOffset>175895</wp:posOffset>
            </wp:positionH>
            <wp:positionV relativeFrom="paragraph">
              <wp:posOffset>31750</wp:posOffset>
            </wp:positionV>
            <wp:extent cx="5080000" cy="3810000"/>
            <wp:effectExtent l="4445" t="4445" r="20955" b="1460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年度一般公共预算财政拨款基本支出825.15万元，其中：人员经费 787.14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38.01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8</w:t>
      </w:r>
      <w:r>
        <w:rPr>
          <w:rFonts w:eastAsia="仿宋_GB2312"/>
          <w:sz w:val="32"/>
          <w:szCs w:val="32"/>
        </w:rPr>
        <w:t>年度一般公共预算财政拨款“三公”经费支出共计</w:t>
      </w:r>
      <w:r>
        <w:rPr>
          <w:rFonts w:hint="eastAsia" w:eastAsia="仿宋_GB2312"/>
          <w:sz w:val="32"/>
          <w:szCs w:val="32"/>
        </w:rPr>
        <w:t>3.48</w:t>
      </w:r>
      <w:r>
        <w:rPr>
          <w:rFonts w:eastAsia="仿宋_GB2312"/>
          <w:sz w:val="32"/>
          <w:szCs w:val="32"/>
        </w:rPr>
        <w:t>万元，</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较年初预算无增减变化</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年度决算减少</w:t>
      </w:r>
      <w:r>
        <w:rPr>
          <w:rFonts w:hint="eastAsia" w:eastAsia="仿宋_GB2312"/>
          <w:sz w:val="32"/>
          <w:szCs w:val="32"/>
        </w:rPr>
        <w:t>1.5</w:t>
      </w:r>
      <w:r>
        <w:rPr>
          <w:rFonts w:eastAsia="仿宋_GB2312"/>
          <w:sz w:val="32"/>
          <w:szCs w:val="32"/>
        </w:rPr>
        <w:t>万元，降低</w:t>
      </w:r>
      <w:r>
        <w:rPr>
          <w:rFonts w:hint="eastAsia" w:eastAsia="仿宋_GB2312"/>
          <w:sz w:val="32"/>
          <w:szCs w:val="32"/>
        </w:rPr>
        <w:t>30</w:t>
      </w:r>
      <w:r>
        <w:rPr>
          <w:rFonts w:eastAsia="仿宋_GB2312"/>
          <w:sz w:val="32"/>
          <w:szCs w:val="32"/>
        </w:rPr>
        <w:t>%，主要是</w:t>
      </w:r>
      <w:r>
        <w:rPr>
          <w:rFonts w:hint="eastAsia" w:eastAsia="仿宋_GB2312"/>
          <w:sz w:val="32"/>
          <w:szCs w:val="32"/>
        </w:rPr>
        <w:t>压缩开支</w:t>
      </w:r>
      <w:r>
        <w:rPr>
          <w:rFonts w:eastAsia="仿宋_GB2312"/>
          <w:sz w:val="32"/>
          <w:szCs w:val="32"/>
        </w:rPr>
        <w:t>。具体情况如下：</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（一）因公出国（境）费支出</w:t>
      </w:r>
      <w:r>
        <w:rPr>
          <w:rFonts w:hint="eastAsia" w:eastAsia="楷体_GB2312"/>
          <w:b/>
          <w:bCs/>
          <w:sz w:val="32"/>
          <w:szCs w:val="32"/>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因公出国（境）团组0个、共0人/参加其他单位组织的因公出国（境）团组0个、共0人/无本单位组织的出国（境）团组。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较年初预算无增减变化</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较201</w:t>
      </w:r>
      <w:r>
        <w:rPr>
          <w:rFonts w:hint="eastAsia" w:eastAsia="仿宋_GB2312"/>
          <w:color w:val="000000"/>
          <w:sz w:val="32"/>
          <w:szCs w:val="32"/>
        </w:rPr>
        <w:t>7</w:t>
      </w:r>
      <w:r>
        <w:rPr>
          <w:rFonts w:eastAsia="仿宋_GB2312"/>
          <w:color w:val="000000"/>
          <w:sz w:val="32"/>
          <w:szCs w:val="32"/>
        </w:rPr>
        <w:t>年度决算无增减变化</w:t>
      </w:r>
      <w:r>
        <w:rPr>
          <w:rFonts w:eastAsia="仿宋_GB2312"/>
          <w:sz w:val="32"/>
          <w:szCs w:val="32"/>
        </w:rPr>
        <w:t>。</w:t>
      </w:r>
    </w:p>
    <w:p>
      <w:pPr>
        <w:adjustRightInd w:val="0"/>
        <w:snapToGrid w:val="0"/>
        <w:spacing w:line="584" w:lineRule="exact"/>
        <w:ind w:firstLine="643" w:firstLineChars="200"/>
        <w:rPr>
          <w:rFonts w:eastAsia="仿宋_GB2312"/>
          <w:b/>
          <w:bCs/>
          <w:sz w:val="32"/>
          <w:szCs w:val="32"/>
        </w:rPr>
      </w:pPr>
      <w:r>
        <w:rPr>
          <w:rFonts w:eastAsia="楷体_GB2312"/>
          <w:b/>
          <w:bCs/>
          <w:sz w:val="32"/>
          <w:szCs w:val="32"/>
        </w:rPr>
        <w:t>（二）公务用车购置及运行维护费支出</w:t>
      </w:r>
      <w:r>
        <w:rPr>
          <w:rFonts w:hint="eastAsia" w:eastAsia="楷体_GB2312"/>
          <w:b/>
          <w:bCs/>
          <w:sz w:val="32"/>
          <w:szCs w:val="32"/>
        </w:rPr>
        <w:t>3.40</w:t>
      </w:r>
      <w:r>
        <w:rPr>
          <w:rFonts w:eastAsia="楷体_GB2312"/>
          <w:b/>
          <w:bCs/>
          <w:sz w:val="32"/>
          <w:szCs w:val="32"/>
        </w:rPr>
        <w:t>万元。</w:t>
      </w:r>
      <w:r>
        <w:rPr>
          <w:rFonts w:hint="eastAsia" w:ascii="仿宋_GB2312" w:eastAsia="仿宋_GB2312" w:cs="DengXian-Regular"/>
          <w:sz w:val="32"/>
          <w:szCs w:val="32"/>
        </w:rPr>
        <w:t>本部门2018年度公务用车购置及运行维护费比年初预算</w:t>
      </w:r>
      <w:r>
        <w:rPr>
          <w:rFonts w:eastAsia="仿宋_GB2312"/>
          <w:sz w:val="32"/>
          <w:szCs w:val="32"/>
        </w:rPr>
        <w:t>增加</w:t>
      </w:r>
      <w:r>
        <w:rPr>
          <w:rFonts w:hint="eastAsia" w:eastAsia="仿宋_GB2312"/>
          <w:sz w:val="32"/>
          <w:szCs w:val="32"/>
        </w:rPr>
        <w:t>0</w:t>
      </w:r>
      <w:r>
        <w:rPr>
          <w:rFonts w:eastAsia="仿宋_GB2312"/>
          <w:sz w:val="32"/>
          <w:szCs w:val="32"/>
        </w:rPr>
        <w:t>万元</w:t>
      </w:r>
      <w:r>
        <w:rPr>
          <w:rFonts w:hint="eastAsia" w:ascii="仿宋_GB2312" w:eastAsia="仿宋_GB2312" w:cs="DengXian-Regular"/>
          <w:sz w:val="32"/>
          <w:szCs w:val="32"/>
        </w:rPr>
        <w:t>，</w:t>
      </w:r>
      <w:r>
        <w:rPr>
          <w:rFonts w:eastAsia="仿宋_GB2312"/>
          <w:sz w:val="32"/>
          <w:szCs w:val="32"/>
        </w:rPr>
        <w:t>增长</w:t>
      </w:r>
      <w:r>
        <w:rPr>
          <w:rFonts w:hint="eastAsia" w:eastAsia="仿宋_GB2312"/>
          <w:sz w:val="32"/>
          <w:szCs w:val="32"/>
        </w:rPr>
        <w:t>0</w:t>
      </w:r>
      <w:r>
        <w:rPr>
          <w:rFonts w:eastAsia="仿宋_GB2312"/>
          <w:sz w:val="32"/>
          <w:szCs w:val="32"/>
        </w:rPr>
        <w:t>%</w:t>
      </w:r>
      <w:r>
        <w:rPr>
          <w:rFonts w:hint="eastAsia" w:ascii="仿宋_GB2312" w:eastAsia="仿宋_GB2312" w:cs="DengXian-Regular"/>
          <w:sz w:val="32"/>
          <w:szCs w:val="32"/>
        </w:rPr>
        <w:t>,主要是</w:t>
      </w:r>
      <w:r>
        <w:rPr>
          <w:rFonts w:eastAsia="仿宋_GB2312"/>
          <w:color w:val="000000"/>
          <w:sz w:val="32"/>
          <w:szCs w:val="32"/>
        </w:rPr>
        <w:t>较年初预算无增减变化</w:t>
      </w:r>
      <w:r>
        <w:rPr>
          <w:rFonts w:hint="eastAsia" w:ascii="仿宋_GB2312" w:eastAsia="仿宋_GB2312" w:cs="DengXian-Regular"/>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较201</w:t>
      </w:r>
      <w:r>
        <w:rPr>
          <w:rFonts w:hint="eastAsia" w:eastAsia="仿宋_GB2312"/>
          <w:color w:val="000000"/>
          <w:sz w:val="32"/>
          <w:szCs w:val="32"/>
        </w:rPr>
        <w:t>7</w:t>
      </w:r>
      <w:r>
        <w:rPr>
          <w:rFonts w:eastAsia="仿宋_GB2312"/>
          <w:color w:val="000000"/>
          <w:sz w:val="32"/>
          <w:szCs w:val="32"/>
        </w:rPr>
        <w:t>年度决算无增减变化</w:t>
      </w:r>
      <w:r>
        <w:rPr>
          <w:rFonts w:eastAsia="仿宋_GB2312"/>
          <w:sz w:val="32"/>
          <w:szCs w:val="32"/>
        </w:rPr>
        <w:t>。</w:t>
      </w:r>
      <w:r>
        <w:rPr>
          <w:rFonts w:eastAsia="仿宋_GB2312"/>
          <w:b/>
          <w:bCs/>
          <w:sz w:val="32"/>
          <w:szCs w:val="32"/>
        </w:rPr>
        <w:t>其中：</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较年初预算无增减变化</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较201</w:t>
      </w:r>
      <w:r>
        <w:rPr>
          <w:rFonts w:hint="eastAsia" w:eastAsia="仿宋_GB2312"/>
          <w:color w:val="000000"/>
          <w:sz w:val="32"/>
          <w:szCs w:val="32"/>
        </w:rPr>
        <w:t>7</w:t>
      </w:r>
      <w:r>
        <w:rPr>
          <w:rFonts w:eastAsia="仿宋_GB2312"/>
          <w:color w:val="000000"/>
          <w:sz w:val="32"/>
          <w:szCs w:val="32"/>
        </w:rPr>
        <w:t>年度决算无增减变化</w:t>
      </w:r>
      <w:r>
        <w:rPr>
          <w:rFonts w:eastAsia="仿宋_GB2312"/>
          <w:sz w:val="32"/>
          <w:szCs w:val="32"/>
        </w:rPr>
        <w:t>。</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公务用车运行维护费支出</w:t>
      </w:r>
      <w:r>
        <w:rPr>
          <w:rFonts w:hint="eastAsia" w:eastAsia="仿宋_GB2312"/>
          <w:b/>
          <w:sz w:val="32"/>
          <w:szCs w:val="32"/>
        </w:rPr>
        <w:t>3.40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rPr>
        <w:t>2</w:t>
      </w:r>
      <w:r>
        <w:rPr>
          <w:rFonts w:eastAsia="仿宋_GB2312"/>
          <w:sz w:val="32"/>
          <w:szCs w:val="32"/>
        </w:rPr>
        <w:t>辆。公车运行维护费支出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较年初预算无增减变化</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rPr>
        <w:t>减少1.48</w:t>
      </w:r>
      <w:r>
        <w:rPr>
          <w:rFonts w:eastAsia="仿宋_GB2312"/>
          <w:sz w:val="32"/>
          <w:szCs w:val="32"/>
        </w:rPr>
        <w:t>万元，降低</w:t>
      </w:r>
      <w:r>
        <w:rPr>
          <w:rFonts w:hint="eastAsia" w:eastAsia="仿宋_GB2312"/>
          <w:sz w:val="32"/>
          <w:szCs w:val="32"/>
        </w:rPr>
        <w:t>30.32</w:t>
      </w:r>
      <w:r>
        <w:rPr>
          <w:rFonts w:eastAsia="仿宋_GB2312"/>
          <w:sz w:val="32"/>
          <w:szCs w:val="32"/>
        </w:rPr>
        <w:t>%，主要是</w:t>
      </w:r>
      <w:r>
        <w:rPr>
          <w:rFonts w:hint="eastAsia" w:eastAsia="仿宋_GB2312"/>
          <w:sz w:val="32"/>
          <w:szCs w:val="32"/>
        </w:rPr>
        <w:t>稽查任务减少</w:t>
      </w:r>
      <w:r>
        <w:rPr>
          <w:rFonts w:eastAsia="仿宋_GB2312"/>
          <w:sz w:val="32"/>
          <w:szCs w:val="32"/>
        </w:rPr>
        <w:t>。</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（三）公务接待费支出</w:t>
      </w:r>
      <w:r>
        <w:rPr>
          <w:rFonts w:hint="eastAsia" w:eastAsia="楷体_GB2312"/>
          <w:b/>
          <w:bCs/>
          <w:sz w:val="32"/>
          <w:szCs w:val="32"/>
        </w:rPr>
        <w:t>0.08</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仿宋_GB2312"/>
          <w:sz w:val="32"/>
          <w:szCs w:val="32"/>
        </w:rPr>
        <w:t>5</w:t>
      </w:r>
      <w:r>
        <w:rPr>
          <w:rFonts w:eastAsia="仿宋_GB2312"/>
          <w:sz w:val="32"/>
          <w:szCs w:val="32"/>
        </w:rPr>
        <w:t>批次、</w:t>
      </w:r>
      <w:r>
        <w:rPr>
          <w:rFonts w:hint="eastAsia" w:eastAsia="仿宋_GB2312"/>
          <w:sz w:val="32"/>
          <w:szCs w:val="32"/>
        </w:rPr>
        <w:t>50</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eastAsia="仿宋_GB2312"/>
          <w:color w:val="000000"/>
          <w:sz w:val="32"/>
          <w:szCs w:val="32"/>
        </w:rPr>
        <w:t>较年初预算无增减变化</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年度决算减少</w:t>
      </w:r>
      <w:r>
        <w:rPr>
          <w:rFonts w:hint="eastAsia" w:eastAsia="仿宋_GB2312"/>
          <w:sz w:val="32"/>
          <w:szCs w:val="32"/>
        </w:rPr>
        <w:t>0.02</w:t>
      </w:r>
      <w:r>
        <w:rPr>
          <w:rFonts w:eastAsia="仿宋_GB2312"/>
          <w:sz w:val="32"/>
          <w:szCs w:val="32"/>
        </w:rPr>
        <w:t>万元，降低</w:t>
      </w:r>
      <w:r>
        <w:rPr>
          <w:rFonts w:hint="eastAsia" w:eastAsia="仿宋_GB2312"/>
          <w:sz w:val="32"/>
          <w:szCs w:val="32"/>
        </w:rPr>
        <w:t>20</w:t>
      </w:r>
      <w:r>
        <w:rPr>
          <w:rFonts w:eastAsia="仿宋_GB2312"/>
          <w:sz w:val="32"/>
          <w:szCs w:val="32"/>
        </w:rPr>
        <w:t>%，主要是</w:t>
      </w:r>
      <w:r>
        <w:rPr>
          <w:rFonts w:hint="eastAsia" w:eastAsia="仿宋_GB2312"/>
          <w:sz w:val="32"/>
          <w:szCs w:val="32"/>
        </w:rPr>
        <w:t>上级检查业务减少，接待人数减少</w:t>
      </w:r>
      <w:r>
        <w:rPr>
          <w:rFonts w:eastAsia="仿宋_GB2312"/>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pStyle w:val="32"/>
        <w:autoSpaceDE w:val="0"/>
        <w:autoSpaceDN w:val="0"/>
        <w:adjustRightInd w:val="0"/>
        <w:spacing w:line="584" w:lineRule="exact"/>
        <w:ind w:left="640" w:firstLine="0" w:firstLineChars="0"/>
        <w:jc w:val="left"/>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pStyle w:val="32"/>
        <w:autoSpaceDE w:val="0"/>
        <w:autoSpaceDN w:val="0"/>
        <w:adjustRightInd w:val="0"/>
        <w:spacing w:line="584" w:lineRule="exact"/>
        <w:ind w:left="640" w:firstLine="0" w:firstLineChars="0"/>
        <w:jc w:val="left"/>
        <w:rPr>
          <w:rFonts w:eastAsia="仿宋_GB2312"/>
          <w:kern w:val="0"/>
          <w:sz w:val="32"/>
          <w:szCs w:val="32"/>
        </w:rPr>
      </w:pPr>
      <w:r>
        <w:rPr>
          <w:rFonts w:hint="eastAsia" w:ascii="仿宋_GB2312" w:eastAsia="仿宋_GB2312" w:cs="DengXian-Regular"/>
          <w:sz w:val="32"/>
          <w:szCs w:val="32"/>
        </w:rPr>
        <w:t>1、</w:t>
      </w:r>
      <w:r>
        <w:rPr>
          <w:rFonts w:hint="eastAsia" w:eastAsia="仿宋_GB2312"/>
          <w:kern w:val="0"/>
          <w:sz w:val="32"/>
          <w:szCs w:val="32"/>
        </w:rPr>
        <w:t>保障性住房：研究制定了保障性安居工程建设规划，拟定年度建设目标并监督实施；承担现保障性安居工程领导小组办公室职责；研究拟定保障性安居工程政策并监督实施，对项目分配、管理和运营情况监督指导；组织实施县保障房建设和管理。及时出台了政策，妥善处理房改遗留问题，避免产生新的社会矛盾。</w:t>
      </w:r>
    </w:p>
    <w:p>
      <w:pPr>
        <w:pStyle w:val="32"/>
        <w:autoSpaceDE w:val="0"/>
        <w:autoSpaceDN w:val="0"/>
        <w:adjustRightInd w:val="0"/>
        <w:spacing w:line="584" w:lineRule="exact"/>
        <w:ind w:left="640" w:firstLine="0" w:firstLineChars="0"/>
        <w:jc w:val="left"/>
        <w:rPr>
          <w:rFonts w:eastAsia="仿宋_GB2312"/>
          <w:kern w:val="0"/>
          <w:sz w:val="32"/>
          <w:szCs w:val="32"/>
        </w:rPr>
      </w:pPr>
      <w:r>
        <w:rPr>
          <w:rFonts w:hint="eastAsia" w:eastAsia="仿宋_GB2312"/>
          <w:kern w:val="0"/>
          <w:sz w:val="32"/>
          <w:szCs w:val="32"/>
        </w:rPr>
        <w:t>2、房产交易管理：办理全县范围内的房产交易事宜；负责全县商品房预售合同备案工作。</w:t>
      </w:r>
    </w:p>
    <w:p>
      <w:pPr>
        <w:pStyle w:val="32"/>
        <w:autoSpaceDE w:val="0"/>
        <w:autoSpaceDN w:val="0"/>
        <w:adjustRightInd w:val="0"/>
        <w:spacing w:line="584" w:lineRule="exact"/>
        <w:ind w:left="640" w:firstLine="0" w:firstLineChars="0"/>
        <w:jc w:val="left"/>
        <w:rPr>
          <w:rFonts w:ascii="仿宋_GB2312" w:eastAsia="仿宋_GB2312" w:cs="DengXian-Regular"/>
          <w:sz w:val="32"/>
          <w:szCs w:val="32"/>
        </w:rPr>
      </w:pPr>
      <w:r>
        <w:rPr>
          <w:rFonts w:hint="eastAsia" w:ascii="仿宋_GB2312" w:eastAsia="仿宋_GB2312" w:cs="DengXian-Regular"/>
          <w:sz w:val="32"/>
          <w:szCs w:val="32"/>
        </w:rPr>
        <w:t>（二）项目绩效自评结果。</w:t>
      </w:r>
    </w:p>
    <w:p>
      <w:pPr>
        <w:pStyle w:val="32"/>
        <w:autoSpaceDE w:val="0"/>
        <w:autoSpaceDN w:val="0"/>
        <w:adjustRightInd w:val="0"/>
        <w:spacing w:line="584" w:lineRule="exact"/>
        <w:ind w:left="640" w:firstLine="0" w:firstLineChars="0"/>
        <w:jc w:val="left"/>
        <w:rPr>
          <w:rFonts w:eastAsia="仿宋_GB2312"/>
          <w:kern w:val="0"/>
          <w:sz w:val="32"/>
          <w:szCs w:val="32"/>
        </w:rPr>
      </w:pPr>
      <w:r>
        <w:rPr>
          <w:rFonts w:eastAsia="仿宋_GB2312"/>
          <w:kern w:val="0"/>
          <w:sz w:val="32"/>
          <w:szCs w:val="32"/>
        </w:rPr>
        <w:t>201</w:t>
      </w:r>
      <w:r>
        <w:rPr>
          <w:rFonts w:hint="eastAsia" w:eastAsia="仿宋_GB2312"/>
          <w:kern w:val="0"/>
          <w:sz w:val="32"/>
          <w:szCs w:val="32"/>
        </w:rPr>
        <w:t>8年我单位实行项目绩效自评的项目资金及时拨付列支，保质保量完成绩效任务，评价结果为良好。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p>
    <w:p>
      <w:pPr>
        <w:pStyle w:val="32"/>
        <w:autoSpaceDE w:val="0"/>
        <w:autoSpaceDN w:val="0"/>
        <w:adjustRightInd w:val="0"/>
        <w:spacing w:line="584" w:lineRule="exact"/>
        <w:ind w:left="640" w:firstLine="0" w:firstLineChars="0"/>
        <w:jc w:val="left"/>
        <w:rPr>
          <w:rFonts w:eastAsia="仿宋_GB2312"/>
          <w:kern w:val="0"/>
          <w:sz w:val="32"/>
          <w:szCs w:val="32"/>
        </w:rPr>
      </w:pPr>
      <w:r>
        <w:rPr>
          <w:rFonts w:eastAsia="仿宋_GB2312"/>
          <w:kern w:val="0"/>
          <w:sz w:val="32"/>
          <w:szCs w:val="32"/>
        </w:rPr>
        <w:t>201</w:t>
      </w:r>
      <w:r>
        <w:rPr>
          <w:rFonts w:hint="eastAsia" w:eastAsia="仿宋_GB2312"/>
          <w:kern w:val="0"/>
          <w:sz w:val="32"/>
          <w:szCs w:val="32"/>
        </w:rPr>
        <w:t>8年我单位实行项目绩效自评的重点项目资金及时拨付列支，保质保量完成绩效任务，评价结果为良好。</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本部门2018年度机关运行经费支出38.01万元，比年初预算数减少7.21万元，降低15.94</w:t>
      </w:r>
      <w:r>
        <w:rPr>
          <w:rFonts w:eastAsia="仿宋_GB2312"/>
          <w:sz w:val="32"/>
          <w:szCs w:val="32"/>
        </w:rPr>
        <w:t>%</w:t>
      </w:r>
      <w:r>
        <w:rPr>
          <w:rFonts w:hint="eastAsia" w:ascii="仿宋_GB2312" w:eastAsia="仿宋_GB2312" w:cs="DengXian-Regular"/>
          <w:sz w:val="32"/>
          <w:szCs w:val="32"/>
        </w:rPr>
        <w:t>。主要是压缩开支。</w:t>
      </w:r>
      <w:r>
        <w:rPr>
          <w:rFonts w:eastAsia="仿宋_GB2312"/>
          <w:sz w:val="32"/>
          <w:szCs w:val="32"/>
        </w:rPr>
        <w:t>较201</w:t>
      </w:r>
      <w:r>
        <w:rPr>
          <w:rFonts w:hint="eastAsia" w:eastAsia="仿宋_GB2312"/>
          <w:sz w:val="32"/>
          <w:szCs w:val="32"/>
        </w:rPr>
        <w:t>7</w:t>
      </w:r>
      <w:r>
        <w:rPr>
          <w:rFonts w:eastAsia="仿宋_GB2312"/>
          <w:sz w:val="32"/>
          <w:szCs w:val="32"/>
        </w:rPr>
        <w:t>年度决算减少</w:t>
      </w:r>
      <w:r>
        <w:rPr>
          <w:rFonts w:hint="eastAsia" w:eastAsia="仿宋_GB2312"/>
          <w:sz w:val="32"/>
          <w:szCs w:val="32"/>
        </w:rPr>
        <w:t>40.16</w:t>
      </w:r>
      <w:r>
        <w:rPr>
          <w:rFonts w:eastAsia="仿宋_GB2312"/>
          <w:sz w:val="32"/>
          <w:szCs w:val="32"/>
        </w:rPr>
        <w:t>万元，降低</w:t>
      </w:r>
      <w:r>
        <w:rPr>
          <w:rFonts w:hint="eastAsia" w:eastAsia="仿宋_GB2312"/>
          <w:sz w:val="32"/>
          <w:szCs w:val="32"/>
        </w:rPr>
        <w:t>51.38</w:t>
      </w:r>
      <w:r>
        <w:rPr>
          <w:rFonts w:eastAsia="仿宋_GB2312"/>
          <w:sz w:val="32"/>
          <w:szCs w:val="32"/>
        </w:rPr>
        <w:t>%，主要是</w:t>
      </w:r>
      <w:r>
        <w:rPr>
          <w:rFonts w:hint="eastAsia" w:eastAsia="仿宋_GB2312"/>
          <w:sz w:val="32"/>
          <w:szCs w:val="32"/>
        </w:rPr>
        <w:t>压缩开支</w:t>
      </w:r>
      <w:r>
        <w:rPr>
          <w:rFonts w:eastAsia="仿宋_GB2312"/>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本部门2018年度政府采购支出总额0.75万元，从采购类型来看，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0.75</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0.75</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2辆，比上年增加0辆，主要是较上年无增减变化。其中，副部（省）级及以上领导用车0辆，主要领导干部用车0辆，机要通信用车0辆，应急保障用车0辆，执法执勤用车0辆，特种专业技术用车0辆，离退休干部用车0辆，其他用车2辆，其他用车主要是机关用车和执法用车各一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万元以上通用设备0台（套），比上年增加0套，主要是无此类设备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万元以上专用设备0台（套）比上年增加0套,主要是无此类设备。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1、本部门2018年度政府性基金预算财政拨款、国有资本经营预算财政拨款无收支及结转结余情况，故政府性基金预算财政拨款、国有资本经营预算财政拨款表以空表列示。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第四部分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A56BEA-3BF4-4A6D-8068-BB4BFFE8C4CF}"/>
  </w:font>
  <w:font w:name="黑体">
    <w:panose1 w:val="02010609060101010101"/>
    <w:charset w:val="86"/>
    <w:family w:val="auto"/>
    <w:pitch w:val="default"/>
    <w:sig w:usb0="800002BF" w:usb1="38CF7CFA" w:usb2="00000016" w:usb3="00000000" w:csb0="00040001" w:csb1="00000000"/>
    <w:embedRegular r:id="rId2" w:fontKey="{35FDCA4F-DC36-4976-98BB-EBBC83B5AB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6B45BB07-05E4-4D10-BD02-FE3D0E0AE6F0}"/>
  </w:font>
  <w:font w:name="Cambria">
    <w:panose1 w:val="02040503050406030204"/>
    <w:charset w:val="00"/>
    <w:family w:val="roman"/>
    <w:pitch w:val="default"/>
    <w:sig w:usb0="E00006FF" w:usb1="420024FF" w:usb2="02000000" w:usb3="00000000" w:csb0="2000019F" w:csb1="00000000"/>
    <w:embedRegular r:id="rId4" w:fontKey="{F5758ADC-5B37-4CC3-AFFC-355D964CF83F}"/>
  </w:font>
  <w:font w:name="楷体">
    <w:panose1 w:val="02010609060101010101"/>
    <w:charset w:val="86"/>
    <w:family w:val="modern"/>
    <w:pitch w:val="default"/>
    <w:sig w:usb0="800002BF" w:usb1="38CF7CFA" w:usb2="00000016" w:usb3="00000000" w:csb0="00040001" w:csb1="00000000"/>
    <w:embedRegular r:id="rId5" w:fontKey="{54042A99-11D5-49F1-A721-4B469E6AEC53}"/>
  </w:font>
  <w:font w:name="仿宋_GB2312">
    <w:panose1 w:val="02010609030101010101"/>
    <w:charset w:val="86"/>
    <w:family w:val="modern"/>
    <w:pitch w:val="default"/>
    <w:sig w:usb0="00000000" w:usb1="00000000" w:usb2="00000000" w:usb3="00000000" w:csb0="00000000" w:csb1="00000000"/>
    <w:embedRegular r:id="rId6" w:fontKey="{4F776E9B-68B7-4454-9022-C3A3FBE96D5E}"/>
  </w:font>
  <w:font w:name="ArialUnicodeMS">
    <w:altName w:val="Malgun Gothic"/>
    <w:panose1 w:val="00000000000000000000"/>
    <w:charset w:val="81"/>
    <w:family w:val="auto"/>
    <w:pitch w:val="default"/>
    <w:sig w:usb0="00000000" w:usb1="00000000" w:usb2="00000010" w:usb3="00000000" w:csb0="00080001" w:csb1="00000000"/>
    <w:embedRegular r:id="rId7" w:fontKey="{811213CE-0159-45EB-9C62-9145A45CC3FE}"/>
  </w:font>
  <w:font w:name="MS-UIGothic,Bold">
    <w:altName w:val="Malgun Gothic"/>
    <w:panose1 w:val="00000000000000000000"/>
    <w:charset w:val="81"/>
    <w:family w:val="auto"/>
    <w:pitch w:val="default"/>
    <w:sig w:usb0="00000000" w:usb1="00000000" w:usb2="00000010" w:usb3="00000000" w:csb0="00080000" w:csb1="00000000"/>
    <w:embedRegular r:id="rId8" w:fontKey="{8D41538D-693D-423B-968E-5F4A57200FE6}"/>
  </w:font>
  <w:font w:name="DengXian-Regular">
    <w:altName w:val="宋体"/>
    <w:panose1 w:val="00000000000000000000"/>
    <w:charset w:val="86"/>
    <w:family w:val="auto"/>
    <w:pitch w:val="default"/>
    <w:sig w:usb0="00000000" w:usb1="00000000" w:usb2="00000010" w:usb3="00000000" w:csb0="00040001" w:csb1="00000000"/>
    <w:embedRegular r:id="rId9" w:fontKey="{9D917609-59D4-44DC-BB82-51D28AC921CA}"/>
  </w:font>
  <w:font w:name="楷体_GB2312">
    <w:panose1 w:val="02010609030101010101"/>
    <w:charset w:val="86"/>
    <w:family w:val="modern"/>
    <w:pitch w:val="default"/>
    <w:sig w:usb0="00000000" w:usb1="00000000" w:usb2="00000000" w:usb3="00000000" w:csb0="00000000" w:csb1="00000000"/>
    <w:embedRegular r:id="rId10" w:fontKey="{98B9F0C3-F7C9-4BED-8D15-203E3BCB4919}"/>
  </w:font>
  <w:font w:name="DengXian-Bold">
    <w:altName w:val="宋体"/>
    <w:panose1 w:val="00000000000000000000"/>
    <w:charset w:val="86"/>
    <w:family w:val="auto"/>
    <w:pitch w:val="default"/>
    <w:sig w:usb0="00000000" w:usb1="00000000" w:usb2="00000010" w:usb3="00000000" w:csb0="00040001" w:csb1="00000000"/>
    <w:embedRegular r:id="rId11" w:fontKey="{309315F2-E740-463A-8B26-D3A9CDB8456B}"/>
  </w:font>
  <w:font w:name="TimesNewRomanPSMT">
    <w:altName w:val="Arial"/>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0FAF"/>
    <w:rsid w:val="00022474"/>
    <w:rsid w:val="00024E7F"/>
    <w:rsid w:val="000370B4"/>
    <w:rsid w:val="000475A0"/>
    <w:rsid w:val="00067693"/>
    <w:rsid w:val="000838C3"/>
    <w:rsid w:val="0009601A"/>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2F68"/>
    <w:rsid w:val="005E3FB0"/>
    <w:rsid w:val="005F4B66"/>
    <w:rsid w:val="005F5208"/>
    <w:rsid w:val="00615C31"/>
    <w:rsid w:val="00641318"/>
    <w:rsid w:val="0064405D"/>
    <w:rsid w:val="00695557"/>
    <w:rsid w:val="006B419F"/>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D65CA"/>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26C76"/>
    <w:rsid w:val="00F679C7"/>
    <w:rsid w:val="00F71E32"/>
    <w:rsid w:val="00F7711A"/>
    <w:rsid w:val="00F80C72"/>
    <w:rsid w:val="00FA0D58"/>
    <w:rsid w:val="00FA1580"/>
    <w:rsid w:val="00FA56F4"/>
    <w:rsid w:val="00FB4EDA"/>
    <w:rsid w:val="00FD3BD5"/>
    <w:rsid w:val="00FE3DC8"/>
    <w:rsid w:val="04073F84"/>
    <w:rsid w:val="0B60750A"/>
    <w:rsid w:val="0CC3583C"/>
    <w:rsid w:val="10686488"/>
    <w:rsid w:val="10DF728A"/>
    <w:rsid w:val="1264200E"/>
    <w:rsid w:val="141C5B77"/>
    <w:rsid w:val="18D8339D"/>
    <w:rsid w:val="19B866EF"/>
    <w:rsid w:val="1A21388F"/>
    <w:rsid w:val="1A570D2F"/>
    <w:rsid w:val="1CD64037"/>
    <w:rsid w:val="28FB0B8D"/>
    <w:rsid w:val="2D2B7942"/>
    <w:rsid w:val="2D46481D"/>
    <w:rsid w:val="2E733B28"/>
    <w:rsid w:val="31852B5A"/>
    <w:rsid w:val="32D01238"/>
    <w:rsid w:val="3DFC59A8"/>
    <w:rsid w:val="3ECF245E"/>
    <w:rsid w:val="3FB96314"/>
    <w:rsid w:val="53A44FAF"/>
    <w:rsid w:val="594329EC"/>
    <w:rsid w:val="5BEE1540"/>
    <w:rsid w:val="5DE61A5D"/>
    <w:rsid w:val="63C04243"/>
    <w:rsid w:val="649C01C7"/>
    <w:rsid w:val="677B6C25"/>
    <w:rsid w:val="699A3F60"/>
    <w:rsid w:val="72902E62"/>
    <w:rsid w:val="72BA3535"/>
    <w:rsid w:val="73C61104"/>
    <w:rsid w:val="74B07034"/>
    <w:rsid w:val="776452EA"/>
    <w:rsid w:val="785F3550"/>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收入决算情况</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2638.5</c:v>
                </c:pt>
                <c:pt idx="1">
                  <c:v>0</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Sheet1!#REF!</c:f>
              <c:strCache>
                <c:ptCount val="1"/>
                <c:pt idx="0">
                  <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基本支出</c:v>
                </c:pt>
                <c:pt idx="1">
                  <c:v>项目支出</c:v>
                </c:pt>
                <c:pt idx="2">
                  <c:v>经营支出</c:v>
                </c:pt>
              </c:strCache>
            </c:strRef>
          </c:cat>
          <c:val>
            <c:numRef>
              <c:f>Sheet1!$B$2:$B$4</c:f>
              <c:numCache>
                <c:formatCode>General</c:formatCode>
                <c:ptCount val="3"/>
                <c:pt idx="0">
                  <c:v>825.15</c:v>
                </c:pt>
                <c:pt idx="1">
                  <c:v>1165.29</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本年收入</c:v>
                </c:pt>
                <c:pt idx="1">
                  <c:v>本年支出</c:v>
                </c:pt>
              </c:strCache>
            </c:strRef>
          </c:cat>
          <c:val>
            <c:numRef>
              <c:f>Sheet1!$B$2:$B$3</c:f>
              <c:numCache>
                <c:formatCode>General</c:formatCode>
                <c:ptCount val="2"/>
                <c:pt idx="0">
                  <c:v>2638.5</c:v>
                </c:pt>
                <c:pt idx="1">
                  <c:v>1990.44</c:v>
                </c:pt>
              </c:numCache>
            </c:numRef>
          </c:val>
        </c:ser>
        <c:ser>
          <c:idx val="1"/>
          <c:order val="1"/>
          <c:tx>
            <c:strRef>
              <c:f>Sheet1!$C$1</c:f>
              <c:strCache>
                <c:ptCount val="1"/>
                <c:pt idx="0">
                  <c:v>2017年</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本年收入</c:v>
                </c:pt>
                <c:pt idx="1">
                  <c:v>本年支出</c:v>
                </c:pt>
              </c:strCache>
            </c:strRef>
          </c:cat>
          <c:val>
            <c:numRef>
              <c:f>Sheet1!$C$2:$C$3</c:f>
              <c:numCache>
                <c:formatCode>General</c:formatCode>
                <c:ptCount val="2"/>
                <c:pt idx="0">
                  <c:v>4138.12</c:v>
                </c:pt>
                <c:pt idx="1">
                  <c:v>4812.66</c:v>
                </c:pt>
              </c:numCache>
            </c:numRef>
          </c:val>
        </c:ser>
        <c:dLbls>
          <c:showLegendKey val="0"/>
          <c:showVal val="0"/>
          <c:showCatName val="0"/>
          <c:showSerName val="0"/>
          <c:showPercent val="0"/>
          <c:showBubbleSize val="0"/>
        </c:dLbls>
        <c:gapWidth val="219"/>
        <c:overlap val="-27"/>
        <c:axId val="77828864"/>
        <c:axId val="77830400"/>
      </c:barChart>
      <c:catAx>
        <c:axId val="7782886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30400"/>
        <c:crosses val="autoZero"/>
        <c:auto val="1"/>
        <c:lblAlgn val="ctr"/>
        <c:lblOffset val="100"/>
        <c:noMultiLvlLbl val="0"/>
      </c:catAx>
      <c:valAx>
        <c:axId val="77830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288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决算数</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本年收入</c:v>
                </c:pt>
                <c:pt idx="1">
                  <c:v>本年支出</c:v>
                </c:pt>
              </c:strCache>
            </c:strRef>
          </c:cat>
          <c:val>
            <c:numRef>
              <c:f>Sheet1!$B$2:$B$3</c:f>
              <c:numCache>
                <c:formatCode>General</c:formatCode>
                <c:ptCount val="2"/>
                <c:pt idx="0">
                  <c:v>2638.5</c:v>
                </c:pt>
                <c:pt idx="1">
                  <c:v>1990.44</c:v>
                </c:pt>
              </c:numCache>
            </c:numRef>
          </c:val>
        </c:ser>
        <c:ser>
          <c:idx val="1"/>
          <c:order val="1"/>
          <c:tx>
            <c:strRef>
              <c:f>Sheet1!$C$1</c:f>
              <c:strCache>
                <c:ptCount val="1"/>
                <c:pt idx="0">
                  <c:v>预算数</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本年收入</c:v>
                </c:pt>
                <c:pt idx="1">
                  <c:v>本年支出</c:v>
                </c:pt>
              </c:strCache>
            </c:strRef>
          </c:cat>
          <c:val>
            <c:numRef>
              <c:f>Sheet1!$C$2:$C$3</c:f>
              <c:numCache>
                <c:formatCode>General</c:formatCode>
                <c:ptCount val="2"/>
                <c:pt idx="0">
                  <c:v>10637.87</c:v>
                </c:pt>
                <c:pt idx="1">
                  <c:v>10637.87</c:v>
                </c:pt>
              </c:numCache>
            </c:numRef>
          </c:val>
        </c:ser>
        <c:dLbls>
          <c:showLegendKey val="0"/>
          <c:showVal val="0"/>
          <c:showCatName val="0"/>
          <c:showSerName val="0"/>
          <c:showPercent val="0"/>
          <c:showBubbleSize val="0"/>
        </c:dLbls>
        <c:gapWidth val="219"/>
        <c:overlap val="-27"/>
        <c:axId val="78551296"/>
        <c:axId val="78561280"/>
      </c:barChart>
      <c:catAx>
        <c:axId val="7855129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61280"/>
        <c:crosses val="autoZero"/>
        <c:auto val="1"/>
        <c:lblAlgn val="ctr"/>
        <c:lblOffset val="100"/>
        <c:noMultiLvlLbl val="0"/>
      </c:catAx>
      <c:valAx>
        <c:axId val="785612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512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支出决算结构情况</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社会保障和就业</c:v>
                </c:pt>
                <c:pt idx="1">
                  <c:v>医疗卫生与计划生育</c:v>
                </c:pt>
                <c:pt idx="2">
                  <c:v>城乡社区</c:v>
                </c:pt>
                <c:pt idx="3">
                  <c:v>住房保障</c:v>
                </c:pt>
              </c:strCache>
            </c:strRef>
          </c:cat>
          <c:val>
            <c:numRef>
              <c:f>Sheet1!$B$2:$B$5</c:f>
              <c:numCache>
                <c:formatCode>General</c:formatCode>
                <c:ptCount val="4"/>
                <c:pt idx="0">
                  <c:v>23.9</c:v>
                </c:pt>
                <c:pt idx="1">
                  <c:v>11.53</c:v>
                </c:pt>
                <c:pt idx="2">
                  <c:v>1952.88</c:v>
                </c:pt>
                <c:pt idx="3">
                  <c:v>2.13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C853CB5-E4D0-4BE0-96CF-EFDB5C31B75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1723</Words>
  <Characters>9824</Characters>
  <Lines>81</Lines>
  <Paragraphs>23</Paragraphs>
  <TotalTime>2</TotalTime>
  <ScaleCrop>false</ScaleCrop>
  <LinksUpToDate>false</LinksUpToDate>
  <CharactersWithSpaces>11524</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Administrator</cp:lastModifiedBy>
  <cp:lastPrinted>2019-09-27T00:42:00Z</cp:lastPrinted>
  <dcterms:modified xsi:type="dcterms:W3CDTF">2022-03-29T08:45:24Z</dcterms:modified>
  <dc:subject>石家庄市xxx部门</dc:subject>
  <dc:title>2017年度部门决算</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