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spacing w:after="0" w:line="240" w:lineRule="auto"/>
        <w:ind w:firstLine="1417" w:firstLineChars="196"/>
        <w:rPr>
          <w:rFonts w:ascii="黑体" w:eastAsia="黑体"/>
          <w:b/>
          <w:sz w:val="72"/>
          <w:szCs w:val="72"/>
        </w:rPr>
      </w:pPr>
    </w:p>
    <w:p>
      <w:pPr>
        <w:widowControl/>
        <w:spacing w:after="0" w:line="240" w:lineRule="auto"/>
        <w:rPr>
          <w:rFonts w:asci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ascii="楷体" w:hAnsi="楷体" w:cs="楷体"/>
          <w:b/>
          <w:sz w:val="44"/>
          <w:szCs w:val="44"/>
        </w:rPr>
        <w:t>中共河北省大城县委办公室机关事务管理局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中共河北省大城县委办公室</w:t>
      </w:r>
      <w:r>
        <w:rPr>
          <w:rFonts w:hint="eastAsia" w:eastAsia="黑体"/>
          <w:sz w:val="32"/>
          <w:szCs w:val="32"/>
          <w:lang w:val="en-US" w:eastAsia="zh-CN"/>
        </w:rPr>
        <w:t>机关事务管理局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Pr>
        <w:widowControl/>
        <w:jc w:val="center"/>
        <w:rPr>
          <w:color w:val="000000"/>
          <w:sz w:val="96"/>
          <w:szCs w:val="96"/>
        </w:rPr>
      </w:pPr>
      <w:r>
        <w:rPr>
          <w:rFonts w:hint="eastAsia" w:ascii="黑体" w:eastAsia="黑体"/>
          <w:color w:val="000000"/>
          <w:sz w:val="96"/>
          <w:szCs w:val="96"/>
        </w:rPr>
        <w:t>第一部分</w:t>
      </w:r>
      <w:r>
        <w:rPr>
          <w:rFonts w:ascii="黑体" w:eastAsia="黑体"/>
          <w:color w:val="000000"/>
          <w:sz w:val="96"/>
          <w:szCs w:val="96"/>
        </w:rPr>
        <w:t xml:space="preserve">  </w:t>
      </w:r>
      <w:r>
        <w:rPr>
          <w:rFonts w:hint="eastAsia" w:ascii="黑体" w:eastAsia="黑体"/>
          <w:color w:val="000000"/>
          <w:sz w:val="96"/>
          <w:szCs w:val="96"/>
        </w:rPr>
        <w:t>部门概况</w:t>
      </w:r>
    </w:p>
    <w:p/>
    <w:p/>
    <w:p/>
    <w:p/>
    <w:p/>
    <w:p>
      <w:pPr>
        <w:numPr>
          <w:ilvl w:val="0"/>
          <w:numId w:val="1"/>
        </w:numPr>
        <w:ind w:firstLine="640" w:firstLineChars="200"/>
        <w:rPr>
          <w:rFonts w:ascii="黑体" w:eastAsia="黑体" w:cs="黑体"/>
          <w:kern w:val="0"/>
          <w:sz w:val="32"/>
          <w:szCs w:val="32"/>
        </w:rPr>
      </w:pPr>
      <w:r>
        <w:rPr>
          <w:rFonts w:hint="eastAsia" w:ascii="黑体" w:eastAsia="黑体" w:cs="黑体"/>
          <w:kern w:val="0"/>
          <w:sz w:val="32"/>
          <w:szCs w:val="32"/>
        </w:rPr>
        <w:t>部门职责</w:t>
      </w:r>
    </w:p>
    <w:p>
      <w:pPr>
        <w:widowControl/>
        <w:spacing w:before="167" w:line="584" w:lineRule="atLeast"/>
        <w:ind w:firstLine="560"/>
        <w:jc w:val="left"/>
        <w:rPr>
          <w:kern w:val="0"/>
        </w:rPr>
      </w:pPr>
      <w:r>
        <w:rPr>
          <w:rFonts w:hint="eastAsia"/>
          <w:kern w:val="0"/>
        </w:rPr>
        <w:t>全面做好行政中心院内美化、绿化、亮化及水电暖的正常维修检修工作，确保全体干部职工有一个舒适的工作环境，全力做好县行政中心的后勤保障服务工作为机关后勤发展做出积贡献。</w:t>
      </w:r>
    </w:p>
    <w:p>
      <w:pPr>
        <w:widowControl/>
        <w:spacing w:before="167" w:line="584" w:lineRule="atLeast"/>
        <w:ind w:firstLine="560"/>
        <w:jc w:val="left"/>
        <w:rPr>
          <w:rFonts w:ascii="Verdana" w:hAnsi="Verdana" w:cs="宋体"/>
          <w:color w:val="484747"/>
          <w:kern w:val="0"/>
          <w:sz w:val="32"/>
          <w:szCs w:val="32"/>
        </w:rPr>
      </w:pPr>
      <w:r>
        <w:rPr>
          <w:rFonts w:hint="eastAsia" w:ascii="黑体" w:eastAsia="黑体" w:cs="黑体"/>
          <w:b/>
          <w:bCs/>
          <w:kern w:val="0"/>
          <w:sz w:val="32"/>
          <w:szCs w:val="32"/>
        </w:rPr>
        <w:t>二、机构设置</w:t>
      </w:r>
    </w:p>
    <w:p>
      <w:pPr>
        <w:spacing w:after="0"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w:t>
      </w:r>
      <w:r>
        <w:rPr>
          <w:rFonts w:ascii="仿宋_GB2312" w:eastAsia="仿宋_GB2312" w:cs="ArialUnicodeMS"/>
          <w:kern w:val="0"/>
          <w:sz w:val="32"/>
          <w:szCs w:val="32"/>
        </w:rPr>
        <w:t xml:space="preserve">2018 </w:t>
      </w:r>
      <w:r>
        <w:rPr>
          <w:rFonts w:hint="eastAsia" w:ascii="仿宋_GB2312" w:eastAsia="仿宋_GB2312" w:cs="ArialUnicodeMS"/>
          <w:kern w:val="0"/>
          <w:sz w:val="32"/>
          <w:szCs w:val="32"/>
        </w:rPr>
        <w:t>年度本部门决算汇编范围的独立核算单位（以下简称“单位”）共</w:t>
      </w:r>
      <w:r>
        <w:rPr>
          <w:rFonts w:ascii="仿宋_GB2312" w:eastAsia="仿宋_GB2312" w:cs="ArialUnicodeMS"/>
          <w:kern w:val="0"/>
          <w:sz w:val="32"/>
          <w:szCs w:val="32"/>
        </w:rPr>
        <w:t>1</w:t>
      </w:r>
      <w:r>
        <w:rPr>
          <w:rFonts w:hint="eastAsia" w:ascii="仿宋_GB2312" w:eastAsia="仿宋_GB2312" w:cs="ArialUnicodeMS"/>
          <w:kern w:val="0"/>
          <w:sz w:val="32"/>
          <w:szCs w:val="32"/>
        </w:rPr>
        <w:t>个，具体情况如下：</w:t>
      </w:r>
    </w:p>
    <w:p>
      <w:pPr>
        <w:spacing w:after="0" w:line="560" w:lineRule="exact"/>
        <w:rPr>
          <w:rFonts w:ascii="仿宋_GB2312" w:eastAsia="仿宋_GB2312" w:cs="ArialUnicodeMS"/>
          <w:kern w:val="0"/>
          <w:sz w:val="32"/>
          <w:szCs w:val="32"/>
        </w:rPr>
      </w:pPr>
    </w:p>
    <w:p>
      <w:pPr>
        <w:spacing w:after="0" w:line="560" w:lineRule="exact"/>
        <w:rPr>
          <w:rFonts w:ascii="仿宋_GB2312" w:eastAsia="仿宋_GB2312" w:cs="ArialUnicodeMS"/>
          <w:kern w:val="0"/>
          <w:sz w:val="32"/>
          <w:szCs w:val="32"/>
        </w:rPr>
      </w:pPr>
    </w:p>
    <w:p>
      <w:pPr>
        <w:jc w:val="center"/>
        <w:outlineLvl w:val="0"/>
        <w:rPr>
          <w:rFonts w:eastAsia="方正小标宋_GBK"/>
          <w:sz w:val="32"/>
        </w:rPr>
      </w:pPr>
      <w:r>
        <w:rPr>
          <w:rFonts w:hint="eastAsia" w:eastAsia="方正小标宋_GBK"/>
          <w:sz w:val="32"/>
        </w:rPr>
        <w:t>部门机构设置情况</w:t>
      </w:r>
      <w:bookmarkStart w:id="0" w:name="_GoBack"/>
      <w:bookmarkEnd w:id="0"/>
    </w:p>
    <w:tbl>
      <w:tblPr>
        <w:tblStyle w:val="1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val="en-US" w:eastAsia="zh-CN"/>
              </w:rPr>
              <w:t>中共河北省大城县委办公室机关事务管理局</w:t>
            </w:r>
            <w:r>
              <w:rPr>
                <w:rFonts w:hint="eastAsia" w:ascii="仿宋_GB2312" w:eastAsia="仿宋_GB2312" w:cs="ArialUnicodeMS" w:hAnsiTheme="minorHAnsi"/>
                <w:kern w:val="0"/>
                <w:sz w:val="28"/>
                <w:szCs w:val="28"/>
              </w:rPr>
              <w:t>(本级)</w:t>
            </w:r>
          </w:p>
        </w:tc>
        <w:tc>
          <w:tcPr>
            <w:tcW w:w="2445"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行政单位</w:t>
            </w:r>
          </w:p>
        </w:tc>
        <w:tc>
          <w:tcPr>
            <w:tcW w:w="2665"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bCs/>
          <w:kern w:val="0"/>
          <w:sz w:val="52"/>
          <w:szCs w:val="52"/>
        </w:rPr>
        <w:sectPr>
          <w:pgSz w:w="11906" w:h="16838"/>
          <w:pgMar w:top="2098" w:right="1474" w:bottom="1985"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eastAsia="黑体"/>
          <w:color w:val="000000"/>
          <w:sz w:val="72"/>
          <w:szCs w:val="96"/>
        </w:rPr>
      </w:pPr>
      <w:r>
        <w:rPr>
          <w:rFonts w:ascii="黑体" w:eastAsia="黑体"/>
          <w:color w:val="000000"/>
          <w:sz w:val="72"/>
          <w:szCs w:val="96"/>
        </w:rPr>
        <w:t>2018</w:t>
      </w:r>
      <w:r>
        <w:rPr>
          <w:rFonts w:hint="eastAsia" w:ascii="黑体" w:eastAsia="黑体"/>
          <w:color w:val="000000"/>
          <w:sz w:val="72"/>
          <w:szCs w:val="96"/>
        </w:rPr>
        <w:t>年度部门决算报表（见附表）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rFonts w:ascii="宋体" w:cs="ArialUnicodeMS"/>
          <w:color w:val="000000"/>
          <w:kern w:val="0"/>
        </w:rPr>
        <w:sectPr>
          <w:pgSz w:w="11906" w:h="16838"/>
          <w:pgMar w:top="2098" w:right="1474" w:bottom="1985" w:left="1588" w:header="851" w:footer="992" w:gutter="0"/>
          <w:cols w:space="720" w:num="1"/>
          <w:docGrid w:type="lines" w:linePitch="312" w:charSpace="0"/>
        </w:sectPr>
      </w:pPr>
      <w:r>
        <w:rPr>
          <w:rFonts w:hint="eastAsia" w:ascii="黑体" w:eastAsia="黑体"/>
          <w:color w:val="000000"/>
          <w:sz w:val="96"/>
          <w:szCs w:val="96"/>
        </w:rPr>
        <w:t>部门决算情况说明</w: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w:t>
      </w:r>
      <w:r>
        <w:rPr>
          <w:rFonts w:ascii="仿宋_GB2312" w:eastAsia="仿宋_GB2312" w:cs="DengXian-Regular"/>
          <w:sz w:val="32"/>
          <w:szCs w:val="32"/>
        </w:rPr>
        <w:t>672.88</w:t>
      </w:r>
      <w:r>
        <w:rPr>
          <w:rFonts w:hint="eastAsia" w:ascii="仿宋_GB2312" w:eastAsia="仿宋_GB2312" w:cs="DengXian-Regular"/>
          <w:sz w:val="32"/>
          <w:szCs w:val="32"/>
        </w:rPr>
        <w:t>万元，支出</w:t>
      </w:r>
      <w:r>
        <w:rPr>
          <w:rFonts w:ascii="仿宋_GB2312" w:eastAsia="仿宋_GB2312" w:cs="DengXian-Regular"/>
          <w:sz w:val="32"/>
          <w:szCs w:val="32"/>
        </w:rPr>
        <w:t>430.31</w:t>
      </w:r>
      <w:r>
        <w:rPr>
          <w:rFonts w:hint="eastAsia" w:ascii="仿宋_GB2312" w:eastAsia="仿宋_GB2312" w:cs="DengXian-Regular"/>
          <w:sz w:val="32"/>
          <w:szCs w:val="32"/>
        </w:rPr>
        <w:t>万元，结转</w:t>
      </w:r>
      <w:r>
        <w:rPr>
          <w:rFonts w:ascii="仿宋_GB2312" w:eastAsia="仿宋_GB2312" w:cs="DengXian-Regular"/>
          <w:sz w:val="32"/>
          <w:szCs w:val="32"/>
        </w:rPr>
        <w:t>242.57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ascii="仿宋_GB2312" w:eastAsia="仿宋_GB2312" w:cs="DengXian-Regular"/>
          <w:sz w:val="32"/>
          <w:szCs w:val="32"/>
        </w:rPr>
        <w:t>343.72</w:t>
      </w:r>
      <w:r>
        <w:rPr>
          <w:rFonts w:hint="eastAsia" w:ascii="仿宋_GB2312" w:eastAsia="仿宋_GB2312" w:cs="DengXian-Regular"/>
          <w:sz w:val="32"/>
          <w:szCs w:val="32"/>
        </w:rPr>
        <w:t>万元，增长</w:t>
      </w:r>
      <w:r>
        <w:rPr>
          <w:rFonts w:ascii="仿宋_GB2312" w:eastAsia="仿宋_GB2312" w:cs="DengXian-Regular"/>
          <w:sz w:val="32"/>
          <w:szCs w:val="32"/>
        </w:rPr>
        <w:t>104.42%</w:t>
      </w:r>
      <w:r>
        <w:rPr>
          <w:rFonts w:hint="eastAsia" w:ascii="仿宋_GB2312" w:eastAsia="仿宋_GB2312" w:cs="DengXian-Regular"/>
          <w:sz w:val="32"/>
          <w:szCs w:val="32"/>
        </w:rPr>
        <w:t>，主要原因是人员经费调整</w:t>
      </w:r>
      <w:r>
        <w:rPr>
          <w:rFonts w:ascii="仿宋_GB2312" w:eastAsia="仿宋_GB2312" w:cs="DengXian-Regular"/>
          <w:sz w:val="32"/>
          <w:szCs w:val="32"/>
        </w:rPr>
        <w:t xml:space="preserve">, </w:t>
      </w:r>
      <w:r>
        <w:rPr>
          <w:rFonts w:hint="eastAsia" w:ascii="仿宋_GB2312" w:eastAsia="仿宋_GB2312" w:cs="DengXian-Regular"/>
          <w:sz w:val="32"/>
          <w:szCs w:val="32"/>
        </w:rPr>
        <w:t>项目金额调整。支出增加</w:t>
      </w:r>
      <w:r>
        <w:rPr>
          <w:rFonts w:ascii="仿宋_GB2312" w:eastAsia="仿宋_GB2312" w:cs="DengXian-Regular"/>
          <w:sz w:val="32"/>
          <w:szCs w:val="32"/>
        </w:rPr>
        <w:t>101.15</w:t>
      </w:r>
      <w:r>
        <w:rPr>
          <w:rFonts w:hint="eastAsia" w:ascii="仿宋_GB2312" w:eastAsia="仿宋_GB2312" w:cs="DengXian-Regular"/>
          <w:sz w:val="32"/>
          <w:szCs w:val="32"/>
        </w:rPr>
        <w:t>万元，增长</w:t>
      </w:r>
      <w:r>
        <w:rPr>
          <w:rFonts w:ascii="仿宋_GB2312" w:eastAsia="仿宋_GB2312" w:cs="DengXian-Regular"/>
          <w:sz w:val="32"/>
          <w:szCs w:val="32"/>
        </w:rPr>
        <w:t>30.73%</w:t>
      </w:r>
      <w:r>
        <w:rPr>
          <w:rFonts w:hint="eastAsia" w:ascii="仿宋_GB2312" w:eastAsia="仿宋_GB2312" w:cs="DengXian-Regular"/>
          <w:sz w:val="32"/>
          <w:szCs w:val="32"/>
        </w:rPr>
        <w:t>，主要原因人员经费调整</w:t>
      </w:r>
      <w:r>
        <w:rPr>
          <w:rFonts w:ascii="仿宋_GB2312" w:eastAsia="仿宋_GB2312" w:cs="DengXian-Regular"/>
          <w:sz w:val="32"/>
          <w:szCs w:val="32"/>
        </w:rPr>
        <w:t xml:space="preserve">, </w:t>
      </w:r>
      <w:r>
        <w:rPr>
          <w:rFonts w:hint="eastAsia" w:ascii="仿宋_GB2312" w:eastAsia="仿宋_GB2312" w:cs="DengXian-Regular"/>
          <w:sz w:val="32"/>
          <w:szCs w:val="32"/>
        </w:rPr>
        <w:t>项目金额调整。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672.88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672.88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adjustRightInd w:val="0"/>
        <w:snapToGrid w:val="0"/>
        <w:spacing w:line="584" w:lineRule="exact"/>
        <w:jc w:val="center"/>
        <w:rPr>
          <w:rFonts w:eastAsia="仿宋_GB2312"/>
          <w:sz w:val="32"/>
          <w:szCs w:val="32"/>
        </w:rPr>
      </w:pPr>
      <w:r>
        <w:pict>
          <v:shape id="椭圆" o:spid="_x0000_s1026" o:spt="3" type="#_x0000_t3" style="position:absolute;left:0pt;margin-left:216.6pt;margin-top:32.65pt;height:183.75pt;width:190.45pt;z-index:251659264;mso-width-relative:page;mso-height-relative:page;" fillcolor="#F6C782" filled="t" coordsize="21600,21600">
            <v:path/>
            <v:fill on="t" focussize="0,0"/>
            <v:stroke joinstyle="miter"/>
            <v:imagedata o:title=""/>
            <o:lock v:ext="edit"/>
            <v:textbox>
              <w:txbxContent>
                <w:p>
                  <w:pPr>
                    <w:jc w:val="center"/>
                  </w:pPr>
                  <w:r>
                    <w:rPr>
                      <w:rFonts w:hint="eastAsia"/>
                    </w:rPr>
                    <w:t>财政拨款</w:t>
                  </w:r>
                </w:p>
                <w:p>
                  <w:pPr>
                    <w:jc w:val="center"/>
                  </w:pPr>
                </w:p>
                <w:p>
                  <w:pPr>
                    <w:jc w:val="center"/>
                  </w:pPr>
                  <w:r>
                    <w:t>100%</w:t>
                  </w:r>
                </w:p>
              </w:txbxContent>
            </v:textbox>
          </v:shape>
        </w:pict>
      </w: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jc w:val="center"/>
        <w:rPr>
          <w:rFonts w:ascii="黑体" w:eastAsia="黑体" w:cs="Arial"/>
          <w:sz w:val="32"/>
          <w:szCs w:val="32"/>
        </w:rPr>
      </w:pPr>
    </w:p>
    <w:p/>
    <w:p>
      <w:pPr>
        <w:pStyle w:val="3"/>
        <w:spacing w:before="0" w:after="0" w:line="580" w:lineRule="exact"/>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430.31</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184.67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42.92</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245.64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57.08</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pStyle w:val="6"/>
        <w:jc w:val="center"/>
        <w:rPr>
          <w:rFonts w:ascii="黑体" w:eastAsia="黑体"/>
          <w:b w:val="0"/>
          <w:bCs w:val="0"/>
        </w:rPr>
      </w:pPr>
      <w:r>
        <w:object>
          <v:shape id="_x0000_i1025" o:spt="75" type="#_x0000_t75" style="height:144pt;width:216.75pt;" o:ole="t" filled="f" o:preferrelative="t" stroked="f" coordsize="21600,21600">
            <v:path/>
            <v:fill on="f" focussize="0,0"/>
            <v:stroke on="f" joinstyle="miter"/>
            <v:imagedata r:id="rId7" o:title=""/>
            <o:lock v:ext="edit" aspectratio="t"/>
            <w10:wrap type="none"/>
            <w10:anchorlock/>
          </v:shape>
          <o:OLEObject Type="Embed" ProgID="MSGraph.Chart.8" ShapeID="_x0000_i1025" DrawAspect="Content" ObjectID="_1468075725" r:id="rId6">
            <o:LockedField>false</o:LockedField>
          </o:OLEObject>
        </w:object>
      </w: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672.88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343.72</w:t>
      </w:r>
      <w:r>
        <w:rPr>
          <w:rFonts w:hint="eastAsia" w:ascii="仿宋_GB2312" w:eastAsia="仿宋_GB2312" w:cs="DengXian-Regular"/>
          <w:sz w:val="32"/>
          <w:szCs w:val="32"/>
        </w:rPr>
        <w:t>万元，增长</w:t>
      </w:r>
      <w:r>
        <w:rPr>
          <w:rFonts w:ascii="仿宋_GB2312" w:eastAsia="仿宋_GB2312" w:cs="DengXian-Regular"/>
          <w:sz w:val="32"/>
          <w:szCs w:val="32"/>
        </w:rPr>
        <w:t>104.42%</w:t>
      </w:r>
      <w:r>
        <w:rPr>
          <w:rFonts w:hint="eastAsia" w:ascii="仿宋_GB2312" w:eastAsia="仿宋_GB2312" w:cs="DengXian-Regular"/>
          <w:sz w:val="32"/>
          <w:szCs w:val="32"/>
        </w:rPr>
        <w:t>，主要是人员经费调整，项目金额调整；本年支出</w:t>
      </w:r>
      <w:r>
        <w:rPr>
          <w:rFonts w:ascii="仿宋_GB2312" w:eastAsia="仿宋_GB2312" w:cs="DengXian-Regular"/>
          <w:sz w:val="32"/>
          <w:szCs w:val="32"/>
        </w:rPr>
        <w:t>430.31</w:t>
      </w:r>
      <w:r>
        <w:rPr>
          <w:rFonts w:hint="eastAsia" w:ascii="仿宋_GB2312" w:eastAsia="仿宋_GB2312" w:cs="DengXian-Regular"/>
          <w:sz w:val="32"/>
          <w:szCs w:val="32"/>
        </w:rPr>
        <w:t>万元，结转</w:t>
      </w:r>
      <w:r>
        <w:rPr>
          <w:rFonts w:ascii="仿宋_GB2312" w:eastAsia="仿宋_GB2312" w:cs="DengXian-Regular"/>
          <w:sz w:val="32"/>
          <w:szCs w:val="32"/>
        </w:rPr>
        <w:t>242.57</w:t>
      </w:r>
      <w:r>
        <w:rPr>
          <w:rFonts w:hint="eastAsia" w:ascii="仿宋_GB2312" w:eastAsia="仿宋_GB2312" w:cs="DengXian-Regular"/>
          <w:sz w:val="32"/>
          <w:szCs w:val="32"/>
        </w:rPr>
        <w:t>万元，增加</w:t>
      </w:r>
      <w:r>
        <w:rPr>
          <w:rFonts w:ascii="仿宋_GB2312" w:eastAsia="仿宋_GB2312" w:cs="DengXian-Regular"/>
          <w:sz w:val="32"/>
          <w:szCs w:val="32"/>
        </w:rPr>
        <w:t>101.15</w:t>
      </w:r>
      <w:r>
        <w:rPr>
          <w:rFonts w:hint="eastAsia" w:ascii="仿宋_GB2312" w:eastAsia="仿宋_GB2312" w:cs="DengXian-Regular"/>
          <w:sz w:val="32"/>
          <w:szCs w:val="32"/>
        </w:rPr>
        <w:t>万元，增长</w:t>
      </w:r>
      <w:r>
        <w:rPr>
          <w:rFonts w:ascii="仿宋_GB2312" w:eastAsia="仿宋_GB2312" w:cs="DengXian-Regular"/>
          <w:sz w:val="32"/>
          <w:szCs w:val="32"/>
        </w:rPr>
        <w:t>30.73%</w:t>
      </w:r>
      <w:r>
        <w:rPr>
          <w:rFonts w:hint="eastAsia" w:ascii="仿宋_GB2312" w:eastAsia="仿宋_GB2312" w:cs="DengXian-Regular"/>
          <w:sz w:val="32"/>
          <w:szCs w:val="32"/>
        </w:rPr>
        <w:t>，主要是人员经费调整，项目金额调整。</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672.88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343.72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104.42</w:t>
      </w:r>
      <w:r>
        <w:rPr>
          <w:rFonts w:hint="eastAsia" w:ascii="仿宋_GB2312" w:eastAsia="仿宋_GB2312" w:cs="DengXian-Regular"/>
          <w:sz w:val="32"/>
          <w:szCs w:val="32"/>
        </w:rPr>
        <w:t>%，主要是人员经费调整，项目金额调整；本年支出</w:t>
      </w:r>
      <w:r>
        <w:rPr>
          <w:rFonts w:hint="eastAsia" w:ascii="仿宋_GB2312" w:eastAsia="仿宋_GB2312" w:cs="DengXian-Regular"/>
          <w:sz w:val="32"/>
          <w:szCs w:val="32"/>
          <w:lang w:val="en-US" w:eastAsia="zh-CN"/>
        </w:rPr>
        <w:t>430.31</w:t>
      </w:r>
      <w:r>
        <w:rPr>
          <w:rFonts w:hint="eastAsia" w:ascii="仿宋_GB2312" w:eastAsia="仿宋_GB2312" w:cs="DengXian-Regular"/>
          <w:sz w:val="32"/>
          <w:szCs w:val="32"/>
        </w:rPr>
        <w:t>万元，结转</w:t>
      </w:r>
      <w:r>
        <w:rPr>
          <w:rFonts w:ascii="仿宋_GB2312" w:eastAsia="仿宋_GB2312" w:cs="DengXian-Regular"/>
          <w:sz w:val="32"/>
          <w:szCs w:val="32"/>
        </w:rPr>
        <w:t>242.57</w:t>
      </w:r>
      <w:r>
        <w:rPr>
          <w:rFonts w:hint="eastAsia" w:ascii="仿宋_GB2312" w:eastAsia="仿宋_GB2312" w:cs="DengXian-Regular"/>
          <w:sz w:val="32"/>
          <w:szCs w:val="32"/>
        </w:rPr>
        <w:t>万元，增加</w:t>
      </w:r>
      <w:r>
        <w:rPr>
          <w:rFonts w:ascii="仿宋_GB2312" w:eastAsia="仿宋_GB2312" w:cs="DengXian-Regular"/>
          <w:sz w:val="32"/>
          <w:szCs w:val="32"/>
        </w:rPr>
        <w:t>101.15</w:t>
      </w:r>
      <w:r>
        <w:rPr>
          <w:rFonts w:hint="eastAsia" w:ascii="仿宋_GB2312" w:eastAsia="仿宋_GB2312" w:cs="DengXian-Regular"/>
          <w:sz w:val="32"/>
          <w:szCs w:val="32"/>
        </w:rPr>
        <w:t>万元，增长</w:t>
      </w:r>
      <w:r>
        <w:rPr>
          <w:rFonts w:ascii="仿宋_GB2312" w:eastAsia="仿宋_GB2312" w:cs="DengXian-Regular"/>
          <w:sz w:val="32"/>
          <w:szCs w:val="32"/>
        </w:rPr>
        <w:t>30.73%</w:t>
      </w:r>
      <w:r>
        <w:rPr>
          <w:rFonts w:hint="eastAsia" w:ascii="仿宋_GB2312" w:eastAsia="仿宋_GB2312" w:cs="DengXian-Regular"/>
          <w:sz w:val="32"/>
          <w:szCs w:val="32"/>
        </w:rPr>
        <w:t>，主要是人员经费调整，项目金额调整。</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672.88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343.72</w:t>
      </w:r>
      <w:r>
        <w:rPr>
          <w:rFonts w:hint="eastAsia" w:ascii="仿宋_GB2312" w:eastAsia="仿宋_GB2312" w:cs="DengXian-Regular"/>
          <w:sz w:val="32"/>
          <w:szCs w:val="32"/>
        </w:rPr>
        <w:t>万元；主要是主要是人员经费调整，项目金额调整；本年支出</w:t>
      </w:r>
      <w:r>
        <w:rPr>
          <w:rFonts w:hint="eastAsia" w:ascii="仿宋_GB2312" w:eastAsia="仿宋_GB2312" w:cs="DengXian-Regular"/>
          <w:sz w:val="32"/>
          <w:szCs w:val="32"/>
          <w:lang w:val="en-US" w:eastAsia="zh-CN"/>
        </w:rPr>
        <w:t>430.31</w:t>
      </w:r>
      <w:r>
        <w:rPr>
          <w:rFonts w:hint="eastAsia" w:ascii="仿宋_GB2312" w:eastAsia="仿宋_GB2312" w:cs="DengXian-Regular"/>
          <w:sz w:val="32"/>
          <w:szCs w:val="32"/>
        </w:rPr>
        <w:t>万元，结转</w:t>
      </w:r>
      <w:r>
        <w:rPr>
          <w:rFonts w:ascii="仿宋_GB2312" w:eastAsia="仿宋_GB2312" w:cs="DengXian-Regular"/>
          <w:sz w:val="32"/>
          <w:szCs w:val="32"/>
        </w:rPr>
        <w:t>242.57</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比2017年</w:t>
      </w:r>
      <w:r>
        <w:rPr>
          <w:rFonts w:hint="eastAsia" w:ascii="仿宋_GB2312" w:eastAsia="仿宋_GB2312" w:cs="DengXian-Regular"/>
          <w:sz w:val="32"/>
          <w:szCs w:val="32"/>
        </w:rPr>
        <w:t>增加</w:t>
      </w:r>
      <w:r>
        <w:rPr>
          <w:rFonts w:ascii="仿宋_GB2312" w:eastAsia="仿宋_GB2312" w:cs="DengXian-Regular"/>
          <w:sz w:val="32"/>
          <w:szCs w:val="32"/>
        </w:rPr>
        <w:t>101.15</w:t>
      </w:r>
      <w:r>
        <w:rPr>
          <w:rFonts w:hint="eastAsia" w:ascii="仿宋_GB2312" w:eastAsia="仿宋_GB2312" w:cs="DengXian-Regular"/>
          <w:sz w:val="32"/>
          <w:szCs w:val="32"/>
        </w:rPr>
        <w:t>万元，增长</w:t>
      </w:r>
      <w:r>
        <w:rPr>
          <w:rFonts w:ascii="仿宋_GB2312" w:eastAsia="仿宋_GB2312" w:cs="DengXian-Regular"/>
          <w:sz w:val="32"/>
          <w:szCs w:val="32"/>
        </w:rPr>
        <w:t>30.73%</w:t>
      </w:r>
      <w:r>
        <w:rPr>
          <w:rFonts w:hint="eastAsia" w:ascii="仿宋_GB2312" w:eastAsia="仿宋_GB2312" w:cs="DengXian-Regular"/>
          <w:sz w:val="32"/>
          <w:szCs w:val="32"/>
        </w:rPr>
        <w:t>，主要是人员经费调整，项目金额调整。政府性基金预算财政拨款本年收入</w:t>
      </w:r>
      <w:r>
        <w:rPr>
          <w:rFonts w:hint="eastAsia" w:ascii="仿宋_GB2312" w:eastAsia="仿宋_GB2312" w:cs="DengXian-Regular"/>
          <w:sz w:val="32"/>
          <w:szCs w:val="32"/>
          <w:lang w:val="en-US" w:eastAsia="zh-CN"/>
        </w:rPr>
        <w:t>39.94</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39.94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项目增加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39.94</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39.94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项目增加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pStyle w:val="6"/>
        <w:jc w:val="center"/>
      </w:pPr>
      <w:r>
        <w:object>
          <v:shape id="_x0000_i1026" o:spt="75" type="#_x0000_t75" style="height:249pt;width:681pt;" o:ole="t" filled="f" o:preferrelative="t" stroked="f" coordsize="21600,21600">
            <v:path/>
            <v:fill on="f" focussize="0,0"/>
            <v:stroke on="f" joinstyle="miter"/>
            <v:imagedata r:id="rId9" o:title=""/>
            <o:lock v:ext="edit" aspectratio="t"/>
            <w10:wrap type="none"/>
            <w10:anchorlock/>
          </v:shape>
          <o:OLEObject Type="Embed" ProgID="MSGraph.Chart.8" ShapeID="_x0000_i1026" DrawAspect="Content" ObjectID="_1468075726" r:id="rId8">
            <o:LockedField>false</o:LockedField>
          </o:OLEObject>
        </w:object>
      </w:r>
    </w:p>
    <w:p>
      <w:pPr>
        <w:adjustRightInd w:val="0"/>
        <w:snapToGrid w:val="0"/>
        <w:spacing w:after="0" w:line="580" w:lineRule="exact"/>
        <w:jc w:val="center"/>
        <w:rPr>
          <w:rFonts w:eastAsia="仿宋_GB2312"/>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672.88</w:t>
      </w:r>
      <w:r>
        <w:rPr>
          <w:rFonts w:hint="eastAsia" w:ascii="仿宋_GB2312" w:eastAsia="仿宋_GB2312" w:cs="DengXian-Regular"/>
          <w:sz w:val="32"/>
          <w:szCs w:val="32"/>
        </w:rPr>
        <w:t>万元，完成年初预算的</w:t>
      </w:r>
      <w:r>
        <w:rPr>
          <w:rFonts w:ascii="仿宋_GB2312" w:eastAsia="仿宋_GB2312" w:cs="DengXian-Regular"/>
          <w:sz w:val="32"/>
          <w:szCs w:val="32"/>
        </w:rPr>
        <w:t>130.21%,</w:t>
      </w:r>
      <w:r>
        <w:rPr>
          <w:rFonts w:hint="eastAsia" w:ascii="仿宋_GB2312" w:eastAsia="仿宋_GB2312" w:cs="DengXian-Regular"/>
          <w:sz w:val="32"/>
          <w:szCs w:val="32"/>
        </w:rPr>
        <w:t>比年初预算增加</w:t>
      </w:r>
      <w:r>
        <w:rPr>
          <w:rFonts w:ascii="仿宋_GB2312" w:eastAsia="仿宋_GB2312" w:cs="DengXian-Regular"/>
          <w:sz w:val="32"/>
          <w:szCs w:val="32"/>
        </w:rPr>
        <w:t>156.13</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w:t>
      </w:r>
      <w:r>
        <w:rPr>
          <w:rFonts w:hint="eastAsia" w:ascii="仿宋_GB2312" w:eastAsia="仿宋_GB2312" w:cs="DengXian-Regular"/>
          <w:sz w:val="32"/>
          <w:szCs w:val="32"/>
        </w:rPr>
        <w:t>人员经费调整，项目金额调整</w:t>
      </w:r>
      <w:r>
        <w:rPr>
          <w:rFonts w:hint="eastAsia" w:ascii="仿宋_GB2312" w:eastAsia="仿宋_GB2312" w:cs="DengXian-Regular"/>
          <w:sz w:val="32"/>
          <w:szCs w:val="32"/>
          <w:lang w:eastAsia="zh-CN"/>
        </w:rPr>
        <w:t>；</w:t>
      </w:r>
      <w:r>
        <w:rPr>
          <w:rFonts w:hint="eastAsia" w:ascii="仿宋" w:hAnsi="仿宋" w:eastAsia="仿宋" w:cs="仿宋"/>
          <w:sz w:val="32"/>
          <w:szCs w:val="32"/>
        </w:rPr>
        <w:t>本年支出</w:t>
      </w:r>
      <w:r>
        <w:rPr>
          <w:rFonts w:ascii="仿宋" w:hAnsi="仿宋" w:eastAsia="仿宋" w:cs="仿宋"/>
          <w:sz w:val="32"/>
          <w:szCs w:val="32"/>
        </w:rPr>
        <w:t>430.31</w:t>
      </w:r>
      <w:r>
        <w:rPr>
          <w:rFonts w:hint="eastAsia" w:ascii="仿宋" w:hAnsi="仿宋" w:eastAsia="仿宋" w:cs="仿宋"/>
          <w:sz w:val="32"/>
          <w:szCs w:val="32"/>
        </w:rPr>
        <w:t>万元，完成年初预算的</w:t>
      </w:r>
      <w:r>
        <w:rPr>
          <w:rFonts w:ascii="仿宋" w:hAnsi="仿宋" w:eastAsia="仿宋" w:cs="仿宋"/>
          <w:sz w:val="32"/>
          <w:szCs w:val="32"/>
        </w:rPr>
        <w:t>83.27%,</w:t>
      </w:r>
      <w:r>
        <w:rPr>
          <w:rFonts w:hint="eastAsia" w:ascii="仿宋" w:hAnsi="仿宋" w:eastAsia="仿宋" w:cs="仿宋"/>
          <w:sz w:val="32"/>
          <w:szCs w:val="32"/>
        </w:rPr>
        <w:t>比年初预算减少</w:t>
      </w:r>
      <w:r>
        <w:rPr>
          <w:rFonts w:ascii="仿宋" w:hAnsi="仿宋" w:eastAsia="仿宋" w:cs="仿宋"/>
          <w:sz w:val="32"/>
          <w:szCs w:val="32"/>
        </w:rPr>
        <w:t>86.44</w:t>
      </w:r>
      <w:r>
        <w:rPr>
          <w:rFonts w:hint="eastAsia" w:ascii="仿宋" w:hAnsi="仿宋" w:eastAsia="仿宋" w:cs="仿宋"/>
          <w:sz w:val="32"/>
          <w:szCs w:val="32"/>
        </w:rPr>
        <w:t>万元，决算数小于预算数主要是项目结转。</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672.88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130.21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156.13</w:t>
      </w:r>
      <w:r>
        <w:rPr>
          <w:rFonts w:hint="eastAsia" w:ascii="仿宋_GB2312" w:eastAsia="仿宋_GB2312" w:cs="DengXian-Regular"/>
          <w:sz w:val="32"/>
          <w:szCs w:val="32"/>
        </w:rPr>
        <w:t>万元，决算数大于预算数主要是人员经费调整，项目金额调整；本年支出</w:t>
      </w:r>
      <w:r>
        <w:rPr>
          <w:rFonts w:hint="eastAsia" w:ascii="仿宋_GB2312" w:eastAsia="仿宋_GB2312" w:cs="DengXian-Regular"/>
          <w:sz w:val="32"/>
          <w:szCs w:val="32"/>
          <w:lang w:val="en-US" w:eastAsia="zh-CN"/>
        </w:rPr>
        <w:t>430.31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83.27</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86.44</w:t>
      </w:r>
      <w:r>
        <w:rPr>
          <w:rFonts w:hint="eastAsia" w:ascii="仿宋_GB2312" w:eastAsia="仿宋_GB2312" w:cs="DengXian-Regular"/>
          <w:sz w:val="32"/>
          <w:szCs w:val="32"/>
        </w:rPr>
        <w:t>万元，决算数小于预算数主要是</w:t>
      </w:r>
      <w:r>
        <w:rPr>
          <w:rFonts w:hint="eastAsia" w:ascii="仿宋" w:hAnsi="仿宋" w:eastAsia="仿宋" w:cs="仿宋"/>
          <w:sz w:val="32"/>
          <w:szCs w:val="32"/>
        </w:rPr>
        <w:t>项目结转</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130.21</w:t>
      </w:r>
      <w:r>
        <w:rPr>
          <w:rFonts w:hint="eastAsia" w:ascii="仿宋_GB2312" w:eastAsia="仿宋_GB2312" w:cs="DengXian-Regular"/>
          <w:sz w:val="32"/>
          <w:szCs w:val="32"/>
        </w:rPr>
        <w:t>%，比年初预算</w:t>
      </w:r>
      <w:r>
        <w:rPr>
          <w:rFonts w:hint="eastAsia" w:ascii="仿宋_GB2312" w:eastAsia="仿宋_GB2312" w:cs="DengXian-Regular"/>
          <w:sz w:val="32"/>
          <w:szCs w:val="32"/>
          <w:lang w:val="en-US" w:eastAsia="zh-CN"/>
        </w:rPr>
        <w:t>增加156.13</w:t>
      </w:r>
      <w:r>
        <w:rPr>
          <w:rFonts w:hint="eastAsia" w:ascii="仿宋_GB2312" w:eastAsia="仿宋_GB2312" w:cs="DengXian-Regular"/>
          <w:sz w:val="32"/>
          <w:szCs w:val="32"/>
        </w:rPr>
        <w:t>万元，决算数大于预算数主要是人员经费调整，项目金额调整；支出完成年初预算</w:t>
      </w:r>
      <w:r>
        <w:rPr>
          <w:rFonts w:hint="eastAsia" w:ascii="仿宋_GB2312" w:eastAsia="仿宋_GB2312" w:cs="DengXian-Regular"/>
          <w:sz w:val="32"/>
          <w:szCs w:val="32"/>
          <w:lang w:val="en-US" w:eastAsia="zh-CN"/>
        </w:rPr>
        <w:t>83.27</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86.44</w:t>
      </w:r>
      <w:r>
        <w:rPr>
          <w:rFonts w:hint="eastAsia" w:ascii="仿宋_GB2312" w:eastAsia="仿宋_GB2312" w:cs="DengXian-Regular"/>
          <w:sz w:val="32"/>
          <w:szCs w:val="32"/>
        </w:rPr>
        <w:t>万元，决算数小于预算数主要是</w:t>
      </w:r>
      <w:r>
        <w:rPr>
          <w:rFonts w:hint="eastAsia" w:ascii="仿宋" w:hAnsi="仿宋" w:eastAsia="仿宋" w:cs="仿宋"/>
          <w:sz w:val="32"/>
          <w:szCs w:val="32"/>
        </w:rPr>
        <w:t>项目结转</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39.94万元，</w:t>
      </w:r>
      <w:r>
        <w:rPr>
          <w:rFonts w:hint="eastAsia" w:ascii="仿宋_GB2312" w:eastAsia="仿宋_GB2312" w:cs="DengXian-Regular"/>
          <w:sz w:val="32"/>
          <w:szCs w:val="32"/>
        </w:rPr>
        <w:t>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年初预算</w:t>
      </w:r>
      <w:r>
        <w:rPr>
          <w:rFonts w:hint="eastAsia" w:ascii="仿宋_GB2312" w:eastAsia="仿宋_GB2312" w:cs="DengXian-Regular"/>
          <w:sz w:val="32"/>
          <w:szCs w:val="32"/>
          <w:lang w:val="en-US" w:eastAsia="zh-CN"/>
        </w:rPr>
        <w:t>持平</w:t>
      </w:r>
      <w:r>
        <w:rPr>
          <w:rFonts w:hint="eastAsia" w:ascii="仿宋_GB2312" w:eastAsia="仿宋_GB2312" w:cs="DengXian-Regular"/>
          <w:sz w:val="32"/>
          <w:szCs w:val="32"/>
        </w:rPr>
        <w:t>，决算数</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预算数</w:t>
      </w:r>
      <w:r>
        <w:rPr>
          <w:rFonts w:hint="eastAsia" w:ascii="仿宋_GB2312" w:eastAsia="仿宋_GB2312" w:cs="DengXian-Regular"/>
          <w:sz w:val="32"/>
          <w:szCs w:val="32"/>
          <w:lang w:val="en-US" w:eastAsia="zh-CN"/>
        </w:rPr>
        <w:t>持平</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年初预算</w:t>
      </w:r>
      <w:r>
        <w:rPr>
          <w:rFonts w:hint="eastAsia" w:ascii="仿宋_GB2312" w:eastAsia="仿宋_GB2312" w:cs="DengXian-Regular"/>
          <w:sz w:val="32"/>
          <w:szCs w:val="32"/>
          <w:lang w:val="en-US" w:eastAsia="zh-CN"/>
        </w:rPr>
        <w:t>持平</w:t>
      </w:r>
      <w:r>
        <w:rPr>
          <w:rFonts w:hint="eastAsia" w:ascii="仿宋_GB2312" w:eastAsia="仿宋_GB2312" w:cs="DengXian-Regular"/>
          <w:sz w:val="32"/>
          <w:szCs w:val="32"/>
        </w:rPr>
        <w:t>，决算数</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预算数</w:t>
      </w:r>
      <w:r>
        <w:rPr>
          <w:rFonts w:hint="eastAsia" w:ascii="仿宋_GB2312" w:eastAsia="仿宋_GB2312" w:cs="DengXian-Regular"/>
          <w:sz w:val="32"/>
          <w:szCs w:val="32"/>
          <w:lang w:val="en-US" w:eastAsia="zh-CN"/>
        </w:rPr>
        <w:t>持平</w:t>
      </w:r>
      <w:r>
        <w:rPr>
          <w:rFonts w:hint="eastAsia" w:ascii="仿宋_GB2312" w:eastAsia="仿宋_GB2312" w:cs="DengXian-Regular"/>
          <w:sz w:val="32"/>
          <w:szCs w:val="32"/>
        </w:rPr>
        <w:t>。</w:t>
      </w:r>
    </w:p>
    <w:p>
      <w:pPr>
        <w:pStyle w:val="6"/>
        <w:jc w:val="center"/>
        <w:rPr>
          <w:rFonts w:ascii="仿宋_GB2312" w:cs="DengXian-Regular"/>
          <w:highlight w:val="yellow"/>
        </w:rPr>
      </w:pPr>
      <w:r>
        <w:rPr>
          <w:rFonts w:hint="eastAsia"/>
        </w:rPr>
        <w:t>图</w:t>
      </w:r>
      <w:r>
        <w:t>4</w:t>
      </w:r>
      <w:r>
        <w:rPr>
          <w:rFonts w:hint="eastAsia"/>
        </w:rPr>
        <w:t>：财政拨款收支预决算对比情况</w:t>
      </w:r>
      <w:r>
        <w:object>
          <v:shape id="_x0000_i1027" o:spt="75" type="#_x0000_t75" style="height:195pt;width:557.25pt;" o:ole="t" filled="f" o:preferrelative="t" stroked="f" coordsize="21600,21600">
            <v:path/>
            <v:fill on="f" focussize="0,0"/>
            <v:stroke on="f" joinstyle="miter"/>
            <v:imagedata r:id="rId11" o:title=""/>
            <o:lock v:ext="edit" aspectratio="t"/>
            <w10:wrap type="none"/>
            <w10:anchorlock/>
          </v:shape>
          <o:OLEObject Type="Embed" ProgID="MSGraph.Chart.8" ShapeID="_x0000_i1027" DrawAspect="Content" ObjectID="_1468075727" r:id="rId10">
            <o:LockedField>false</o:LockedField>
          </o:OLEObject>
        </w:object>
      </w:r>
    </w:p>
    <w:p>
      <w:pPr>
        <w:adjustRightInd w:val="0"/>
        <w:snapToGrid w:val="0"/>
        <w:spacing w:after="0" w:line="580" w:lineRule="exact"/>
        <w:ind w:firstLine="640" w:firstLineChars="200"/>
        <w:jc w:val="center"/>
        <w:rPr>
          <w:rFonts w:ascii="仿宋_GB2312" w:eastAsia="仿宋_GB2312" w:cs="DengXian-Regular"/>
          <w:sz w:val="32"/>
          <w:szCs w:val="32"/>
          <w:highlight w:val="yellow"/>
        </w:rPr>
      </w:pP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430.31</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372.12</w:t>
      </w:r>
      <w:r>
        <w:rPr>
          <w:rFonts w:hint="eastAsia" w:ascii="仿宋_GB2312" w:eastAsia="仿宋_GB2312" w:cs="DengXian-Regular"/>
          <w:sz w:val="32"/>
          <w:szCs w:val="32"/>
        </w:rPr>
        <w:t>万元，占</w:t>
      </w:r>
      <w:r>
        <w:rPr>
          <w:rFonts w:ascii="仿宋_GB2312" w:eastAsia="仿宋_GB2312" w:cs="DengXian-Regular"/>
          <w:sz w:val="32"/>
          <w:szCs w:val="32"/>
        </w:rPr>
        <w:t>86.48%</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5.61</w:t>
      </w:r>
      <w:r>
        <w:rPr>
          <w:rFonts w:hint="eastAsia" w:ascii="仿宋_GB2312" w:eastAsia="仿宋_GB2312" w:cs="DengXian-Regular"/>
          <w:sz w:val="32"/>
          <w:szCs w:val="32"/>
        </w:rPr>
        <w:t>万元，占</w:t>
      </w:r>
      <w:r>
        <w:rPr>
          <w:rFonts w:ascii="仿宋_GB2312" w:eastAsia="仿宋_GB2312" w:cs="DengXian-Regular"/>
          <w:sz w:val="32"/>
          <w:szCs w:val="32"/>
        </w:rPr>
        <w:t>1.30%</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2.83</w:t>
      </w:r>
      <w:r>
        <w:rPr>
          <w:rFonts w:hint="eastAsia" w:ascii="仿宋_GB2312" w:eastAsia="仿宋_GB2312" w:cs="DengXian-Regular"/>
          <w:sz w:val="32"/>
          <w:szCs w:val="32"/>
        </w:rPr>
        <w:t>万元，占</w:t>
      </w:r>
      <w:r>
        <w:rPr>
          <w:rFonts w:ascii="仿宋_GB2312" w:eastAsia="仿宋_GB2312" w:cs="DengXian-Regular"/>
          <w:sz w:val="32"/>
          <w:szCs w:val="32"/>
        </w:rPr>
        <w:t>0.66%</w:t>
      </w:r>
      <w:r>
        <w:rPr>
          <w:rFonts w:hint="eastAsia" w:ascii="仿宋_GB2312" w:eastAsia="仿宋_GB2312" w:cs="DengXian-Regular"/>
          <w:sz w:val="32"/>
          <w:szCs w:val="32"/>
        </w:rPr>
        <w:t>；城乡社区支出</w:t>
      </w:r>
      <w:r>
        <w:rPr>
          <w:rFonts w:ascii="仿宋_GB2312" w:eastAsia="仿宋_GB2312" w:cs="DengXian-Regular"/>
          <w:sz w:val="32"/>
          <w:szCs w:val="32"/>
        </w:rPr>
        <w:t>9.8</w:t>
      </w:r>
      <w:r>
        <w:rPr>
          <w:rFonts w:hint="eastAsia" w:ascii="仿宋_GB2312" w:eastAsia="仿宋_GB2312" w:cs="DengXian-Regular"/>
          <w:sz w:val="32"/>
          <w:szCs w:val="32"/>
        </w:rPr>
        <w:t>万元，占</w:t>
      </w:r>
      <w:r>
        <w:rPr>
          <w:rFonts w:ascii="仿宋_GB2312" w:eastAsia="仿宋_GB2312" w:cs="DengXian-Regular"/>
          <w:sz w:val="32"/>
          <w:szCs w:val="32"/>
        </w:rPr>
        <w:t>2.28%</w:t>
      </w:r>
      <w:r>
        <w:rPr>
          <w:rFonts w:hint="eastAsia" w:ascii="仿宋_GB2312" w:eastAsia="仿宋_GB2312" w:cs="DengXian-Regular"/>
          <w:sz w:val="32"/>
          <w:szCs w:val="32"/>
        </w:rPr>
        <w:t>；其他支出</w:t>
      </w:r>
      <w:r>
        <w:rPr>
          <w:rFonts w:ascii="仿宋_GB2312" w:eastAsia="仿宋_GB2312" w:cs="DengXian-Regular"/>
          <w:sz w:val="32"/>
          <w:szCs w:val="32"/>
        </w:rPr>
        <w:t>39.94</w:t>
      </w:r>
      <w:r>
        <w:rPr>
          <w:rFonts w:hint="eastAsia" w:ascii="仿宋_GB2312" w:eastAsia="仿宋_GB2312" w:cs="DengXian-Regular"/>
          <w:sz w:val="32"/>
          <w:szCs w:val="32"/>
        </w:rPr>
        <w:t>万元，占</w:t>
      </w:r>
      <w:r>
        <w:rPr>
          <w:rFonts w:ascii="仿宋_GB2312" w:eastAsia="仿宋_GB2312" w:cs="DengXian-Regular"/>
          <w:sz w:val="32"/>
          <w:szCs w:val="32"/>
        </w:rPr>
        <w:t>9.28%</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pStyle w:val="6"/>
        <w:jc w:val="center"/>
        <w:rPr>
          <w:rFonts w:eastAsia="仿宋_GB2312"/>
          <w:sz w:val="32"/>
          <w:szCs w:val="32"/>
        </w:rPr>
      </w:pPr>
      <w:r>
        <w:rPr>
          <w:rFonts w:eastAsia="仿宋_GB2312"/>
          <w:sz w:val="32"/>
          <w:szCs w:val="32"/>
        </w:rPr>
        <w:object>
          <v:shape id="_x0000_i1028" o:spt="75" type="#_x0000_t75" style="height:229.5pt;width:461.25pt;" o:ole="t" filled="f" o:preferrelative="t" stroked="f" coordsize="21600,21600">
            <v:path/>
            <v:fill on="f" focussize="0,0"/>
            <v:stroke on="f" joinstyle="miter"/>
            <v:imagedata r:id="rId13" o:title=""/>
            <o:lock v:ext="edit" aspectratio="f"/>
            <w10:wrap type="none"/>
            <w10:anchorlock/>
          </v:shape>
          <o:OLEObject Type="Embed" ProgID="Excel.Sheet.8" ShapeID="_x0000_i1028" DrawAspect="Content" ObjectID="_1468075728" r:id="rId12">
            <o:LockedField>false</o:LockedField>
          </o:OLEObject>
        </w:object>
      </w:r>
    </w:p>
    <w:p>
      <w:pPr>
        <w:adjustRightInd w:val="0"/>
        <w:snapToGrid w:val="0"/>
        <w:spacing w:after="0" w:line="580" w:lineRule="exact"/>
        <w:jc w:val="center"/>
        <w:rPr>
          <w:rFonts w:eastAsia="仿宋_GB2312"/>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184.67</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53.13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131.54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lang w:val="en-US" w:eastAsia="zh-CN"/>
        </w:rPr>
        <w:t>与</w:t>
      </w:r>
      <w:r>
        <w:rPr>
          <w:rFonts w:eastAsia="仿宋_GB2312"/>
          <w:sz w:val="32"/>
          <w:szCs w:val="32"/>
        </w:rPr>
        <w:t>年初预算</w:t>
      </w:r>
      <w:r>
        <w:rPr>
          <w:rFonts w:hint="eastAsia" w:eastAsia="仿宋_GB2312"/>
          <w:sz w:val="32"/>
          <w:szCs w:val="32"/>
          <w:lang w:val="en-US" w:eastAsia="zh-CN"/>
        </w:rPr>
        <w:t>持平；与</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具体情况如下：</w:t>
      </w:r>
    </w:p>
    <w:p>
      <w:pPr>
        <w:numPr>
          <w:ilvl w:val="0"/>
          <w:numId w:val="3"/>
        </w:numPr>
        <w:adjustRightInd w:val="0"/>
        <w:snapToGrid w:val="0"/>
        <w:spacing w:line="584" w:lineRule="exact"/>
        <w:ind w:firstLine="643" w:firstLineChars="200"/>
        <w:rPr>
          <w:rFonts w:hint="eastAsia" w:ascii="仿宋" w:hAnsi="仿宋" w:eastAsia="仿宋" w:cs="仿宋"/>
          <w:sz w:val="32"/>
          <w:szCs w:val="32"/>
          <w:lang w:val="en-US" w:eastAsia="zh-CN"/>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 w:hAnsi="仿宋" w:eastAsia="仿宋" w:cs="仿宋"/>
          <w:sz w:val="32"/>
          <w:szCs w:val="32"/>
        </w:rPr>
        <w:t>本部门2018年度因公出国（境）团组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个、共</w:t>
      </w:r>
      <w:r>
        <w:rPr>
          <w:rFonts w:hint="eastAsia" w:ascii="仿宋" w:hAnsi="仿宋" w:eastAsia="仿宋" w:cs="仿宋"/>
          <w:sz w:val="32"/>
          <w:szCs w:val="32"/>
          <w:lang w:val="en-US" w:eastAsia="zh-CN"/>
        </w:rPr>
        <w:t>0</w:t>
      </w:r>
      <w:r>
        <w:rPr>
          <w:rFonts w:hint="eastAsia" w:ascii="仿宋" w:hAnsi="仿宋" w:eastAsia="仿宋" w:cs="仿宋"/>
          <w:sz w:val="32"/>
          <w:szCs w:val="32"/>
        </w:rPr>
        <w:t>人/参加其他单位组织的因公出国（境）团组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个、共</w:t>
      </w:r>
      <w:r>
        <w:rPr>
          <w:rFonts w:hint="eastAsia" w:ascii="仿宋" w:hAnsi="仿宋" w:eastAsia="仿宋" w:cs="仿宋"/>
          <w:sz w:val="32"/>
          <w:szCs w:val="32"/>
          <w:lang w:val="en-US" w:eastAsia="zh-CN"/>
        </w:rPr>
        <w:t>0</w:t>
      </w:r>
      <w:r>
        <w:rPr>
          <w:rFonts w:hint="eastAsia" w:ascii="仿宋" w:hAnsi="仿宋" w:eastAsia="仿宋" w:cs="仿宋"/>
          <w:sz w:val="32"/>
          <w:szCs w:val="32"/>
        </w:rPr>
        <w:t>人/无本单位组织的出国（境）团组。因公出国（境）费支出</w:t>
      </w:r>
      <w:r>
        <w:rPr>
          <w:rFonts w:hint="eastAsia" w:ascii="仿宋" w:hAnsi="仿宋" w:eastAsia="仿宋" w:cs="仿宋"/>
          <w:sz w:val="32"/>
          <w:szCs w:val="32"/>
          <w:lang w:eastAsia="zh-CN"/>
        </w:rPr>
        <w:t>与</w:t>
      </w:r>
      <w:r>
        <w:rPr>
          <w:rFonts w:hint="eastAsia" w:ascii="仿宋" w:hAnsi="仿宋" w:eastAsia="仿宋" w:cs="仿宋"/>
          <w:sz w:val="32"/>
          <w:szCs w:val="32"/>
        </w:rPr>
        <w:t>年初预算</w:t>
      </w:r>
      <w:r>
        <w:rPr>
          <w:rFonts w:hint="eastAsia" w:ascii="仿宋" w:hAnsi="仿宋" w:eastAsia="仿宋" w:cs="仿宋"/>
          <w:sz w:val="32"/>
          <w:szCs w:val="32"/>
          <w:lang w:eastAsia="zh-CN"/>
        </w:rPr>
        <w:t>持平</w:t>
      </w:r>
      <w:r>
        <w:rPr>
          <w:rFonts w:hint="eastAsia" w:ascii="仿宋" w:hAnsi="仿宋" w:eastAsia="仿宋" w:cs="仿宋"/>
          <w:sz w:val="32"/>
          <w:szCs w:val="32"/>
        </w:rPr>
        <w:t>；</w:t>
      </w:r>
      <w:r>
        <w:rPr>
          <w:rFonts w:hint="eastAsia" w:ascii="仿宋" w:hAnsi="仿宋" w:eastAsia="仿宋" w:cs="仿宋"/>
          <w:sz w:val="32"/>
          <w:szCs w:val="32"/>
          <w:lang w:eastAsia="zh-CN"/>
        </w:rPr>
        <w:t>与</w:t>
      </w:r>
      <w:r>
        <w:rPr>
          <w:rFonts w:hint="eastAsia" w:ascii="仿宋" w:hAnsi="仿宋" w:eastAsia="仿宋" w:cs="仿宋"/>
          <w:sz w:val="32"/>
          <w:szCs w:val="32"/>
        </w:rPr>
        <w:t>2017年度决算</w:t>
      </w:r>
      <w:r>
        <w:rPr>
          <w:rFonts w:hint="eastAsia" w:ascii="仿宋" w:hAnsi="仿宋" w:eastAsia="仿宋" w:cs="仿宋"/>
          <w:sz w:val="32"/>
          <w:szCs w:val="32"/>
          <w:lang w:eastAsia="zh-CN"/>
        </w:rPr>
        <w:t>持平。</w:t>
      </w:r>
      <w:r>
        <w:rPr>
          <w:rFonts w:hint="eastAsia" w:ascii="仿宋" w:hAnsi="仿宋" w:eastAsia="仿宋" w:cs="仿宋"/>
          <w:sz w:val="32"/>
          <w:szCs w:val="32"/>
          <w:lang w:val="en-US" w:eastAsia="zh-CN"/>
        </w:rPr>
        <w:t xml:space="preserve"> </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年初预算</w:t>
      </w:r>
      <w:r>
        <w:rPr>
          <w:rFonts w:hint="eastAsia" w:eastAsia="仿宋_GB2312"/>
          <w:sz w:val="32"/>
          <w:szCs w:val="32"/>
          <w:lang w:val="en-US" w:eastAsia="zh-CN"/>
        </w:rPr>
        <w:t>持平</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lang w:val="en-US" w:eastAsia="zh-CN"/>
        </w:rPr>
        <w:t>未发生公车购置，较年初预算无增减变化；与</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lang w:val="en-US" w:eastAsia="zh-CN"/>
        </w:rPr>
        <w:t>较年初预算无增减变化</w:t>
      </w:r>
      <w:r>
        <w:rPr>
          <w:rFonts w:eastAsia="仿宋_GB2312"/>
          <w:sz w:val="32"/>
          <w:szCs w:val="32"/>
        </w:rPr>
        <w:t>；</w:t>
      </w:r>
      <w:r>
        <w:rPr>
          <w:rFonts w:hint="eastAsia" w:eastAsia="仿宋_GB2312"/>
          <w:sz w:val="32"/>
          <w:szCs w:val="32"/>
          <w:lang w:val="en-US" w:eastAsia="zh-CN"/>
        </w:rPr>
        <w:t>于</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lang w:val="en-US" w:eastAsia="zh-CN"/>
        </w:rPr>
        <w:t>与</w:t>
      </w:r>
      <w:r>
        <w:rPr>
          <w:rFonts w:eastAsia="仿宋_GB2312"/>
          <w:sz w:val="32"/>
          <w:szCs w:val="32"/>
        </w:rPr>
        <w:t>年初预算</w:t>
      </w:r>
      <w:r>
        <w:rPr>
          <w:rFonts w:hint="eastAsia" w:eastAsia="仿宋_GB2312"/>
          <w:sz w:val="32"/>
          <w:szCs w:val="32"/>
          <w:lang w:val="en-US" w:eastAsia="zh-CN"/>
        </w:rPr>
        <w:t>持平</w:t>
      </w:r>
      <w:r>
        <w:rPr>
          <w:rFonts w:eastAsia="仿宋_GB2312"/>
          <w:sz w:val="32"/>
          <w:szCs w:val="32"/>
        </w:rPr>
        <w:t>；</w:t>
      </w:r>
      <w:r>
        <w:rPr>
          <w:rFonts w:hint="eastAsia" w:eastAsia="仿宋_GB2312"/>
          <w:sz w:val="32"/>
          <w:szCs w:val="32"/>
          <w:lang w:val="en-US" w:eastAsia="zh-CN"/>
        </w:rPr>
        <w:t>于</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jc w:val="left"/>
        <w:outlineLvl w:val="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line="584" w:lineRule="atLeast"/>
        <w:ind w:firstLine="640"/>
        <w:jc w:val="left"/>
        <w:rPr>
          <w:rFonts w:ascii="宋体" w:cs="宋体"/>
          <w:color w:val="000000"/>
          <w:kern w:val="0"/>
          <w:sz w:val="32"/>
          <w:szCs w:val="32"/>
        </w:rPr>
      </w:pPr>
      <w:r>
        <w:rPr>
          <w:rFonts w:hint="eastAsia" w:ascii="宋体" w:hAnsi="宋体" w:cs="宋体"/>
          <w:color w:val="484747"/>
          <w:kern w:val="0"/>
          <w:sz w:val="32"/>
          <w:szCs w:val="32"/>
        </w:rPr>
        <w:t>保障机关后勤工作，保障正常工作秩序，确保水电暖的正常供应，加强对保安人员的培训，提高保安人员素质，严格落实来人来访登记制度，来人必须给接待人员打电话，为避免车辆出入混乱现象，出入行政中心车辆必须办理出入证，所有车辆都要整齐停在停车场，自行车电动车停在东西车棚，主楼及东西楼前禁止停车，保洁人员对院内及楼道内卫生进行全面清理打扫，保证干净整洁无死角，加强对伙房厨师人员管理，不定时变换主食及菜谱，确保领导和广大干部职工满意。明确专人</w:t>
      </w:r>
      <w:r>
        <w:rPr>
          <w:rFonts w:ascii="宋体" w:hAnsi="宋体" w:cs="宋体"/>
          <w:color w:val="484747"/>
          <w:kern w:val="0"/>
          <w:sz w:val="32"/>
          <w:szCs w:val="32"/>
        </w:rPr>
        <w:t>24</w:t>
      </w:r>
      <w:r>
        <w:rPr>
          <w:rFonts w:hint="eastAsia" w:ascii="宋体" w:hAnsi="宋体" w:cs="宋体"/>
          <w:color w:val="484747"/>
          <w:kern w:val="0"/>
          <w:sz w:val="32"/>
          <w:szCs w:val="32"/>
        </w:rPr>
        <w:t>小时对行政中心水电暖进行跟踪，出现问题及时解决，确保机关后勤保障工作不断档、服务不打折。对机关大院强化监管、规范管理，提高会议服务、卫生保洁、水电维修</w:t>
      </w:r>
      <w:r>
        <w:rPr>
          <w:rFonts w:hint="eastAsia" w:ascii="宋体" w:hAnsi="宋体" w:cs="宋体"/>
          <w:color w:val="000000"/>
          <w:kern w:val="0"/>
          <w:sz w:val="32"/>
          <w:szCs w:val="32"/>
        </w:rPr>
        <w:t>、绿化美化等工作水平。加强与重点跟踪项目的联系沟通，督促项目早日签约、落地开工，确保圆满完成县委、县政府下达的目标任务。</w:t>
      </w:r>
    </w:p>
    <w:p>
      <w:pPr>
        <w:numPr>
          <w:ilvl w:val="0"/>
          <w:numId w:val="4"/>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spacing w:line="500" w:lineRule="exact"/>
        <w:ind w:firstLine="560"/>
        <w:rPr>
          <w:rFonts w:ascii="方正仿宋_GBK" w:eastAsia="方正仿宋_GBK"/>
          <w:sz w:val="28"/>
        </w:rPr>
      </w:pPr>
      <w:r>
        <w:rPr>
          <w:rFonts w:hint="eastAsia" w:ascii="方正仿宋_GBK" w:eastAsia="方正仿宋_GBK"/>
          <w:sz w:val="28"/>
        </w:rPr>
        <w:t>维修：对行政中心老化设施设备进行维修更换。</w:t>
      </w:r>
    </w:p>
    <w:p>
      <w:pPr>
        <w:spacing w:line="500" w:lineRule="exact"/>
        <w:ind w:firstLine="560"/>
        <w:rPr>
          <w:rFonts w:ascii="方正仿宋_GBK" w:eastAsia="方正仿宋_GBK"/>
          <w:sz w:val="28"/>
        </w:rPr>
      </w:pPr>
      <w:r>
        <w:rPr>
          <w:rFonts w:hint="eastAsia" w:ascii="方正仿宋_GBK" w:eastAsia="方正仿宋_GBK"/>
          <w:sz w:val="28"/>
        </w:rPr>
        <w:t>物业管理：由物业公司管理行政中心保安保洁工作。</w:t>
      </w:r>
    </w:p>
    <w:p>
      <w:pPr>
        <w:spacing w:line="500" w:lineRule="exact"/>
        <w:ind w:firstLine="560"/>
        <w:rPr>
          <w:rFonts w:ascii="方正仿宋_GBK" w:eastAsia="方正仿宋_GBK"/>
          <w:sz w:val="28"/>
        </w:rPr>
      </w:pPr>
      <w:r>
        <w:rPr>
          <w:rFonts w:hint="eastAsia" w:ascii="方正仿宋_GBK" w:eastAsia="方正仿宋_GBK"/>
          <w:sz w:val="28"/>
        </w:rPr>
        <w:t>机关食堂</w:t>
      </w:r>
      <w:r>
        <w:rPr>
          <w:rFonts w:ascii="方正仿宋_GBK" w:eastAsia="方正仿宋_GBK"/>
          <w:sz w:val="28"/>
        </w:rPr>
        <w:t>:</w:t>
      </w:r>
      <w:r>
        <w:rPr>
          <w:rFonts w:hint="eastAsia" w:ascii="方正仿宋_GBK" w:eastAsia="方正仿宋_GBK"/>
          <w:sz w:val="28"/>
        </w:rPr>
        <w:t>达到干部职工和领导满意。</w:t>
      </w:r>
    </w:p>
    <w:p>
      <w:pPr>
        <w:numPr>
          <w:ilvl w:val="0"/>
          <w:numId w:val="4"/>
        </w:numPr>
        <w:adjustRightInd w:val="0"/>
        <w:snapToGrid w:val="0"/>
        <w:spacing w:after="0" w:line="580" w:lineRule="exact"/>
        <w:ind w:firstLine="640" w:firstLineChars="200"/>
        <w:jc w:val="center"/>
        <w:rPr>
          <w:rFonts w:ascii="仿宋_GB2312" w:eastAsia="仿宋_GB2312" w:cs="DengXian-Regular"/>
          <w:sz w:val="32"/>
          <w:szCs w:val="32"/>
        </w:rPr>
      </w:pPr>
      <w:r>
        <w:rPr>
          <w:rFonts w:hint="eastAsia" w:ascii="仿宋_GB2312" w:eastAsia="仿宋_GB2312" w:cs="DengXian-Regular"/>
          <w:sz w:val="32"/>
          <w:szCs w:val="32"/>
        </w:rPr>
        <w:t>重点项目绩效评价结果。</w:t>
      </w:r>
    </w:p>
    <w:tbl>
      <w:tblPr>
        <w:tblStyle w:val="14"/>
        <w:tblW w:w="9857" w:type="dxa"/>
        <w:jc w:val="center"/>
        <w:tblLayout w:type="fixed"/>
        <w:tblCellMar>
          <w:top w:w="0" w:type="dxa"/>
          <w:left w:w="108" w:type="dxa"/>
          <w:bottom w:w="0" w:type="dxa"/>
          <w:right w:w="108" w:type="dxa"/>
        </w:tblCellMar>
      </w:tblPr>
      <w:tblGrid>
        <w:gridCol w:w="1054"/>
        <w:gridCol w:w="754"/>
        <w:gridCol w:w="1680"/>
        <w:gridCol w:w="2921"/>
        <w:gridCol w:w="649"/>
        <w:gridCol w:w="735"/>
        <w:gridCol w:w="630"/>
        <w:gridCol w:w="630"/>
        <w:gridCol w:w="804"/>
      </w:tblGrid>
      <w:tr>
        <w:tblPrEx>
          <w:tblCellMar>
            <w:top w:w="0" w:type="dxa"/>
            <w:left w:w="108" w:type="dxa"/>
            <w:bottom w:w="0" w:type="dxa"/>
            <w:right w:w="108" w:type="dxa"/>
          </w:tblCellMar>
        </w:tblPrEx>
        <w:trPr>
          <w:trHeight w:val="227" w:hRule="atLeast"/>
          <w:tblHeader/>
          <w:jc w:val="center"/>
        </w:trPr>
        <w:tc>
          <w:tcPr>
            <w:tcW w:w="7058" w:type="dxa"/>
            <w:gridSpan w:val="5"/>
            <w:vAlign w:val="center"/>
          </w:tcPr>
          <w:p>
            <w:pPr>
              <w:spacing w:line="300" w:lineRule="exact"/>
              <w:jc w:val="left"/>
              <w:rPr>
                <w:rFonts w:ascii="仿宋" w:hAnsi="仿宋" w:eastAsia="仿宋"/>
                <w:sz w:val="32"/>
                <w:szCs w:val="32"/>
              </w:rPr>
            </w:pPr>
            <w:r>
              <w:rPr>
                <w:rFonts w:ascii="仿宋" w:hAnsi="仿宋" w:eastAsia="仿宋"/>
                <w:sz w:val="32"/>
                <w:szCs w:val="32"/>
              </w:rPr>
              <w:t>430</w:t>
            </w:r>
            <w:r>
              <w:rPr>
                <w:rFonts w:hint="eastAsia" w:ascii="仿宋" w:hAnsi="仿宋" w:eastAsia="仿宋"/>
                <w:sz w:val="32"/>
                <w:szCs w:val="32"/>
              </w:rPr>
              <w:t>大城县机关事务管理局</w:t>
            </w:r>
          </w:p>
        </w:tc>
        <w:tc>
          <w:tcPr>
            <w:tcW w:w="2799" w:type="dxa"/>
            <w:gridSpan w:val="4"/>
            <w:vAlign w:val="center"/>
          </w:tcPr>
          <w:p>
            <w:pPr>
              <w:spacing w:line="300" w:lineRule="exact"/>
              <w:ind w:right="640"/>
              <w:rPr>
                <w:rFonts w:ascii="仿宋" w:hAnsi="仿宋" w:eastAsia="仿宋"/>
                <w:sz w:val="32"/>
                <w:szCs w:val="32"/>
              </w:rPr>
            </w:pPr>
            <w:r>
              <w:rPr>
                <w:rFonts w:hint="eastAsia" w:ascii="仿宋" w:hAnsi="仿宋" w:eastAsia="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54"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754"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680"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2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649"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799"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54" w:type="dxa"/>
            <w:vMerge w:val="continue"/>
            <w:vAlign w:val="center"/>
          </w:tcPr>
          <w:p>
            <w:pPr>
              <w:spacing w:line="300" w:lineRule="exact"/>
              <w:jc w:val="left"/>
              <w:outlineLvl w:val="0"/>
            </w:pPr>
          </w:p>
        </w:tc>
        <w:tc>
          <w:tcPr>
            <w:tcW w:w="754" w:type="dxa"/>
            <w:vMerge w:val="continue"/>
            <w:vAlign w:val="center"/>
          </w:tcPr>
          <w:p>
            <w:pPr>
              <w:spacing w:line="300" w:lineRule="exact"/>
              <w:jc w:val="left"/>
              <w:outlineLvl w:val="0"/>
            </w:pPr>
          </w:p>
        </w:tc>
        <w:tc>
          <w:tcPr>
            <w:tcW w:w="1680" w:type="dxa"/>
            <w:vMerge w:val="continue"/>
            <w:vAlign w:val="center"/>
          </w:tcPr>
          <w:p>
            <w:pPr>
              <w:spacing w:line="300" w:lineRule="exact"/>
              <w:jc w:val="left"/>
              <w:outlineLvl w:val="0"/>
            </w:pPr>
          </w:p>
        </w:tc>
        <w:tc>
          <w:tcPr>
            <w:tcW w:w="2921" w:type="dxa"/>
            <w:vMerge w:val="continue"/>
            <w:vAlign w:val="center"/>
          </w:tcPr>
          <w:p>
            <w:pPr>
              <w:spacing w:line="300" w:lineRule="exact"/>
              <w:jc w:val="left"/>
              <w:outlineLvl w:val="0"/>
            </w:pPr>
          </w:p>
        </w:tc>
        <w:tc>
          <w:tcPr>
            <w:tcW w:w="649" w:type="dxa"/>
            <w:vMerge w:val="continue"/>
            <w:vAlign w:val="center"/>
          </w:tcPr>
          <w:p>
            <w:pPr>
              <w:spacing w:line="300" w:lineRule="exact"/>
              <w:jc w:val="left"/>
              <w:outlineLvl w:val="0"/>
            </w:pPr>
          </w:p>
        </w:tc>
        <w:tc>
          <w:tcPr>
            <w:tcW w:w="735"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630"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630"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04"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Align w:val="center"/>
          </w:tcPr>
          <w:p>
            <w:pPr>
              <w:spacing w:line="300" w:lineRule="exact"/>
              <w:jc w:val="left"/>
              <w:rPr>
                <w:rFonts w:ascii="方正书宋_GBK" w:eastAsia="方正书宋_GBK"/>
                <w:b/>
              </w:rPr>
            </w:pPr>
            <w:r>
              <w:rPr>
                <w:rFonts w:hint="eastAsia" w:ascii="方正书宋_GBK" w:eastAsia="方正书宋_GBK"/>
                <w:b/>
              </w:rPr>
              <w:t>一、机关事务管理</w:t>
            </w:r>
          </w:p>
        </w:tc>
        <w:tc>
          <w:tcPr>
            <w:tcW w:w="754" w:type="dxa"/>
            <w:vAlign w:val="center"/>
          </w:tcPr>
          <w:p>
            <w:pPr>
              <w:spacing w:line="300" w:lineRule="exact"/>
              <w:jc w:val="left"/>
              <w:rPr>
                <w:rFonts w:ascii="方正书宋_GBK" w:eastAsia="方正书宋_GBK"/>
              </w:rPr>
            </w:pPr>
          </w:p>
        </w:tc>
        <w:tc>
          <w:tcPr>
            <w:tcW w:w="1680" w:type="dxa"/>
            <w:vAlign w:val="center"/>
          </w:tcPr>
          <w:p>
            <w:pPr>
              <w:spacing w:line="300" w:lineRule="exact"/>
              <w:jc w:val="left"/>
              <w:rPr>
                <w:rFonts w:ascii="方正书宋_GBK" w:eastAsia="方正书宋_GBK"/>
              </w:rPr>
            </w:pPr>
            <w:r>
              <w:rPr>
                <w:rFonts w:hint="eastAsia" w:ascii="方正书宋_GBK" w:eastAsia="方正书宋_GBK"/>
              </w:rPr>
              <w:t>县直房地产管理，办公区域绿化、亮化管理，节能管理。</w:t>
            </w:r>
          </w:p>
        </w:tc>
        <w:tc>
          <w:tcPr>
            <w:tcW w:w="2921" w:type="dxa"/>
            <w:vAlign w:val="center"/>
          </w:tcPr>
          <w:p>
            <w:pPr>
              <w:spacing w:line="300" w:lineRule="exact"/>
              <w:jc w:val="left"/>
              <w:rPr>
                <w:rFonts w:ascii="方正书宋_GBK" w:eastAsia="方正书宋_GBK"/>
              </w:rPr>
            </w:pPr>
            <w:r>
              <w:rPr>
                <w:rFonts w:hint="eastAsia" w:ascii="方正书宋_GBK" w:eastAsia="方正书宋_GBK"/>
              </w:rPr>
              <w:t>搞好县行政中心办公用房维修服务；搞好院内绿化、亮化，维护国有资产安全；深入推进全县公共机构节能工作，降低运行成本，建设节约型机关。</w:t>
            </w:r>
          </w:p>
        </w:tc>
        <w:tc>
          <w:tcPr>
            <w:tcW w:w="649" w:type="dxa"/>
            <w:vAlign w:val="center"/>
          </w:tcPr>
          <w:p>
            <w:pPr>
              <w:spacing w:line="300" w:lineRule="exact"/>
              <w:jc w:val="left"/>
              <w:rPr>
                <w:rFonts w:ascii="方正书宋_GBK" w:eastAsia="方正书宋_GBK"/>
              </w:rPr>
            </w:pPr>
          </w:p>
        </w:tc>
        <w:tc>
          <w:tcPr>
            <w:tcW w:w="735"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p>
        </w:tc>
        <w:tc>
          <w:tcPr>
            <w:tcW w:w="804"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、县直房地产管理、资产、节能管理</w:t>
            </w:r>
          </w:p>
        </w:tc>
        <w:tc>
          <w:tcPr>
            <w:tcW w:w="754" w:type="dxa"/>
            <w:vMerge w:val="restart"/>
            <w:vAlign w:val="center"/>
          </w:tcPr>
          <w:p>
            <w:pPr>
              <w:spacing w:line="300" w:lineRule="exact"/>
              <w:jc w:val="left"/>
              <w:rPr>
                <w:rFonts w:ascii="方正书宋_GBK" w:eastAsia="方正书宋_GBK"/>
              </w:rPr>
            </w:pPr>
          </w:p>
        </w:tc>
        <w:tc>
          <w:tcPr>
            <w:tcW w:w="1680" w:type="dxa"/>
            <w:vMerge w:val="restart"/>
            <w:vAlign w:val="center"/>
          </w:tcPr>
          <w:p>
            <w:pPr>
              <w:spacing w:line="300" w:lineRule="exact"/>
              <w:jc w:val="left"/>
              <w:rPr>
                <w:rFonts w:ascii="方正书宋_GBK" w:eastAsia="方正书宋_GBK"/>
              </w:rPr>
            </w:pPr>
            <w:r>
              <w:rPr>
                <w:rFonts w:hint="eastAsia" w:ascii="方正书宋_GBK" w:eastAsia="方正书宋_GBK"/>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921" w:type="dxa"/>
            <w:vMerge w:val="restart"/>
            <w:vAlign w:val="center"/>
          </w:tcPr>
          <w:p>
            <w:pPr>
              <w:spacing w:line="300" w:lineRule="exact"/>
              <w:jc w:val="left"/>
              <w:rPr>
                <w:rFonts w:ascii="方正书宋_GBK" w:eastAsia="方正书宋_GBK"/>
              </w:rPr>
            </w:pPr>
            <w:r>
              <w:rPr>
                <w:rFonts w:hint="eastAsia" w:ascii="方正书宋_GBK" w:eastAsia="方正书宋_GBK"/>
              </w:rPr>
              <w:t>规范管理，合理使用，保障房屋安全；确保各种设施、设备运转正常。为县直广大干部职工提供优质、高效服务。深入推进全县公共机构节能工作，对既有建筑制定节能改造计划。</w:t>
            </w:r>
          </w:p>
        </w:tc>
        <w:tc>
          <w:tcPr>
            <w:tcW w:w="649" w:type="dxa"/>
            <w:vAlign w:val="center"/>
          </w:tcPr>
          <w:p>
            <w:pPr>
              <w:spacing w:line="300" w:lineRule="exact"/>
              <w:jc w:val="left"/>
              <w:rPr>
                <w:rFonts w:ascii="方正书宋_GBK" w:eastAsia="方正书宋_GBK"/>
              </w:rPr>
            </w:pPr>
            <w:r>
              <w:rPr>
                <w:rFonts w:hint="eastAsia" w:ascii="方正书宋_GBK" w:eastAsia="方正书宋_GBK"/>
              </w:rPr>
              <w:t>绿化、亮化保障率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continue"/>
            <w:vAlign w:val="center"/>
          </w:tcPr>
          <w:p>
            <w:pPr>
              <w:spacing w:line="300" w:lineRule="exact"/>
              <w:jc w:val="left"/>
              <w:rPr>
                <w:rFonts w:ascii="方正书宋_GBK" w:eastAsia="方正书宋_GBK"/>
                <w:b/>
              </w:rPr>
            </w:pPr>
          </w:p>
        </w:tc>
        <w:tc>
          <w:tcPr>
            <w:tcW w:w="754" w:type="dxa"/>
            <w:vMerge w:val="continue"/>
            <w:vAlign w:val="center"/>
          </w:tcPr>
          <w:p>
            <w:pPr>
              <w:spacing w:line="300" w:lineRule="exact"/>
              <w:jc w:val="left"/>
              <w:rPr>
                <w:rFonts w:ascii="方正书宋_GBK" w:eastAsia="方正书宋_GBK"/>
              </w:rPr>
            </w:pPr>
          </w:p>
        </w:tc>
        <w:tc>
          <w:tcPr>
            <w:tcW w:w="1680" w:type="dxa"/>
            <w:vMerge w:val="continue"/>
            <w:vAlign w:val="center"/>
          </w:tcPr>
          <w:p>
            <w:pPr>
              <w:spacing w:line="300" w:lineRule="exact"/>
              <w:jc w:val="left"/>
              <w:rPr>
                <w:rFonts w:ascii="方正书宋_GBK" w:eastAsia="方正书宋_GBK"/>
              </w:rPr>
            </w:pPr>
          </w:p>
        </w:tc>
        <w:tc>
          <w:tcPr>
            <w:tcW w:w="2921" w:type="dxa"/>
            <w:vMerge w:val="continue"/>
            <w:vAlign w:val="center"/>
          </w:tcPr>
          <w:p>
            <w:pPr>
              <w:spacing w:line="300" w:lineRule="exact"/>
              <w:jc w:val="left"/>
              <w:rPr>
                <w:rFonts w:ascii="方正书宋_GBK" w:eastAsia="方正书宋_GBK"/>
              </w:rPr>
            </w:pPr>
          </w:p>
        </w:tc>
        <w:tc>
          <w:tcPr>
            <w:tcW w:w="649" w:type="dxa"/>
            <w:vAlign w:val="center"/>
          </w:tcPr>
          <w:p>
            <w:pPr>
              <w:spacing w:line="300" w:lineRule="exact"/>
              <w:jc w:val="left"/>
              <w:rPr>
                <w:rFonts w:ascii="方正书宋_GBK" w:eastAsia="方正书宋_GBK"/>
              </w:rPr>
            </w:pPr>
            <w:r>
              <w:rPr>
                <w:rFonts w:hint="eastAsia" w:ascii="方正书宋_GBK" w:eastAsia="方正书宋_GBK"/>
              </w:rPr>
              <w:t>集中供热改造完成率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continue"/>
            <w:vAlign w:val="center"/>
          </w:tcPr>
          <w:p>
            <w:pPr>
              <w:spacing w:line="300" w:lineRule="exact"/>
              <w:jc w:val="left"/>
              <w:rPr>
                <w:rFonts w:ascii="方正书宋_GBK" w:eastAsia="方正书宋_GBK"/>
                <w:b/>
              </w:rPr>
            </w:pPr>
          </w:p>
        </w:tc>
        <w:tc>
          <w:tcPr>
            <w:tcW w:w="754" w:type="dxa"/>
            <w:vMerge w:val="continue"/>
            <w:vAlign w:val="center"/>
          </w:tcPr>
          <w:p>
            <w:pPr>
              <w:spacing w:line="300" w:lineRule="exact"/>
              <w:jc w:val="left"/>
              <w:rPr>
                <w:rFonts w:ascii="方正书宋_GBK" w:eastAsia="方正书宋_GBK"/>
              </w:rPr>
            </w:pPr>
          </w:p>
        </w:tc>
        <w:tc>
          <w:tcPr>
            <w:tcW w:w="1680" w:type="dxa"/>
            <w:vMerge w:val="continue"/>
            <w:vAlign w:val="center"/>
          </w:tcPr>
          <w:p>
            <w:pPr>
              <w:spacing w:line="300" w:lineRule="exact"/>
              <w:jc w:val="left"/>
              <w:rPr>
                <w:rFonts w:ascii="方正书宋_GBK" w:eastAsia="方正书宋_GBK"/>
              </w:rPr>
            </w:pPr>
          </w:p>
        </w:tc>
        <w:tc>
          <w:tcPr>
            <w:tcW w:w="2921" w:type="dxa"/>
            <w:vMerge w:val="continue"/>
            <w:vAlign w:val="center"/>
          </w:tcPr>
          <w:p>
            <w:pPr>
              <w:spacing w:line="300" w:lineRule="exact"/>
              <w:jc w:val="left"/>
              <w:rPr>
                <w:rFonts w:ascii="方正书宋_GBK" w:eastAsia="方正书宋_GBK"/>
              </w:rPr>
            </w:pPr>
          </w:p>
        </w:tc>
        <w:tc>
          <w:tcPr>
            <w:tcW w:w="649" w:type="dxa"/>
            <w:vAlign w:val="center"/>
          </w:tcPr>
          <w:p>
            <w:pPr>
              <w:spacing w:line="300" w:lineRule="exact"/>
              <w:jc w:val="left"/>
              <w:rPr>
                <w:rFonts w:ascii="方正书宋_GBK" w:eastAsia="方正书宋_GBK"/>
              </w:rPr>
            </w:pPr>
            <w:r>
              <w:rPr>
                <w:rFonts w:hint="eastAsia" w:ascii="方正书宋_GBK" w:eastAsia="方正书宋_GBK"/>
              </w:rPr>
              <w:t>公车统计报告率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continue"/>
            <w:vAlign w:val="center"/>
          </w:tcPr>
          <w:p>
            <w:pPr>
              <w:spacing w:line="300" w:lineRule="exact"/>
              <w:jc w:val="left"/>
              <w:rPr>
                <w:rFonts w:ascii="方正书宋_GBK" w:eastAsia="方正书宋_GBK"/>
                <w:b/>
              </w:rPr>
            </w:pPr>
          </w:p>
        </w:tc>
        <w:tc>
          <w:tcPr>
            <w:tcW w:w="754" w:type="dxa"/>
            <w:vMerge w:val="continue"/>
            <w:vAlign w:val="center"/>
          </w:tcPr>
          <w:p>
            <w:pPr>
              <w:spacing w:line="300" w:lineRule="exact"/>
              <w:jc w:val="left"/>
              <w:rPr>
                <w:rFonts w:ascii="方正书宋_GBK" w:eastAsia="方正书宋_GBK"/>
              </w:rPr>
            </w:pPr>
          </w:p>
        </w:tc>
        <w:tc>
          <w:tcPr>
            <w:tcW w:w="1680" w:type="dxa"/>
            <w:vMerge w:val="continue"/>
            <w:vAlign w:val="center"/>
          </w:tcPr>
          <w:p>
            <w:pPr>
              <w:spacing w:line="300" w:lineRule="exact"/>
              <w:jc w:val="left"/>
              <w:rPr>
                <w:rFonts w:ascii="方正书宋_GBK" w:eastAsia="方正书宋_GBK"/>
              </w:rPr>
            </w:pPr>
          </w:p>
        </w:tc>
        <w:tc>
          <w:tcPr>
            <w:tcW w:w="2921" w:type="dxa"/>
            <w:vMerge w:val="continue"/>
            <w:vAlign w:val="center"/>
          </w:tcPr>
          <w:p>
            <w:pPr>
              <w:spacing w:line="300" w:lineRule="exact"/>
              <w:jc w:val="left"/>
              <w:rPr>
                <w:rFonts w:ascii="方正书宋_GBK" w:eastAsia="方正书宋_GBK"/>
              </w:rPr>
            </w:pPr>
          </w:p>
        </w:tc>
        <w:tc>
          <w:tcPr>
            <w:tcW w:w="649" w:type="dxa"/>
            <w:vAlign w:val="center"/>
          </w:tcPr>
          <w:p>
            <w:pPr>
              <w:spacing w:line="300" w:lineRule="exact"/>
              <w:jc w:val="left"/>
              <w:rPr>
                <w:rFonts w:ascii="方正书宋_GBK" w:eastAsia="方正书宋_GBK"/>
              </w:rPr>
            </w:pPr>
            <w:r>
              <w:rPr>
                <w:rFonts w:hint="eastAsia" w:ascii="方正书宋_GBK" w:eastAsia="方正书宋_GBK"/>
              </w:rPr>
              <w:t>公共机构节能推进率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continue"/>
            <w:vAlign w:val="center"/>
          </w:tcPr>
          <w:p>
            <w:pPr>
              <w:spacing w:line="300" w:lineRule="exact"/>
              <w:jc w:val="left"/>
              <w:rPr>
                <w:rFonts w:ascii="方正书宋_GBK" w:eastAsia="方正书宋_GBK"/>
                <w:b/>
              </w:rPr>
            </w:pPr>
          </w:p>
        </w:tc>
        <w:tc>
          <w:tcPr>
            <w:tcW w:w="754" w:type="dxa"/>
            <w:vMerge w:val="continue"/>
            <w:vAlign w:val="center"/>
          </w:tcPr>
          <w:p>
            <w:pPr>
              <w:spacing w:line="300" w:lineRule="exact"/>
              <w:jc w:val="left"/>
              <w:rPr>
                <w:rFonts w:ascii="方正书宋_GBK" w:eastAsia="方正书宋_GBK"/>
              </w:rPr>
            </w:pPr>
          </w:p>
        </w:tc>
        <w:tc>
          <w:tcPr>
            <w:tcW w:w="1680" w:type="dxa"/>
            <w:vMerge w:val="continue"/>
            <w:vAlign w:val="center"/>
          </w:tcPr>
          <w:p>
            <w:pPr>
              <w:spacing w:line="300" w:lineRule="exact"/>
              <w:jc w:val="left"/>
              <w:rPr>
                <w:rFonts w:ascii="方正书宋_GBK" w:eastAsia="方正书宋_GBK"/>
              </w:rPr>
            </w:pPr>
          </w:p>
        </w:tc>
        <w:tc>
          <w:tcPr>
            <w:tcW w:w="2921" w:type="dxa"/>
            <w:vMerge w:val="continue"/>
            <w:vAlign w:val="center"/>
          </w:tcPr>
          <w:p>
            <w:pPr>
              <w:spacing w:line="300" w:lineRule="exact"/>
              <w:jc w:val="left"/>
              <w:rPr>
                <w:rFonts w:ascii="方正书宋_GBK" w:eastAsia="方正书宋_GBK"/>
              </w:rPr>
            </w:pPr>
          </w:p>
        </w:tc>
        <w:tc>
          <w:tcPr>
            <w:tcW w:w="649" w:type="dxa"/>
            <w:vAlign w:val="center"/>
          </w:tcPr>
          <w:p>
            <w:pPr>
              <w:spacing w:line="300" w:lineRule="exact"/>
              <w:jc w:val="left"/>
              <w:rPr>
                <w:rFonts w:ascii="方正书宋_GBK" w:eastAsia="方正书宋_GBK"/>
              </w:rPr>
            </w:pPr>
            <w:r>
              <w:rPr>
                <w:rFonts w:hint="eastAsia" w:ascii="方正书宋_GBK" w:eastAsia="方正书宋_GBK"/>
              </w:rPr>
              <w:t>办公用房修缮改造完成率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Align w:val="center"/>
          </w:tcPr>
          <w:p>
            <w:pPr>
              <w:spacing w:line="300" w:lineRule="exact"/>
              <w:jc w:val="left"/>
              <w:rPr>
                <w:rFonts w:ascii="方正书宋_GBK" w:eastAsia="方正书宋_GBK"/>
                <w:b/>
              </w:rPr>
            </w:pPr>
            <w:r>
              <w:rPr>
                <w:rFonts w:hint="eastAsia" w:ascii="方正书宋_GBK" w:eastAsia="方正书宋_GBK"/>
                <w:b/>
              </w:rPr>
              <w:t>二、综合服务保障</w:t>
            </w:r>
          </w:p>
        </w:tc>
        <w:tc>
          <w:tcPr>
            <w:tcW w:w="754" w:type="dxa"/>
            <w:vAlign w:val="center"/>
          </w:tcPr>
          <w:p>
            <w:pPr>
              <w:spacing w:line="300" w:lineRule="exact"/>
              <w:jc w:val="left"/>
              <w:rPr>
                <w:rFonts w:ascii="方正书宋_GBK" w:eastAsia="方正书宋_GBK"/>
              </w:rPr>
            </w:pPr>
          </w:p>
        </w:tc>
        <w:tc>
          <w:tcPr>
            <w:tcW w:w="1680" w:type="dxa"/>
            <w:vAlign w:val="center"/>
          </w:tcPr>
          <w:p>
            <w:pPr>
              <w:spacing w:line="300" w:lineRule="exact"/>
              <w:jc w:val="left"/>
              <w:rPr>
                <w:rFonts w:ascii="方正书宋_GBK" w:eastAsia="方正书宋_GBK"/>
              </w:rPr>
            </w:pPr>
            <w:r>
              <w:rPr>
                <w:rFonts w:hint="eastAsia" w:ascii="方正书宋_GBK" w:eastAsia="方正书宋_GBK"/>
              </w:rPr>
              <w:t>水、电、暖保障；对保安人员加强管理，加强对理发室人员、机关食堂及食堂工作人员的管理，加强对县级领导生活服务管理。</w:t>
            </w:r>
          </w:p>
        </w:tc>
        <w:tc>
          <w:tcPr>
            <w:tcW w:w="2921" w:type="dxa"/>
            <w:vAlign w:val="center"/>
          </w:tcPr>
          <w:p>
            <w:pPr>
              <w:spacing w:line="300" w:lineRule="exact"/>
              <w:jc w:val="left"/>
              <w:rPr>
                <w:rFonts w:ascii="方正书宋_GBK" w:eastAsia="方正书宋_GBK"/>
              </w:rPr>
            </w:pPr>
            <w:r>
              <w:rPr>
                <w:rFonts w:hint="eastAsia" w:ascii="方正书宋_GBK" w:eastAsia="方正书宋_GBK"/>
              </w:rPr>
              <w:t>保障机关后勤工作，保障正常工作秩序，保障搞好各种服务保障</w:t>
            </w:r>
            <w:r>
              <w:rPr>
                <w:rFonts w:ascii="方正书宋_GBK" w:eastAsia="方正书宋_GBK"/>
              </w:rPr>
              <w:t>,</w:t>
            </w:r>
            <w:r>
              <w:rPr>
                <w:rFonts w:hint="eastAsia" w:ascii="方正书宋_GBK" w:eastAsia="方正书宋_GBK"/>
              </w:rPr>
              <w:t>服务周到。</w:t>
            </w:r>
          </w:p>
        </w:tc>
        <w:tc>
          <w:tcPr>
            <w:tcW w:w="649" w:type="dxa"/>
            <w:vAlign w:val="center"/>
          </w:tcPr>
          <w:p>
            <w:pPr>
              <w:spacing w:line="300" w:lineRule="exact"/>
              <w:jc w:val="left"/>
              <w:rPr>
                <w:rFonts w:ascii="方正书宋_GBK" w:eastAsia="方正书宋_GBK"/>
              </w:rPr>
            </w:pPr>
          </w:p>
        </w:tc>
        <w:tc>
          <w:tcPr>
            <w:tcW w:w="735"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p>
        </w:tc>
        <w:tc>
          <w:tcPr>
            <w:tcW w:w="804"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、县直通信管理和保障</w:t>
            </w:r>
          </w:p>
        </w:tc>
        <w:tc>
          <w:tcPr>
            <w:tcW w:w="754" w:type="dxa"/>
            <w:vMerge w:val="restart"/>
            <w:vAlign w:val="center"/>
          </w:tcPr>
          <w:p>
            <w:pPr>
              <w:spacing w:line="300" w:lineRule="exact"/>
              <w:jc w:val="left"/>
              <w:rPr>
                <w:rFonts w:ascii="方正书宋_GBK" w:eastAsia="方正书宋_GBK"/>
              </w:rPr>
            </w:pPr>
          </w:p>
        </w:tc>
        <w:tc>
          <w:tcPr>
            <w:tcW w:w="1680" w:type="dxa"/>
            <w:vMerge w:val="restart"/>
            <w:vAlign w:val="center"/>
          </w:tcPr>
          <w:p>
            <w:pPr>
              <w:spacing w:line="300" w:lineRule="exact"/>
              <w:jc w:val="left"/>
              <w:rPr>
                <w:rFonts w:ascii="方正书宋_GBK" w:eastAsia="方正书宋_GBK"/>
              </w:rPr>
            </w:pPr>
            <w:r>
              <w:rPr>
                <w:rFonts w:hint="eastAsia" w:ascii="方正书宋_GBK" w:eastAsia="方正书宋_GBK"/>
              </w:rPr>
              <w:t>负责县委、县人大常委会、县政府、县政协、县法院、县检察院机关及部分县直单位的通信管理和保障工作。承担县级领导一号台通信保障。负责线路维修和通信综合楼管理。</w:t>
            </w:r>
          </w:p>
        </w:tc>
        <w:tc>
          <w:tcPr>
            <w:tcW w:w="2921" w:type="dxa"/>
            <w:vMerge w:val="restart"/>
            <w:vAlign w:val="center"/>
          </w:tcPr>
          <w:p>
            <w:pPr>
              <w:spacing w:line="300" w:lineRule="exact"/>
              <w:jc w:val="left"/>
              <w:rPr>
                <w:rFonts w:ascii="方正书宋_GBK" w:eastAsia="方正书宋_GBK"/>
              </w:rPr>
            </w:pPr>
            <w:r>
              <w:rPr>
                <w:rFonts w:hint="eastAsia" w:ascii="方正书宋_GBK" w:eastAsia="方正书宋_GBK"/>
              </w:rPr>
              <w:t>确保水、电、暖正常供应。提高保安人员素质，严格落实来人来访登记制度。</w:t>
            </w:r>
          </w:p>
        </w:tc>
        <w:tc>
          <w:tcPr>
            <w:tcW w:w="649" w:type="dxa"/>
            <w:vAlign w:val="center"/>
          </w:tcPr>
          <w:p>
            <w:pPr>
              <w:spacing w:line="300" w:lineRule="exact"/>
              <w:jc w:val="left"/>
              <w:rPr>
                <w:rFonts w:ascii="方正书宋_GBK" w:eastAsia="方正书宋_GBK"/>
              </w:rPr>
            </w:pPr>
            <w:r>
              <w:rPr>
                <w:rFonts w:hint="eastAsia" w:ascii="方正书宋_GBK" w:eastAsia="方正书宋_GBK"/>
              </w:rPr>
              <w:t>来人来访登记率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Merge w:val="continue"/>
            <w:vAlign w:val="center"/>
          </w:tcPr>
          <w:p>
            <w:pPr>
              <w:spacing w:line="300" w:lineRule="exact"/>
              <w:jc w:val="left"/>
              <w:rPr>
                <w:rFonts w:ascii="方正书宋_GBK" w:eastAsia="方正书宋_GBK"/>
                <w:b/>
              </w:rPr>
            </w:pPr>
          </w:p>
        </w:tc>
        <w:tc>
          <w:tcPr>
            <w:tcW w:w="754" w:type="dxa"/>
            <w:vMerge w:val="continue"/>
            <w:vAlign w:val="center"/>
          </w:tcPr>
          <w:p>
            <w:pPr>
              <w:spacing w:line="300" w:lineRule="exact"/>
              <w:jc w:val="left"/>
              <w:rPr>
                <w:rFonts w:ascii="方正书宋_GBK" w:eastAsia="方正书宋_GBK"/>
              </w:rPr>
            </w:pPr>
          </w:p>
        </w:tc>
        <w:tc>
          <w:tcPr>
            <w:tcW w:w="1680" w:type="dxa"/>
            <w:vMerge w:val="continue"/>
            <w:vAlign w:val="center"/>
          </w:tcPr>
          <w:p>
            <w:pPr>
              <w:spacing w:line="300" w:lineRule="exact"/>
              <w:jc w:val="left"/>
              <w:rPr>
                <w:rFonts w:ascii="方正书宋_GBK" w:eastAsia="方正书宋_GBK"/>
              </w:rPr>
            </w:pPr>
          </w:p>
        </w:tc>
        <w:tc>
          <w:tcPr>
            <w:tcW w:w="2921" w:type="dxa"/>
            <w:vMerge w:val="continue"/>
            <w:vAlign w:val="center"/>
          </w:tcPr>
          <w:p>
            <w:pPr>
              <w:spacing w:line="300" w:lineRule="exact"/>
              <w:jc w:val="left"/>
              <w:rPr>
                <w:rFonts w:ascii="方正书宋_GBK" w:eastAsia="方正书宋_GBK"/>
              </w:rPr>
            </w:pPr>
          </w:p>
        </w:tc>
        <w:tc>
          <w:tcPr>
            <w:tcW w:w="649" w:type="dxa"/>
            <w:vAlign w:val="center"/>
          </w:tcPr>
          <w:p>
            <w:pPr>
              <w:spacing w:line="300" w:lineRule="exact"/>
              <w:jc w:val="left"/>
              <w:rPr>
                <w:rFonts w:ascii="方正书宋_GBK" w:eastAsia="方正书宋_GBK"/>
              </w:rPr>
            </w:pPr>
            <w:r>
              <w:rPr>
                <w:rFonts w:hint="eastAsia" w:ascii="方正书宋_GBK" w:eastAsia="方正书宋_GBK"/>
              </w:rPr>
              <w:t>水、电、暖正常供应率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、县级领导生活服务管理</w:t>
            </w:r>
          </w:p>
        </w:tc>
        <w:tc>
          <w:tcPr>
            <w:tcW w:w="754" w:type="dxa"/>
            <w:vAlign w:val="center"/>
          </w:tcPr>
          <w:p>
            <w:pPr>
              <w:spacing w:line="300" w:lineRule="exact"/>
              <w:jc w:val="left"/>
              <w:rPr>
                <w:rFonts w:ascii="方正书宋_GBK" w:eastAsia="方正书宋_GBK"/>
              </w:rPr>
            </w:pPr>
          </w:p>
        </w:tc>
        <w:tc>
          <w:tcPr>
            <w:tcW w:w="1680" w:type="dxa"/>
            <w:vAlign w:val="center"/>
          </w:tcPr>
          <w:p>
            <w:pPr>
              <w:spacing w:line="300" w:lineRule="exact"/>
              <w:jc w:val="left"/>
              <w:rPr>
                <w:rFonts w:ascii="方正书宋_GBK" w:eastAsia="方正书宋_GBK"/>
              </w:rPr>
            </w:pPr>
            <w:r>
              <w:rPr>
                <w:rFonts w:hint="eastAsia" w:ascii="方正书宋_GBK" w:eastAsia="方正书宋_GBK"/>
              </w:rPr>
              <w:t>县级领导同志、已退出领导岗位的县级领导同志及有关服务对象的生活服务管理。</w:t>
            </w:r>
          </w:p>
        </w:tc>
        <w:tc>
          <w:tcPr>
            <w:tcW w:w="2921" w:type="dxa"/>
            <w:vAlign w:val="center"/>
          </w:tcPr>
          <w:p>
            <w:pPr>
              <w:spacing w:line="300" w:lineRule="exact"/>
              <w:jc w:val="left"/>
              <w:rPr>
                <w:rFonts w:ascii="方正书宋_GBK" w:eastAsia="方正书宋_GBK"/>
              </w:rPr>
            </w:pPr>
            <w:r>
              <w:rPr>
                <w:rFonts w:hint="eastAsia" w:ascii="方正书宋_GBK" w:eastAsia="方正书宋_GBK"/>
              </w:rPr>
              <w:t>提高理发室工作人员及食堂工作人员素质，进一步提高生活服务管理水平，让领导满意。</w:t>
            </w:r>
          </w:p>
        </w:tc>
        <w:tc>
          <w:tcPr>
            <w:tcW w:w="649" w:type="dxa"/>
            <w:vAlign w:val="center"/>
          </w:tcPr>
          <w:p>
            <w:pPr>
              <w:spacing w:line="300" w:lineRule="exact"/>
              <w:jc w:val="left"/>
              <w:rPr>
                <w:rFonts w:ascii="方正书宋_GBK" w:eastAsia="方正书宋_GBK"/>
              </w:rPr>
            </w:pPr>
            <w:r>
              <w:rPr>
                <w:rFonts w:hint="eastAsia" w:ascii="方正书宋_GBK" w:eastAsia="方正书宋_GBK"/>
              </w:rPr>
              <w:t>领导满意率</w:t>
            </w:r>
          </w:p>
        </w:tc>
        <w:tc>
          <w:tcPr>
            <w:tcW w:w="735"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Align w:val="center"/>
          </w:tcPr>
          <w:p>
            <w:pPr>
              <w:spacing w:line="300" w:lineRule="exact"/>
              <w:jc w:val="left"/>
              <w:rPr>
                <w:rFonts w:ascii="方正书宋_GBK" w:eastAsia="方正书宋_GBK"/>
                <w:b/>
              </w:rPr>
            </w:pPr>
            <w:r>
              <w:rPr>
                <w:rFonts w:hint="eastAsia" w:ascii="方正书宋_GBK" w:eastAsia="方正书宋_GBK"/>
                <w:b/>
              </w:rPr>
              <w:t>三、政务管理</w:t>
            </w:r>
          </w:p>
        </w:tc>
        <w:tc>
          <w:tcPr>
            <w:tcW w:w="754" w:type="dxa"/>
            <w:vAlign w:val="center"/>
          </w:tcPr>
          <w:p>
            <w:pPr>
              <w:spacing w:line="300" w:lineRule="exact"/>
              <w:jc w:val="left"/>
              <w:rPr>
                <w:rFonts w:ascii="方正书宋_GBK" w:eastAsia="方正书宋_GBK"/>
              </w:rPr>
            </w:pPr>
            <w:r>
              <w:rPr>
                <w:rFonts w:ascii="方正书宋_GBK" w:eastAsia="方正书宋_GBK"/>
              </w:rPr>
              <w:t>391.93</w:t>
            </w:r>
          </w:p>
        </w:tc>
        <w:tc>
          <w:tcPr>
            <w:tcW w:w="1680" w:type="dxa"/>
            <w:vAlign w:val="center"/>
          </w:tcPr>
          <w:p>
            <w:pPr>
              <w:spacing w:line="300" w:lineRule="exact"/>
              <w:jc w:val="left"/>
              <w:rPr>
                <w:rFonts w:ascii="方正书宋_GBK" w:eastAsia="方正书宋_GBK"/>
              </w:rPr>
            </w:pPr>
            <w:r>
              <w:rPr>
                <w:rFonts w:hint="eastAsia" w:ascii="方正书宋_GBK" w:eastAsia="方正书宋_GBK"/>
              </w:rPr>
              <w:t>承担系统综合业务管理和部门综合事务管理。</w:t>
            </w:r>
          </w:p>
        </w:tc>
        <w:tc>
          <w:tcPr>
            <w:tcW w:w="2921" w:type="dxa"/>
            <w:vAlign w:val="center"/>
          </w:tcPr>
          <w:p>
            <w:pPr>
              <w:spacing w:line="300" w:lineRule="exact"/>
              <w:jc w:val="left"/>
              <w:rPr>
                <w:rFonts w:ascii="方正书宋_GBK" w:eastAsia="方正书宋_GBK"/>
              </w:rPr>
            </w:pPr>
            <w:r>
              <w:rPr>
                <w:rFonts w:hint="eastAsia" w:ascii="方正书宋_GBK" w:eastAsia="方正书宋_GBK"/>
              </w:rPr>
              <w:t>促进全县机关事务管理工作科学发展。</w:t>
            </w:r>
          </w:p>
        </w:tc>
        <w:tc>
          <w:tcPr>
            <w:tcW w:w="649" w:type="dxa"/>
            <w:vAlign w:val="center"/>
          </w:tcPr>
          <w:p>
            <w:pPr>
              <w:spacing w:line="300" w:lineRule="exact"/>
              <w:jc w:val="left"/>
              <w:rPr>
                <w:rFonts w:ascii="方正书宋_GBK" w:eastAsia="方正书宋_GBK"/>
              </w:rPr>
            </w:pPr>
          </w:p>
        </w:tc>
        <w:tc>
          <w:tcPr>
            <w:tcW w:w="735"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p>
        </w:tc>
        <w:tc>
          <w:tcPr>
            <w:tcW w:w="804"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754" w:type="dxa"/>
            <w:vAlign w:val="center"/>
          </w:tcPr>
          <w:p>
            <w:pPr>
              <w:spacing w:line="300" w:lineRule="exact"/>
              <w:jc w:val="left"/>
              <w:rPr>
                <w:rFonts w:ascii="方正书宋_GBK" w:eastAsia="方正书宋_GBK"/>
              </w:rPr>
            </w:pPr>
          </w:p>
        </w:tc>
        <w:tc>
          <w:tcPr>
            <w:tcW w:w="1680" w:type="dxa"/>
            <w:vAlign w:val="center"/>
          </w:tcPr>
          <w:p>
            <w:pPr>
              <w:spacing w:line="300" w:lineRule="exact"/>
              <w:jc w:val="left"/>
              <w:rPr>
                <w:rFonts w:ascii="方正书宋_GBK" w:eastAsia="方正书宋_GBK"/>
              </w:rPr>
            </w:pPr>
            <w:r>
              <w:rPr>
                <w:rFonts w:hint="eastAsia" w:ascii="方正书宋_GBK" w:eastAsia="方正书宋_GBK"/>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921" w:type="dxa"/>
            <w:vAlign w:val="center"/>
          </w:tcPr>
          <w:p>
            <w:pPr>
              <w:spacing w:line="300" w:lineRule="exact"/>
              <w:jc w:val="left"/>
              <w:rPr>
                <w:rFonts w:ascii="方正书宋_GBK" w:eastAsia="方正书宋_GBK"/>
              </w:rPr>
            </w:pPr>
            <w:r>
              <w:rPr>
                <w:rFonts w:hint="eastAsia" w:ascii="方正书宋_GBK" w:eastAsia="方正书宋_GBK"/>
              </w:rPr>
              <w:t>推进全县机关事务管理工作科学发展；提高管理、保障、服务水平；协调推进改革进程，理顺全县机关事务管理工作体制。</w:t>
            </w:r>
          </w:p>
        </w:tc>
        <w:tc>
          <w:tcPr>
            <w:tcW w:w="649"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5" w:type="dxa"/>
            <w:vAlign w:val="center"/>
          </w:tcPr>
          <w:p>
            <w:pPr>
              <w:spacing w:line="300" w:lineRule="exact"/>
              <w:jc w:val="center"/>
              <w:rPr>
                <w:rFonts w:ascii="方正书宋_GBK" w:eastAsia="方正书宋_GBK"/>
              </w:rPr>
            </w:pPr>
            <w:r>
              <w:rPr>
                <w:rFonts w:ascii="方正书宋_GBK" w:eastAsia="方正书宋_GBK"/>
              </w:rPr>
              <w:t>100%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5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754" w:type="dxa"/>
            <w:vAlign w:val="center"/>
          </w:tcPr>
          <w:p>
            <w:pPr>
              <w:spacing w:line="300" w:lineRule="exact"/>
              <w:jc w:val="left"/>
              <w:rPr>
                <w:rFonts w:ascii="方正书宋_GBK" w:eastAsia="方正书宋_GBK"/>
              </w:rPr>
            </w:pPr>
            <w:r>
              <w:rPr>
                <w:rFonts w:ascii="方正书宋_GBK" w:eastAsia="方正书宋_GBK"/>
              </w:rPr>
              <w:t>391.93</w:t>
            </w:r>
          </w:p>
        </w:tc>
        <w:tc>
          <w:tcPr>
            <w:tcW w:w="1680" w:type="dxa"/>
            <w:vAlign w:val="center"/>
          </w:tcPr>
          <w:p>
            <w:pPr>
              <w:spacing w:line="300" w:lineRule="exact"/>
              <w:jc w:val="left"/>
              <w:rPr>
                <w:rFonts w:ascii="方正书宋_GBK" w:eastAsia="方正书宋_GBK"/>
              </w:rPr>
            </w:pPr>
            <w:r>
              <w:rPr>
                <w:rFonts w:hint="eastAsia" w:ascii="方正书宋_GBK" w:eastAsia="方正书宋_GBK"/>
              </w:rPr>
              <w:t>管理局机关网络建设、运转维护和电子政务；机关标准化建设、保密、档案以及政务接待、会务。办公楼物业管理和机关食堂管理；机关办公楼修缮、供水、供电、供暖以及机关环境绿化美化、卫生保洁、安全保卫。离退休干部慰问。党组织活动。机关事业单位财务管理工作及内部审计工作。</w:t>
            </w:r>
          </w:p>
        </w:tc>
        <w:tc>
          <w:tcPr>
            <w:tcW w:w="2921" w:type="dxa"/>
            <w:vAlign w:val="center"/>
          </w:tcPr>
          <w:p>
            <w:pPr>
              <w:spacing w:line="300" w:lineRule="exact"/>
              <w:jc w:val="left"/>
              <w:rPr>
                <w:rFonts w:ascii="方正书宋_GBK" w:eastAsia="方正书宋_GBK"/>
              </w:rPr>
            </w:pPr>
            <w:r>
              <w:rPr>
                <w:rFonts w:hint="eastAsia" w:ascii="方正书宋_GBK" w:eastAsia="方正书宋_GBK"/>
              </w:rPr>
              <w:t>提高人员素质；推进县直机关事业单位办公环境改善。搞好服务保障，为广大干部职工提供安全、快捷、细致、周到的工作环境；加强财务管理，确保资金安全，提高财政资金使用效益。</w:t>
            </w:r>
          </w:p>
        </w:tc>
        <w:tc>
          <w:tcPr>
            <w:tcW w:w="649"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5" w:type="dxa"/>
            <w:vAlign w:val="center"/>
          </w:tcPr>
          <w:p>
            <w:pPr>
              <w:spacing w:line="300" w:lineRule="exact"/>
              <w:jc w:val="center"/>
              <w:rPr>
                <w:rFonts w:ascii="方正书宋_GBK" w:eastAsia="方正书宋_GBK"/>
              </w:rPr>
            </w:pPr>
            <w:r>
              <w:rPr>
                <w:rFonts w:ascii="方正书宋_GBK" w:eastAsia="方正书宋_GBK"/>
              </w:rPr>
              <w:t>100%</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04"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131.54</w:t>
      </w:r>
      <w:r>
        <w:rPr>
          <w:rFonts w:hint="eastAsia" w:ascii="仿宋_GB2312" w:eastAsia="仿宋_GB2312" w:cs="DengXian-Regular"/>
          <w:sz w:val="32"/>
          <w:szCs w:val="32"/>
        </w:rPr>
        <w:t>万元，较年初预算数</w:t>
      </w:r>
      <w:r>
        <w:rPr>
          <w:rFonts w:hint="eastAsia" w:eastAsia="仿宋_GB2312"/>
          <w:sz w:val="32"/>
          <w:szCs w:val="32"/>
        </w:rPr>
        <w:t>增加</w:t>
      </w:r>
      <w:r>
        <w:rPr>
          <w:rFonts w:eastAsia="仿宋_GB2312"/>
          <w:sz w:val="32"/>
          <w:szCs w:val="32"/>
        </w:rPr>
        <w:t>50.04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增长主要是</w:t>
      </w:r>
      <w:r>
        <w:rPr>
          <w:rFonts w:hint="eastAsia" w:eastAsia="仿宋_GB2312"/>
          <w:sz w:val="32"/>
          <w:szCs w:val="32"/>
        </w:rPr>
        <w:t>人员经费增加</w:t>
      </w:r>
      <w:r>
        <w:rPr>
          <w:rFonts w:hint="eastAsia" w:eastAsia="仿宋_GB2312"/>
          <w:sz w:val="32"/>
          <w:szCs w:val="32"/>
          <w:lang w:eastAsia="zh-CN"/>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w:t>
      </w:r>
      <w:r>
        <w:rPr>
          <w:rFonts w:eastAsia="仿宋_GB2312"/>
          <w:sz w:val="32"/>
          <w:szCs w:val="32"/>
        </w:rPr>
        <w:t>73.89</w:t>
      </w:r>
      <w:r>
        <w:rPr>
          <w:rFonts w:hint="eastAsia" w:eastAsia="仿宋_GB2312"/>
          <w:sz w:val="32"/>
          <w:szCs w:val="32"/>
        </w:rPr>
        <w:t>万元，增长</w:t>
      </w:r>
      <w:r>
        <w:rPr>
          <w:rFonts w:eastAsia="仿宋_GB2312"/>
          <w:sz w:val="32"/>
          <w:szCs w:val="32"/>
        </w:rPr>
        <w:t>90.66%</w:t>
      </w:r>
      <w:r>
        <w:rPr>
          <w:rFonts w:hint="eastAsia" w:eastAsia="仿宋_GB2312"/>
          <w:sz w:val="32"/>
          <w:szCs w:val="32"/>
        </w:rPr>
        <w:t>，主要是</w:t>
      </w:r>
      <w:r>
        <w:rPr>
          <w:rFonts w:eastAsia="仿宋_GB2312"/>
          <w:sz w:val="32"/>
          <w:szCs w:val="32"/>
        </w:rPr>
        <w:t>2018</w:t>
      </w:r>
      <w:r>
        <w:rPr>
          <w:rFonts w:hint="eastAsia" w:eastAsia="仿宋_GB2312"/>
          <w:sz w:val="32"/>
          <w:szCs w:val="32"/>
        </w:rPr>
        <w:t>年机关工作量较大，人员经费增加。</w:t>
      </w:r>
    </w:p>
    <w:p>
      <w:pPr>
        <w:pStyle w:val="4"/>
        <w:numPr>
          <w:ilvl w:val="0"/>
          <w:numId w:val="3"/>
        </w:numPr>
        <w:spacing w:before="0" w:after="0" w:line="580" w:lineRule="exact"/>
        <w:ind w:left="0" w:leftChars="0" w:firstLine="643" w:firstLineChars="200"/>
        <w:rPr>
          <w:rFonts w:hint="eastAsia" w:ascii="楷体_GB2312" w:eastAsia="楷体_GB2312" w:cs="DengXian-Bold"/>
        </w:rPr>
      </w:pPr>
      <w:r>
        <w:rPr>
          <w:rFonts w:hint="eastAsia" w:ascii="楷体_GB2312" w:eastAsia="楷体_GB2312" w:cs="DengXian-Bold"/>
        </w:rPr>
        <w:t>政府采购情况</w:t>
      </w:r>
    </w:p>
    <w:p>
      <w:pPr>
        <w:numPr>
          <w:ilvl w:val="0"/>
          <w:numId w:val="0"/>
        </w:numPr>
        <w:ind w:leftChars="200" w:firstLine="640" w:firstLineChars="200"/>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313.83</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1.34</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169</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143.49</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143.49</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45.72</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1.34</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0.43</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0</w:t>
      </w:r>
      <w:r>
        <w:rPr>
          <w:rFonts w:hint="eastAsia" w:ascii="仿宋_GB2312" w:eastAsia="仿宋_GB2312" w:cs="DengXian-Regular"/>
          <w:sz w:val="32"/>
          <w:szCs w:val="32"/>
        </w:rPr>
        <w:t>辆，较上年无增减变化。单位价值</w:t>
      </w:r>
      <w:r>
        <w:rPr>
          <w:rFonts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台（套），较上年无增减变化。按要求空表列示。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年度结转资金</w:t>
      </w:r>
      <w:r>
        <w:rPr>
          <w:rFonts w:ascii="仿宋_GB2312" w:eastAsia="仿宋_GB2312" w:cs="DengXian-Regular"/>
          <w:sz w:val="32"/>
          <w:szCs w:val="32"/>
        </w:rPr>
        <w:t>242.57</w:t>
      </w:r>
      <w:r>
        <w:rPr>
          <w:rFonts w:hint="eastAsia" w:ascii="仿宋_GB2312" w:eastAsia="仿宋_GB2312" w:cs="DengXian-Regular"/>
          <w:sz w:val="32"/>
          <w:szCs w:val="32"/>
        </w:rPr>
        <w:t>万元，结转资金为人员增资补助及部分项目资金。</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5"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5"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ascii="仿宋_GB2312" w:eastAsia="仿宋_GB2312"/>
          <w:b/>
          <w:bCs/>
          <w:color w:val="000000"/>
          <w:kern w:val="0"/>
          <w:sz w:val="32"/>
          <w:szCs w:val="32"/>
        </w:rPr>
        <w:t>:</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小标宋_GBK">
    <w:altName w:val="黑体"/>
    <w:panose1 w:val="00000000000000000000"/>
    <w:charset w:val="86"/>
    <w:family w:val="script"/>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0CFFF"/>
    <w:multiLevelType w:val="singleLevel"/>
    <w:tmpl w:val="8A80CFFF"/>
    <w:lvl w:ilvl="0" w:tentative="0">
      <w:start w:val="1"/>
      <w:numFmt w:val="chineseCounting"/>
      <w:suff w:val="nothing"/>
      <w:lvlText w:val="（%1）"/>
      <w:lvlJc w:val="left"/>
      <w:rPr>
        <w:rFonts w:hint="eastAsia"/>
      </w:rPr>
    </w:lvl>
  </w:abstractNum>
  <w:abstractNum w:abstractNumId="1">
    <w:nsid w:val="05FBA5F6"/>
    <w:multiLevelType w:val="singleLevel"/>
    <w:tmpl w:val="05FBA5F6"/>
    <w:lvl w:ilvl="0" w:tentative="0">
      <w:start w:val="1"/>
      <w:numFmt w:val="chineseCounting"/>
      <w:suff w:val="nothing"/>
      <w:lvlText w:val="%1、"/>
      <w:lvlJc w:val="left"/>
      <w:rPr>
        <w:rFonts w:hint="eastAsia" w:cs="Times New Roman"/>
      </w:rPr>
    </w:lvl>
  </w:abstractNum>
  <w:abstractNum w:abstractNumId="2">
    <w:nsid w:val="45DB9A87"/>
    <w:multiLevelType w:val="singleLevel"/>
    <w:tmpl w:val="45DB9A87"/>
    <w:lvl w:ilvl="0" w:tentative="0">
      <w:start w:val="3"/>
      <w:numFmt w:val="chineseCounting"/>
      <w:suff w:val="nothing"/>
      <w:lvlText w:val="（%1）"/>
      <w:lvlJc w:val="left"/>
      <w:pPr>
        <w:tabs>
          <w:tab w:val="left" w:pos="0"/>
        </w:tabs>
      </w:pPr>
      <w:rPr>
        <w:rFonts w:hint="eastAsia" w:cs="Times New Roman"/>
      </w:rPr>
    </w:lvl>
  </w:abstractNum>
  <w:abstractNum w:abstractNumId="3">
    <w:nsid w:val="50607286"/>
    <w:multiLevelType w:val="singleLevel"/>
    <w:tmpl w:val="50607286"/>
    <w:lvl w:ilvl="0" w:tentative="0">
      <w:start w:val="2"/>
      <w:numFmt w:val="chineseCounting"/>
      <w:suff w:val="nothing"/>
      <w:lvlText w:val="（%1）"/>
      <w:lvlJc w:val="left"/>
      <w:pPr>
        <w:tabs>
          <w:tab w:val="left" w:pos="0"/>
        </w:tabs>
      </w:pPr>
      <w:rPr>
        <w:rFonts w:hint="eastAsia"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4CD"/>
    <w:rsid w:val="00045D6B"/>
    <w:rsid w:val="000E64DE"/>
    <w:rsid w:val="00102E63"/>
    <w:rsid w:val="001B10C8"/>
    <w:rsid w:val="001E327E"/>
    <w:rsid w:val="00212DDE"/>
    <w:rsid w:val="00221166"/>
    <w:rsid w:val="00237B49"/>
    <w:rsid w:val="00285546"/>
    <w:rsid w:val="002D4F80"/>
    <w:rsid w:val="002E6258"/>
    <w:rsid w:val="002F1D7D"/>
    <w:rsid w:val="00363878"/>
    <w:rsid w:val="00431CF4"/>
    <w:rsid w:val="00454678"/>
    <w:rsid w:val="004570B6"/>
    <w:rsid w:val="004648DF"/>
    <w:rsid w:val="00470627"/>
    <w:rsid w:val="0048740F"/>
    <w:rsid w:val="005439CA"/>
    <w:rsid w:val="00590E3A"/>
    <w:rsid w:val="005F1A99"/>
    <w:rsid w:val="00601D35"/>
    <w:rsid w:val="00653067"/>
    <w:rsid w:val="0075678D"/>
    <w:rsid w:val="0078102E"/>
    <w:rsid w:val="00782316"/>
    <w:rsid w:val="007875B0"/>
    <w:rsid w:val="007C51B1"/>
    <w:rsid w:val="007D118F"/>
    <w:rsid w:val="00873C49"/>
    <w:rsid w:val="008D177E"/>
    <w:rsid w:val="00933232"/>
    <w:rsid w:val="00944165"/>
    <w:rsid w:val="00945753"/>
    <w:rsid w:val="009754CD"/>
    <w:rsid w:val="00975C9C"/>
    <w:rsid w:val="00990F99"/>
    <w:rsid w:val="009C05D8"/>
    <w:rsid w:val="009C54FD"/>
    <w:rsid w:val="009E0E05"/>
    <w:rsid w:val="00A266AB"/>
    <w:rsid w:val="00AF10E5"/>
    <w:rsid w:val="00C43478"/>
    <w:rsid w:val="00CA3BDF"/>
    <w:rsid w:val="00D01269"/>
    <w:rsid w:val="00D53CAE"/>
    <w:rsid w:val="00D94B03"/>
    <w:rsid w:val="00E115A3"/>
    <w:rsid w:val="00EA1980"/>
    <w:rsid w:val="00F218DA"/>
    <w:rsid w:val="00F93A86"/>
    <w:rsid w:val="00FA1F0D"/>
    <w:rsid w:val="012E695F"/>
    <w:rsid w:val="05387786"/>
    <w:rsid w:val="0BC03037"/>
    <w:rsid w:val="18EE6149"/>
    <w:rsid w:val="239854A0"/>
    <w:rsid w:val="41E05A3C"/>
    <w:rsid w:val="4B0F07D4"/>
    <w:rsid w:val="509B38A9"/>
    <w:rsid w:val="54CD720B"/>
    <w:rsid w:val="55943803"/>
    <w:rsid w:val="63AF570C"/>
    <w:rsid w:val="70993BA8"/>
    <w:rsid w:val="765F097F"/>
    <w:rsid w:val="7CFD40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1"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5" w:lineRule="auto"/>
      <w:outlineLvl w:val="1"/>
    </w:pPr>
    <w:rPr>
      <w:rFonts w:ascii="Calibri" w:hAnsi="Calibri" w:cs="Arial"/>
      <w:b/>
      <w:bCs/>
      <w:sz w:val="32"/>
      <w:szCs w:val="32"/>
    </w:rPr>
  </w:style>
  <w:style w:type="paragraph" w:styleId="4">
    <w:name w:val="heading 3"/>
    <w:basedOn w:val="1"/>
    <w:next w:val="1"/>
    <w:link w:val="19"/>
    <w:qFormat/>
    <w:uiPriority w:val="99"/>
    <w:pPr>
      <w:keepNext/>
      <w:keepLines/>
      <w:spacing w:before="260" w:after="260" w:line="415" w:lineRule="auto"/>
      <w:outlineLvl w:val="2"/>
    </w:pPr>
    <w:rPr>
      <w:b/>
      <w:bCs/>
      <w:sz w:val="32"/>
      <w:szCs w:val="32"/>
    </w:rPr>
  </w:style>
  <w:style w:type="paragraph" w:styleId="5">
    <w:name w:val="heading 4"/>
    <w:basedOn w:val="1"/>
    <w:next w:val="1"/>
    <w:link w:val="20"/>
    <w:qFormat/>
    <w:uiPriority w:val="99"/>
    <w:pPr>
      <w:keepNext/>
      <w:keepLines/>
      <w:spacing w:before="280" w:after="290" w:line="377" w:lineRule="auto"/>
      <w:outlineLvl w:val="3"/>
    </w:pPr>
    <w:rPr>
      <w:rFonts w:ascii="Calibri" w:hAnsi="Calibri" w:cs="Arial"/>
      <w:b/>
      <w:bCs/>
      <w:sz w:val="28"/>
      <w:szCs w:val="28"/>
    </w:rPr>
  </w:style>
  <w:style w:type="paragraph" w:styleId="6">
    <w:name w:val="heading 5"/>
    <w:basedOn w:val="1"/>
    <w:next w:val="1"/>
    <w:link w:val="21"/>
    <w:qFormat/>
    <w:uiPriority w:val="99"/>
    <w:pPr>
      <w:keepNext/>
      <w:keepLines/>
      <w:spacing w:before="280" w:after="290" w:line="376" w:lineRule="auto"/>
      <w:outlineLvl w:val="4"/>
    </w:pPr>
    <w:rPr>
      <w:b/>
      <w:bCs/>
      <w:sz w:val="28"/>
      <w:szCs w:val="28"/>
    </w:rPr>
  </w:style>
  <w:style w:type="paragraph" w:styleId="7">
    <w:name w:val="heading 6"/>
    <w:basedOn w:val="1"/>
    <w:next w:val="1"/>
    <w:link w:val="22"/>
    <w:qFormat/>
    <w:uiPriority w:val="99"/>
    <w:pPr>
      <w:keepNext/>
      <w:keepLines/>
      <w:spacing w:before="240" w:after="64" w:line="320" w:lineRule="auto"/>
      <w:outlineLvl w:val="5"/>
    </w:pPr>
    <w:rPr>
      <w:rFonts w:ascii="Cambria" w:hAnsi="Cambria"/>
      <w:b/>
      <w:bCs/>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Date"/>
    <w:basedOn w:val="1"/>
    <w:next w:val="1"/>
    <w:link w:val="23"/>
    <w:qFormat/>
    <w:uiPriority w:val="99"/>
    <w:pPr>
      <w:ind w:left="2500" w:leftChars="2500"/>
    </w:pPr>
  </w:style>
  <w:style w:type="paragraph" w:styleId="9">
    <w:name w:val="Balloon Text"/>
    <w:basedOn w:val="1"/>
    <w:link w:val="24"/>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mbria" w:hAnsi="Cambria" w:eastAsia="黑体"/>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2">
    <w:name w:val="Subtitle"/>
    <w:basedOn w:val="1"/>
    <w:next w:val="1"/>
    <w:link w:val="27"/>
    <w:qFormat/>
    <w:uiPriority w:val="99"/>
    <w:pPr>
      <w:widowControl/>
      <w:spacing w:after="200" w:line="276" w:lineRule="auto"/>
      <w:jc w:val="left"/>
    </w:pPr>
    <w:rPr>
      <w:rFonts w:ascii="Calibri" w:hAnsi="Calibri" w:cs="Arial"/>
      <w:i/>
      <w:iCs/>
      <w:color w:val="F0A22E"/>
      <w:spacing w:val="15"/>
      <w:kern w:val="0"/>
      <w:sz w:val="24"/>
    </w:rPr>
  </w:style>
  <w:style w:type="paragraph" w:styleId="13">
    <w:name w:val="Title"/>
    <w:basedOn w:val="1"/>
    <w:next w:val="1"/>
    <w:link w:val="28"/>
    <w:qFormat/>
    <w:uiPriority w:val="99"/>
    <w:pPr>
      <w:widowControl/>
      <w:pBdr>
        <w:bottom w:val="single" w:color="F0A22E" w:sz="8" w:space="4"/>
      </w:pBdr>
      <w:spacing w:after="300"/>
      <w:contextualSpacing/>
      <w:jc w:val="left"/>
    </w:pPr>
    <w:rPr>
      <w:rFonts w:ascii="Calibri" w:hAnsi="Calibri" w:cs="Arial"/>
      <w:color w:val="3A2C23"/>
      <w:spacing w:val="5"/>
      <w:kern w:val="28"/>
      <w:sz w:val="52"/>
      <w:szCs w:val="52"/>
    </w:rPr>
  </w:style>
  <w:style w:type="table" w:styleId="15">
    <w:name w:val="Table Grid"/>
    <w:basedOn w:val="14"/>
    <w:qFormat/>
    <w:locked/>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标题 1 Char"/>
    <w:basedOn w:val="16"/>
    <w:link w:val="2"/>
    <w:qFormat/>
    <w:locked/>
    <w:uiPriority w:val="99"/>
    <w:rPr>
      <w:rFonts w:ascii="Times New Roman" w:hAnsi="Times New Roman" w:cs="Times New Roman"/>
      <w:b/>
      <w:bCs/>
      <w:kern w:val="44"/>
      <w:sz w:val="44"/>
      <w:szCs w:val="44"/>
    </w:rPr>
  </w:style>
  <w:style w:type="character" w:customStyle="1" w:styleId="18">
    <w:name w:val="标题 2 Char"/>
    <w:basedOn w:val="16"/>
    <w:link w:val="3"/>
    <w:semiHidden/>
    <w:qFormat/>
    <w:locked/>
    <w:uiPriority w:val="99"/>
    <w:rPr>
      <w:rFonts w:ascii="Cambria" w:hAnsi="Cambria" w:eastAsia="宋体" w:cs="Times New Roman"/>
      <w:b/>
      <w:bCs/>
      <w:sz w:val="32"/>
      <w:szCs w:val="32"/>
    </w:rPr>
  </w:style>
  <w:style w:type="character" w:customStyle="1" w:styleId="19">
    <w:name w:val="标题 3 Char"/>
    <w:basedOn w:val="16"/>
    <w:link w:val="4"/>
    <w:semiHidden/>
    <w:qFormat/>
    <w:locked/>
    <w:uiPriority w:val="99"/>
    <w:rPr>
      <w:rFonts w:ascii="Times New Roman" w:hAnsi="Times New Roman" w:cs="Times New Roman"/>
      <w:b/>
      <w:bCs/>
      <w:sz w:val="32"/>
      <w:szCs w:val="32"/>
    </w:rPr>
  </w:style>
  <w:style w:type="character" w:customStyle="1" w:styleId="20">
    <w:name w:val="标题 4 Char"/>
    <w:basedOn w:val="16"/>
    <w:link w:val="5"/>
    <w:semiHidden/>
    <w:qFormat/>
    <w:locked/>
    <w:uiPriority w:val="99"/>
    <w:rPr>
      <w:rFonts w:ascii="Cambria" w:hAnsi="Cambria" w:eastAsia="宋体" w:cs="Times New Roman"/>
      <w:b/>
      <w:bCs/>
      <w:sz w:val="28"/>
      <w:szCs w:val="28"/>
    </w:rPr>
  </w:style>
  <w:style w:type="character" w:customStyle="1" w:styleId="21">
    <w:name w:val="标题 5 Char"/>
    <w:basedOn w:val="16"/>
    <w:link w:val="6"/>
    <w:qFormat/>
    <w:locked/>
    <w:uiPriority w:val="99"/>
    <w:rPr>
      <w:rFonts w:ascii="Times New Roman" w:hAnsi="Times New Roman" w:cs="Times New Roman"/>
      <w:b/>
      <w:bCs/>
      <w:sz w:val="28"/>
      <w:szCs w:val="28"/>
    </w:rPr>
  </w:style>
  <w:style w:type="character" w:customStyle="1" w:styleId="22">
    <w:name w:val="标题 6 Char"/>
    <w:basedOn w:val="16"/>
    <w:link w:val="7"/>
    <w:qFormat/>
    <w:locked/>
    <w:uiPriority w:val="99"/>
    <w:rPr>
      <w:rFonts w:ascii="Cambria" w:hAnsi="Cambria" w:eastAsia="宋体" w:cs="Times New Roman"/>
      <w:b/>
      <w:bCs/>
      <w:sz w:val="24"/>
      <w:szCs w:val="24"/>
    </w:rPr>
  </w:style>
  <w:style w:type="character" w:customStyle="1" w:styleId="23">
    <w:name w:val="日期 Char"/>
    <w:basedOn w:val="16"/>
    <w:link w:val="8"/>
    <w:semiHidden/>
    <w:qFormat/>
    <w:locked/>
    <w:uiPriority w:val="99"/>
    <w:rPr>
      <w:rFonts w:ascii="Times New Roman" w:hAnsi="Times New Roman" w:cs="Times New Roman"/>
      <w:sz w:val="24"/>
      <w:szCs w:val="24"/>
    </w:rPr>
  </w:style>
  <w:style w:type="character" w:customStyle="1" w:styleId="24">
    <w:name w:val="批注框文本 Char"/>
    <w:basedOn w:val="16"/>
    <w:link w:val="9"/>
    <w:semiHidden/>
    <w:qFormat/>
    <w:locked/>
    <w:uiPriority w:val="99"/>
    <w:rPr>
      <w:rFonts w:ascii="Times New Roman" w:hAnsi="Times New Roman" w:cs="Times New Roman"/>
      <w:sz w:val="2"/>
    </w:rPr>
  </w:style>
  <w:style w:type="character" w:customStyle="1" w:styleId="25">
    <w:name w:val="页脚 Char"/>
    <w:basedOn w:val="16"/>
    <w:link w:val="10"/>
    <w:semiHidden/>
    <w:qFormat/>
    <w:locked/>
    <w:uiPriority w:val="99"/>
    <w:rPr>
      <w:rFonts w:ascii="Times New Roman" w:hAnsi="Times New Roman" w:cs="Times New Roman"/>
      <w:sz w:val="18"/>
      <w:szCs w:val="18"/>
    </w:rPr>
  </w:style>
  <w:style w:type="character" w:customStyle="1" w:styleId="26">
    <w:name w:val="页眉 Char"/>
    <w:basedOn w:val="16"/>
    <w:link w:val="11"/>
    <w:semiHidden/>
    <w:qFormat/>
    <w:locked/>
    <w:uiPriority w:val="99"/>
    <w:rPr>
      <w:rFonts w:ascii="Times New Roman" w:hAnsi="Times New Roman" w:cs="Times New Roman"/>
      <w:sz w:val="18"/>
      <w:szCs w:val="18"/>
    </w:rPr>
  </w:style>
  <w:style w:type="character" w:customStyle="1" w:styleId="27">
    <w:name w:val="副标题 Char"/>
    <w:basedOn w:val="16"/>
    <w:link w:val="12"/>
    <w:qFormat/>
    <w:locked/>
    <w:uiPriority w:val="99"/>
    <w:rPr>
      <w:rFonts w:ascii="Cambria" w:hAnsi="Cambria" w:cs="Times New Roman"/>
      <w:b/>
      <w:bCs/>
      <w:kern w:val="28"/>
      <w:sz w:val="32"/>
      <w:szCs w:val="32"/>
    </w:rPr>
  </w:style>
  <w:style w:type="character" w:customStyle="1" w:styleId="28">
    <w:name w:val="标题 Char"/>
    <w:basedOn w:val="16"/>
    <w:link w:val="13"/>
    <w:qFormat/>
    <w:locked/>
    <w:uiPriority w:val="99"/>
    <w:rPr>
      <w:rFonts w:ascii="Cambria" w:hAnsi="Cambria" w:cs="Times New Roman"/>
      <w:b/>
      <w:bCs/>
      <w:sz w:val="32"/>
      <w:szCs w:val="32"/>
    </w:rPr>
  </w:style>
  <w:style w:type="paragraph" w:customStyle="1" w:styleId="29">
    <w:name w:val="No Spacing1"/>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30">
    <w:name w:val="Style1"/>
    <w:basedOn w:val="16"/>
    <w:qFormat/>
    <w:uiPriority w:val="99"/>
    <w:rPr>
      <w:rFonts w:ascii="Cambria" w:hAnsi="Cambria" w:eastAsia="黑体" w:cs="Times New Roman"/>
      <w:sz w:val="22"/>
      <w:szCs w:val="22"/>
      <w:lang w:eastAsia="zh-CN"/>
    </w:rPr>
  </w:style>
  <w:style w:type="character" w:customStyle="1" w:styleId="31">
    <w:name w:val="Style2"/>
    <w:basedOn w:val="16"/>
    <w:qFormat/>
    <w:uiPriority w:val="99"/>
    <w:rPr>
      <w:rFonts w:ascii="Cambria" w:hAnsi="Cambria" w:eastAsia="黑体" w:cs="Times New Roman"/>
      <w:sz w:val="22"/>
      <w:szCs w:val="22"/>
      <w:lang w:eastAsia="zh-CN"/>
    </w:rPr>
  </w:style>
  <w:style w:type="character" w:customStyle="1" w:styleId="32">
    <w:name w:val="Style3"/>
    <w:basedOn w:val="16"/>
    <w:qFormat/>
    <w:uiPriority w:val="99"/>
    <w:rPr>
      <w:rFonts w:ascii="Cambria" w:hAnsi="Cambria" w:eastAsia="黑体" w:cs="Times New Roman"/>
      <w:sz w:val="22"/>
      <w:szCs w:val="22"/>
      <w:lang w:eastAsia="zh-CN"/>
    </w:rPr>
  </w:style>
  <w:style w:type="character" w:customStyle="1" w:styleId="33">
    <w:name w:val="Style4"/>
    <w:basedOn w:val="16"/>
    <w:qFormat/>
    <w:uiPriority w:val="99"/>
    <w:rPr>
      <w:rFonts w:ascii="Cambria" w:hAnsi="Cambria" w:eastAsia="黑体" w:cs="Times New Roman"/>
      <w:sz w:val="22"/>
      <w:szCs w:val="22"/>
      <w:lang w:eastAsia="zh-CN"/>
    </w:rPr>
  </w:style>
  <w:style w:type="character" w:customStyle="1" w:styleId="34">
    <w:name w:val="Style5"/>
    <w:basedOn w:val="16"/>
    <w:qFormat/>
    <w:uiPriority w:val="99"/>
    <w:rPr>
      <w:rFonts w:ascii="Cambria" w:hAnsi="Cambria" w:eastAsia="黑体" w:cs="Times New Roman"/>
      <w:sz w:val="22"/>
      <w:szCs w:val="22"/>
      <w:lang w:eastAsia="zh-CN"/>
    </w:rPr>
  </w:style>
  <w:style w:type="paragraph" w:customStyle="1" w:styleId="35">
    <w:name w:val="List Paragraph1"/>
    <w:basedOn w:val="1"/>
    <w:qFormat/>
    <w:uiPriority w:val="99"/>
    <w:pPr>
      <w:ind w:firstLine="200" w:firstLineChars="200"/>
    </w:pPr>
  </w:style>
  <w:style w:type="paragraph" w:customStyle="1" w:styleId="36">
    <w:name w:val="[Normal]"/>
    <w:qFormat/>
    <w:uiPriority w:val="99"/>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5074</Words>
  <Characters>843</Characters>
  <Lines>7</Lines>
  <Paragraphs>11</Paragraphs>
  <TotalTime>1</TotalTime>
  <ScaleCrop>false</ScaleCrop>
  <LinksUpToDate>false</LinksUpToDate>
  <CharactersWithSpaces>5906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2019-11-08T01:44:00Z</dcterms:created>
  <dc:creator>User</dc:creator>
  <cp:lastModifiedBy>Administrator</cp:lastModifiedBy>
  <cp:lastPrinted>2019-11-04T02:59:00Z</cp:lastPrinted>
  <dcterms:modified xsi:type="dcterms:W3CDTF">2022-03-11T03:22:25Z</dcterms:modified>
  <dc:subject>石家庄市xxx部门</dc:subject>
  <dc:title>2017年度部门决算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1FB533D3739A4FAE90316857189B1C08</vt:lpwstr>
  </property>
</Properties>
</file>