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b/>
          <w:sz w:val="44"/>
          <w:szCs w:val="44"/>
          <w:lang w:eastAsia="zh-CN"/>
        </w:rPr>
      </w:pPr>
    </w:p>
    <w:p>
      <w:pPr>
        <w:widowControl/>
        <w:ind w:firstLine="2209" w:firstLineChars="500"/>
        <w:jc w:val="both"/>
        <w:rPr>
          <w:rFonts w:hint="eastAsia" w:ascii="楷体" w:hAnsi="楷体" w:eastAsia="宋体" w:cs="楷体"/>
          <w:b/>
          <w:sz w:val="44"/>
          <w:szCs w:val="44"/>
          <w:lang w:val="en-US" w:eastAsia="zh-CN"/>
        </w:rPr>
        <w:sectPr>
          <w:pgSz w:w="11906" w:h="16838"/>
          <w:pgMar w:top="2098" w:right="1474" w:bottom="1985" w:left="1588" w:header="851" w:footer="992" w:gutter="0"/>
          <w:cols w:space="425" w:num="1"/>
          <w:docGrid w:type="lines" w:linePitch="312" w:charSpace="0"/>
        </w:sectPr>
      </w:pPr>
      <w:r>
        <w:rPr>
          <w:rFonts w:hint="eastAsia"/>
          <w:b/>
          <w:sz w:val="44"/>
          <w:szCs w:val="44"/>
          <w:lang w:eastAsia="zh-CN"/>
        </w:rPr>
        <w:t>大城县人民政府办公室</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widowControl/>
        <w:spacing w:line="580" w:lineRule="exact"/>
        <w:ind w:firstLine="1273" w:firstLineChars="398"/>
        <w:rPr>
          <w:rFonts w:hint="eastAsia" w:ascii="仿宋" w:hAnsi="仿宋" w:eastAsia="仿宋" w:cs="仿宋"/>
          <w:sz w:val="32"/>
          <w:szCs w:val="32"/>
        </w:rPr>
      </w:pPr>
      <w:r>
        <w:rPr>
          <w:rFonts w:hint="eastAsia" w:ascii="仿宋_GB2312" w:hAnsi="仿宋_GB2312" w:eastAsia="仿宋_GB2312" w:cs="仿宋_GB2312"/>
          <w:sz w:val="32"/>
          <w:szCs w:val="32"/>
        </w:rPr>
        <w:t>二、机构设置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b/>
          <w:sz w:val="32"/>
          <w:szCs w:val="32"/>
          <w:lang w:eastAsia="zh-CN"/>
        </w:rPr>
        <w:t>大城县人民政府办公室</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五、一般公共预算财政拨款“三公”经费支出决算情况说明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六、预算绩效情况说明</w:t>
      </w:r>
    </w:p>
    <w:p>
      <w:pPr>
        <w:widowControl/>
        <w:spacing w:line="580" w:lineRule="exact"/>
        <w:ind w:left="64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numPr>
          <w:ilvl w:val="0"/>
          <w:numId w:val="1"/>
        </w:numPr>
        <w:spacing w:before="0" w:after="0" w:line="600" w:lineRule="exact"/>
        <w:jc w:val="left"/>
        <w:rPr>
          <w:rFonts w:hint="eastAsia"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部门职责</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（一）协助县政府领导组织起草或审核</w:t>
      </w:r>
      <w:r>
        <w:rPr>
          <w:rFonts w:hint="eastAsia" w:ascii="仿宋_GB2312" w:hAnsi="仿宋_GB2312" w:eastAsia="仿宋_GB2312" w:cs="仿宋_GB2312"/>
          <w:sz w:val="32"/>
          <w:szCs w:val="32"/>
          <w:u w:val="none"/>
        </w:rPr>
        <w:t>上报省政府和省政府办公厅、市政府和市政府办公室</w:t>
      </w:r>
      <w:r>
        <w:rPr>
          <w:rFonts w:hint="eastAsia" w:ascii="仿宋_GB2312" w:hAnsi="仿宋_GB2312" w:eastAsia="仿宋_GB2312" w:cs="仿宋_GB2312"/>
          <w:sz w:val="32"/>
          <w:szCs w:val="32"/>
        </w:rPr>
        <w:t>和致函省、市政府各部门的公文，以及以县政府、县政府办公室名义发布的公文；负责县政府、县政府办公室日常公文办理，包括省政府和省政府办公厅、市政府和市政府办公室以及省、市各部门、各县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的来文办理，县政府各部门、各镇政府、经开区管委会来文办理。</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（二）负责县政府领导活动的组织和协调工作；负责县政府会议的准备和服务工作，协助县政府领导组织落实会议决定事项。</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（三）研究县政府各部门和各镇政府、经开区管委会请示县政府的事项，提出审核意见，报县政府领导审批。</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（四）根据县政府领导的批示，对县政府各部门间出现的争议问题提出处理意见，报县政府领导决定。</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（五）组织起草县政府领导重要讲话及其他重要文稿。</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（六）督促检查县政府各部门、各镇政府、经开区管委会对国务院和省、市、县政府决定事项及国务院和省、市、县政府领导重要批示的执行落实情况并跟踪调研，及时向县政府领导报告。</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（七）组织承办人大代表建议和政协提案工作。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trike w:val="0"/>
          <w:sz w:val="32"/>
          <w:szCs w:val="32"/>
          <w:u w:val="none"/>
        </w:rPr>
      </w:pPr>
      <w:r>
        <w:rPr>
          <w:rFonts w:hint="eastAsia" w:ascii="仿宋_GB2312" w:hAnsi="仿宋_GB2312" w:eastAsia="仿宋_GB2312" w:cs="仿宋_GB2312"/>
          <w:sz w:val="32"/>
          <w:szCs w:val="32"/>
        </w:rPr>
        <w:t>（八）负责承办县政府提请县人大常委会任免议案和提请县政府任命工作人员的行政任免有关手续；</w:t>
      </w:r>
      <w:r>
        <w:rPr>
          <w:rFonts w:hint="eastAsia" w:ascii="仿宋_GB2312" w:hAnsi="仿宋_GB2312" w:eastAsia="仿宋_GB2312" w:cs="仿宋_GB2312"/>
          <w:strike w:val="0"/>
          <w:sz w:val="32"/>
          <w:szCs w:val="32"/>
          <w:u w:val="none"/>
        </w:rPr>
        <w:t>负责承办县政府任命工作人员的宪法宣誓工作。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（九）负责县政府值班工作，及时报告重要情况，传达和督促落实县政府领导工作要求。</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（十）根据县政府工作部署和县政府领导要求，组织专题调研，及时反映情况，提出建议。</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（十一）负责对县内、外经济形势跟踪研究，为县政府决策提供建议。</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）负责推进、指导、协调、监督、考核评估全县政务公开和政府信息公开工作。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）负责政务信息（包括舆情信息）服务工作。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）协同有关部门统筹协调县政府新闻宣传、舆情回应等工作。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w:t>
      </w:r>
      <w:r>
        <w:rPr>
          <w:rFonts w:hint="eastAsia" w:ascii="仿宋_GB2312" w:hAnsi="仿宋_GB2312" w:eastAsia="仿宋_GB2312" w:cs="仿宋_GB2312"/>
          <w:sz w:val="32"/>
          <w:szCs w:val="32"/>
          <w:u w:val="none"/>
          <w:lang w:eastAsia="zh-CN"/>
        </w:rPr>
        <w:t>五</w:t>
      </w:r>
      <w:r>
        <w:rPr>
          <w:rFonts w:hint="eastAsia" w:ascii="仿宋_GB2312" w:hAnsi="仿宋_GB2312" w:eastAsia="仿宋_GB2312" w:cs="仿宋_GB2312"/>
          <w:sz w:val="32"/>
          <w:szCs w:val="32"/>
          <w:u w:val="none"/>
        </w:rPr>
        <w:t>）负责县政府电子政务工作。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）负责县政府办公室下属</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（十七）负责全县地方金融监督管理工作。</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代表县政府行使全县信用体系建设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职责</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（十九）负责</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公众来信、来访、来电</w:t>
      </w:r>
      <w:r>
        <w:rPr>
          <w:rFonts w:hint="eastAsia" w:ascii="仿宋_GB2312" w:hAnsi="仿宋_GB2312" w:eastAsia="仿宋_GB2312" w:cs="仿宋_GB2312"/>
          <w:sz w:val="32"/>
          <w:szCs w:val="32"/>
        </w:rPr>
        <w:t>提出的咨询、建议、意见、投诉和求助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及时解决公众在生产生活中遇到的困难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（二十）贯彻执行党和国家对外方针政策、涉港澳方针政策和法律法规。贯彻执行省、市外事、港澳工作的决策部署。</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（二十一）负责指导和管理全县因公出国、赴港澳工作。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（二十二）督导推进县大气污染防治领导小组安排部署的各项工作任务。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（二十三）负责县政府机关的行政后勤保障和机关及下属事业单位财务管理工作。负责全县公共机构节能工作。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（二十四）</w:t>
      </w:r>
      <w:r>
        <w:rPr>
          <w:rFonts w:hint="eastAsia" w:ascii="仿宋_GB2312" w:hAnsi="仿宋_GB2312" w:eastAsia="仿宋_GB2312" w:cs="仿宋_GB2312"/>
          <w:sz w:val="32"/>
          <w:szCs w:val="32"/>
        </w:rPr>
        <w:t>完成县政府交办的其他任务。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从决算编报单位构成看，纳入2018 年度本部门决算汇编范围的独立核算单位（以下简称“单位”）共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序号</w:t>
            </w:r>
          </w:p>
        </w:tc>
        <w:tc>
          <w:tcPr>
            <w:tcW w:w="3485" w:type="dxa"/>
            <w:vAlign w:val="center"/>
          </w:tcPr>
          <w:p>
            <w:pPr>
              <w:spacing w:after="0" w:line="56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单位名称</w:t>
            </w:r>
          </w:p>
        </w:tc>
        <w:tc>
          <w:tcPr>
            <w:tcW w:w="2445" w:type="dxa"/>
            <w:vAlign w:val="center"/>
          </w:tcPr>
          <w:p>
            <w:pPr>
              <w:spacing w:after="0" w:line="56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单位基本性质</w:t>
            </w:r>
          </w:p>
        </w:tc>
        <w:tc>
          <w:tcPr>
            <w:tcW w:w="2665" w:type="dxa"/>
            <w:vAlign w:val="center"/>
          </w:tcPr>
          <w:p>
            <w:pPr>
              <w:spacing w:after="0" w:line="56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1</w:t>
            </w:r>
          </w:p>
        </w:tc>
        <w:tc>
          <w:tcPr>
            <w:tcW w:w="3485" w:type="dxa"/>
          </w:tcPr>
          <w:p>
            <w:pPr>
              <w:spacing w:after="0" w:line="560" w:lineRule="exact"/>
              <w:rPr>
                <w:rFonts w:hint="eastAsia" w:ascii="仿宋" w:hAnsi="仿宋" w:eastAsia="仿宋" w:cs="仿宋"/>
                <w:kern w:val="0"/>
                <w:sz w:val="32"/>
                <w:szCs w:val="32"/>
              </w:rPr>
            </w:pPr>
            <w:r>
              <w:rPr>
                <w:rFonts w:hint="eastAsia" w:ascii="仿宋" w:hAnsi="仿宋" w:eastAsia="仿宋" w:cs="仿宋"/>
                <w:kern w:val="0"/>
                <w:sz w:val="24"/>
                <w:szCs w:val="24"/>
                <w:lang w:eastAsia="zh-CN"/>
              </w:rPr>
              <w:t>大城县人民政府办公室</w:t>
            </w:r>
            <w:r>
              <w:rPr>
                <w:rFonts w:hint="eastAsia" w:ascii="仿宋" w:hAnsi="仿宋" w:eastAsia="仿宋" w:cs="仿宋"/>
                <w:kern w:val="0"/>
                <w:sz w:val="24"/>
                <w:szCs w:val="24"/>
              </w:rPr>
              <w:t>(本级)</w:t>
            </w:r>
          </w:p>
        </w:tc>
        <w:tc>
          <w:tcPr>
            <w:tcW w:w="2445" w:type="dxa"/>
          </w:tcPr>
          <w:p>
            <w:pPr>
              <w:spacing w:after="0"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行政单位</w:t>
            </w:r>
          </w:p>
        </w:tc>
        <w:tc>
          <w:tcPr>
            <w:tcW w:w="2665" w:type="dxa"/>
          </w:tcPr>
          <w:p>
            <w:pPr>
              <w:spacing w:after="0" w:line="560" w:lineRule="exact"/>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1200" w:lineRule="exact"/>
        <w:jc w:val="center"/>
        <w:rPr>
          <w:rFonts w:hint="eastAsia" w:hAnsi="宋体" w:asciiTheme="minorEastAsia" w:eastAsiaTheme="minorEastAsia"/>
          <w:color w:val="000000" w:themeColor="text1"/>
          <w:sz w:val="72"/>
          <w:szCs w:val="96"/>
          <w:lang w:eastAsia="zh-CN"/>
          <w14:textFill>
            <w14:solidFill>
              <w14:schemeClr w14:val="tx1"/>
            </w14:solidFill>
          </w14:textFill>
        </w:rPr>
      </w:pPr>
      <w:r>
        <w:rPr>
          <w:rFonts w:hint="eastAsia" w:hAnsi="宋体" w:asciiTheme="minorEastAsia" w:eastAsiaTheme="minorEastAsia"/>
          <w:color w:val="000000" w:themeColor="text1"/>
          <w:sz w:val="72"/>
          <w:szCs w:val="96"/>
          <w:lang w:eastAsia="zh-CN"/>
          <w14:textFill>
            <w14:solidFill>
              <w14:schemeClr w14:val="tx1"/>
            </w14:solidFill>
          </w14:textFill>
        </w:rPr>
        <w:t>（见附表）</w:t>
      </w:r>
    </w:p>
    <w:p>
      <w:pPr>
        <w:widowControl/>
        <w:spacing w:line="1200" w:lineRule="exact"/>
        <w:jc w:val="center"/>
        <w:rPr>
          <w:rFonts w:hint="eastAsia" w:hAnsi="宋体" w:asciiTheme="minorEastAsia" w:eastAsiaTheme="minorEastAsia"/>
          <w:color w:val="000000" w:themeColor="text1"/>
          <w:sz w:val="72"/>
          <w:szCs w:val="96"/>
          <w:lang w:eastAsia="zh-CN"/>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72"/>
          <w:szCs w:val="96"/>
          <w:lang w:eastAsia="zh-CN"/>
          <w14:textFill>
            <w14:solidFill>
              <w14:schemeClr w14:val="tx1"/>
            </w14:solidFill>
          </w14:textFill>
        </w:rPr>
      </w:pP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本部门2018年度收支总计（含结转和结余）1458.76万元。与2017年度决算相比，收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55.52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11.88</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，压减项目支出。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本部门2018年度本年收入合计</w:t>
      </w:r>
      <w:r>
        <w:rPr>
          <w:rFonts w:hint="eastAsia" w:ascii="仿宋_GB2312" w:hAnsi="仿宋_GB2312" w:eastAsia="仿宋_GB2312" w:cs="仿宋_GB2312"/>
          <w:sz w:val="32"/>
          <w:szCs w:val="32"/>
          <w:lang w:val="en-US" w:eastAsia="zh-CN"/>
        </w:rPr>
        <w:t>1448.78</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1448.78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其他收入。如图所示：</w:t>
      </w:r>
    </w:p>
    <w:p>
      <w:pPr>
        <w:adjustRightInd w:val="0"/>
        <w:snapToGrid w:val="0"/>
        <w:spacing w:line="584"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图1：收入决算结构饼状图</w:t>
      </w:r>
    </w:p>
    <w:p>
      <w:pPr>
        <w:adjustRightInd w:val="0"/>
        <w:snapToGrid w:val="0"/>
        <w:spacing w:line="584" w:lineRule="exact"/>
        <w:jc w:val="left"/>
        <w:rPr>
          <w:rFonts w:eastAsia="仿宋_GB2312"/>
          <w:sz w:val="32"/>
          <w:szCs w:val="32"/>
        </w:rPr>
      </w:pPr>
      <w:r>
        <w:rPr>
          <w:sz w:val="32"/>
        </w:rPr>
        <mc:AlternateContent>
          <mc:Choice Requires="wps">
            <w:drawing>
              <wp:anchor distT="0" distB="0" distL="113665" distR="113665" simplePos="0" relativeHeight="1024" behindDoc="0" locked="0" layoutInCell="1" allowOverlap="1">
                <wp:simplePos x="0" y="0"/>
                <wp:positionH relativeFrom="column">
                  <wp:posOffset>2762250</wp:posOffset>
                </wp:positionH>
                <wp:positionV relativeFrom="paragraph">
                  <wp:posOffset>222250</wp:posOffset>
                </wp:positionV>
                <wp:extent cx="2407285" cy="2526030"/>
                <wp:effectExtent l="5080" t="5080" r="6985" b="21590"/>
                <wp:wrapTopAndBottom/>
                <wp:docPr id="1" name="椭圆"/>
                <wp:cNvGraphicFramePr/>
                <a:graphic xmlns:a="http://schemas.openxmlformats.org/drawingml/2006/main">
                  <a:graphicData uri="http://schemas.microsoft.com/office/word/2010/wordprocessingShape">
                    <wps:wsp>
                      <wps:cNvSpPr/>
                      <wps:spPr>
                        <a:xfrm>
                          <a:off x="4010660" y="4473575"/>
                          <a:ext cx="2418715" cy="2526030"/>
                        </a:xfrm>
                        <a:prstGeom prst="ellipse">
                          <a:avLst/>
                        </a:prstGeom>
                        <a:solidFill>
                          <a:srgbClr val="F6C782"/>
                        </a:solidFill>
                        <a:ln w="9525" cap="flat" cmpd="sng">
                          <a:solidFill>
                            <a:srgbClr val="000000"/>
                          </a:solidFill>
                          <a:prstDash val="solid"/>
                          <a:miter/>
                        </a:ln>
                        <a:effectLst/>
                      </wps:spPr>
                      <wps:txb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wps:txbx>
                      <wps:bodyPr vert="horz" wrap="square" lIns="91440" tIns="45720" rIns="91440" bIns="45720" anchor="t" anchorCtr="0" upright="1">
                        <a:noAutofit/>
                      </wps:bodyPr>
                    </wps:wsp>
                  </a:graphicData>
                </a:graphic>
              </wp:anchor>
            </w:drawing>
          </mc:Choice>
          <mc:Fallback>
            <w:pict>
              <v:shape id="椭圆" o:spid="_x0000_s1026" o:spt="3" type="#_x0000_t3" style="position:absolute;left:0pt;margin-left:217.5pt;margin-top:17.5pt;height:198.9pt;width:189.55pt;mso-wrap-distance-bottom:0pt;mso-wrap-distance-top:0pt;z-index:1024;mso-width-relative:page;mso-height-relative:page;" fillcolor="#F6C782" filled="t" stroked="t" coordsize="21600,21600" o:gfxdata="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lppr2AAA&#10;AAoBAAAPAAAAAAAAAAEAIAAAACIAAABkcnMvZG93bnJldi54bWxQSwECFAAUAAAACACHTuJA9Hek&#10;Ex4CAAAkBAAADgAAAAAAAAABACAAAAAnAQAAZHJzL2Uyb0RvYy54bWxQSwUGAAAAAAYABgBZAQAA&#10;twUAAAAA&#10;">
                <v:fill on="t" focussize="0,0"/>
                <v:stroke color="#000000" joinstyle="miter"/>
                <v:imagedata o:title=""/>
                <o:lock v:ext="edit" aspectratio="f"/>
                <v:textbo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v:textbox>
                <w10:wrap type="topAndBottom"/>
              </v:shape>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本部门2018年度本年支出合计</w:t>
      </w:r>
      <w:r>
        <w:rPr>
          <w:rFonts w:hint="eastAsia" w:ascii="仿宋_GB2312" w:hAnsi="仿宋_GB2312" w:eastAsia="仿宋_GB2312" w:cs="仿宋_GB2312"/>
          <w:sz w:val="32"/>
          <w:szCs w:val="32"/>
          <w:lang w:val="en-US" w:eastAsia="zh-CN"/>
        </w:rPr>
        <w:t>1219.39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557.46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45.72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661.92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54.28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经营支出。如图所示：</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图2：支出决算结构饼状图</w:t>
      </w:r>
    </w:p>
    <w:p>
      <w:pPr>
        <w:adjustRightInd w:val="0"/>
        <w:snapToGrid w:val="0"/>
        <w:spacing w:after="0" w:line="580" w:lineRule="exact"/>
        <w:jc w:val="center"/>
        <w:rPr>
          <w:rFonts w:hint="eastAsia" w:eastAsia="仿宋_GB2312"/>
          <w:sz w:val="32"/>
          <w:szCs w:val="32"/>
          <w:lang w:eastAsia="zh-CN"/>
        </w:rPr>
      </w:pPr>
    </w:p>
    <w:p>
      <w:pPr>
        <w:rPr>
          <w:rFonts w:hint="eastAsia" w:ascii="黑体" w:eastAsia="黑体"/>
          <w:b w:val="0"/>
          <w:bCs w:val="0"/>
        </w:rPr>
      </w:pPr>
    </w:p>
    <w:p>
      <w:pPr>
        <w:rPr>
          <w:rFonts w:hint="eastAsia" w:ascii="黑体" w:eastAsia="黑体"/>
          <w:b w:val="0"/>
          <w:bCs w:val="0"/>
          <w:lang w:eastAsia="zh-CN"/>
        </w:rPr>
      </w:pPr>
      <w:r>
        <w:rPr>
          <w:rFonts w:hint="eastAsia" w:ascii="黑体" w:eastAsia="黑体"/>
          <w:b w:val="0"/>
          <w:bCs w:val="0"/>
          <w:lang w:eastAsia="zh-CN"/>
        </w:rPr>
        <w:drawing>
          <wp:inline distT="0" distB="0" distL="114300" distR="114300">
            <wp:extent cx="8139430" cy="4203065"/>
            <wp:effectExtent l="4445" t="4445" r="9525" b="2159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本部门2018年度形成的财政拨款收支均为一般公共预算财政拨款，其中一般公共预算财政拨款本年收入</w:t>
      </w:r>
      <w:r>
        <w:rPr>
          <w:rFonts w:hint="eastAsia" w:ascii="仿宋_GB2312" w:hAnsi="仿宋_GB2312" w:eastAsia="仿宋_GB2312" w:cs="仿宋_GB2312"/>
          <w:sz w:val="32"/>
          <w:szCs w:val="32"/>
          <w:lang w:val="en-US" w:eastAsia="zh-CN"/>
        </w:rPr>
        <w:t>1448.78</w:t>
      </w:r>
      <w:r>
        <w:rPr>
          <w:rFonts w:hint="eastAsia" w:ascii="仿宋_GB2312" w:hAnsi="仿宋_GB2312" w:eastAsia="仿宋_GB2312" w:cs="仿宋_GB2312"/>
          <w:sz w:val="32"/>
          <w:szCs w:val="32"/>
        </w:rPr>
        <w:t>万元,比2017年度减少</w:t>
      </w:r>
      <w:r>
        <w:rPr>
          <w:rFonts w:hint="eastAsia" w:ascii="仿宋_GB2312" w:hAnsi="仿宋_GB2312" w:eastAsia="仿宋_GB2312" w:cs="仿宋_GB2312"/>
          <w:sz w:val="32"/>
          <w:szCs w:val="32"/>
          <w:lang w:val="en-US" w:eastAsia="zh-CN"/>
        </w:rPr>
        <w:t>65.5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%，主要是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，压减项目支出</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1219.39</w:t>
      </w:r>
      <w:r>
        <w:rPr>
          <w:rFonts w:hint="eastAsia" w:ascii="仿宋_GB2312" w:hAnsi="仿宋_GB2312" w:eastAsia="仿宋_GB2312" w:cs="仿宋_GB2312"/>
          <w:sz w:val="32"/>
          <w:szCs w:val="32"/>
        </w:rPr>
        <w:t>万元，比2017年度减少</w:t>
      </w:r>
      <w:r>
        <w:rPr>
          <w:rFonts w:hint="eastAsia" w:ascii="仿宋_GB2312" w:hAnsi="仿宋_GB2312" w:eastAsia="仿宋_GB2312" w:cs="仿宋_GB2312"/>
          <w:sz w:val="32"/>
          <w:szCs w:val="32"/>
          <w:lang w:val="en-US" w:eastAsia="zh-CN"/>
        </w:rPr>
        <w:t>436.1</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26.34</w:t>
      </w:r>
      <w:r>
        <w:rPr>
          <w:rFonts w:hint="eastAsia" w:ascii="仿宋_GB2312" w:hAnsi="仿宋_GB2312" w:eastAsia="仿宋_GB2312" w:cs="仿宋_GB2312"/>
          <w:sz w:val="32"/>
          <w:szCs w:val="32"/>
        </w:rPr>
        <w:t>%，主要是</w:t>
      </w:r>
      <w:r>
        <w:rPr>
          <w:rFonts w:hint="eastAsia" w:ascii="仿宋_GB2312" w:hAnsi="仿宋_GB2312" w:eastAsia="仿宋_GB2312" w:cs="仿宋_GB2312"/>
          <w:kern w:val="0"/>
          <w:sz w:val="32"/>
          <w:szCs w:val="32"/>
        </w:rPr>
        <w:t>本着厉行节约的要求</w:t>
      </w:r>
      <w:r>
        <w:rPr>
          <w:rFonts w:hint="eastAsia" w:ascii="仿宋_GB2312" w:hAnsi="仿宋_GB2312" w:eastAsia="仿宋_GB2312" w:cs="仿宋_GB2312"/>
          <w:kern w:val="0"/>
          <w:sz w:val="32"/>
          <w:szCs w:val="32"/>
          <w:lang w:eastAsia="zh-CN"/>
        </w:rPr>
        <w:t>，压减项目支出及项目结转</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图3：财政拨款收支情况</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drawing>
          <wp:anchor distT="0" distB="0" distL="114300" distR="114300" simplePos="0" relativeHeight="2048" behindDoc="0" locked="0" layoutInCell="1" allowOverlap="1">
            <wp:simplePos x="0" y="0"/>
            <wp:positionH relativeFrom="column">
              <wp:posOffset>971550</wp:posOffset>
            </wp:positionH>
            <wp:positionV relativeFrom="paragraph">
              <wp:posOffset>-6017895</wp:posOffset>
            </wp:positionV>
            <wp:extent cx="6569710" cy="7647940"/>
            <wp:effectExtent l="4445" t="4445" r="17145" b="571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本部门2018年度一般公共预算财政拨款收入</w:t>
      </w:r>
      <w:r>
        <w:rPr>
          <w:rFonts w:hint="eastAsia" w:ascii="仿宋_GB2312" w:hAnsi="仿宋_GB2312" w:eastAsia="仿宋_GB2312" w:cs="仿宋_GB2312"/>
          <w:sz w:val="32"/>
          <w:szCs w:val="32"/>
          <w:lang w:val="en-US" w:eastAsia="zh-CN"/>
        </w:rPr>
        <w:t>1448.78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98.16</w:t>
      </w:r>
      <w:r>
        <w:rPr>
          <w:rFonts w:hint="eastAsia" w:ascii="仿宋_GB2312" w:hAnsi="仿宋_GB2312" w:eastAsia="仿宋_GB2312" w:cs="仿宋_GB2312"/>
          <w:sz w:val="32"/>
          <w:szCs w:val="32"/>
        </w:rPr>
        <w:t>%,比年初预算减少</w:t>
      </w:r>
      <w:r>
        <w:rPr>
          <w:rFonts w:hint="eastAsia" w:ascii="仿宋_GB2312" w:hAnsi="仿宋_GB2312" w:eastAsia="仿宋_GB2312" w:cs="仿宋_GB2312"/>
          <w:sz w:val="32"/>
          <w:szCs w:val="32"/>
          <w:lang w:val="en-US" w:eastAsia="zh-CN"/>
        </w:rPr>
        <w:t>27.12</w:t>
      </w:r>
      <w:r>
        <w:rPr>
          <w:rFonts w:hint="eastAsia" w:ascii="仿宋_GB2312" w:hAnsi="仿宋_GB2312" w:eastAsia="仿宋_GB2312" w:cs="仿宋_GB2312"/>
          <w:sz w:val="32"/>
          <w:szCs w:val="32"/>
        </w:rPr>
        <w:t>万元，决算数小于预算数主要是</w:t>
      </w:r>
      <w:r>
        <w:rPr>
          <w:rFonts w:hint="eastAsia" w:ascii="仿宋_GB2312" w:hAnsi="仿宋_GB2312" w:eastAsia="仿宋_GB2312" w:cs="仿宋_GB2312"/>
          <w:sz w:val="32"/>
          <w:szCs w:val="32"/>
          <w:lang w:eastAsia="zh-CN"/>
        </w:rPr>
        <w:t>下设机构划转</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1219.39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83.62</w:t>
      </w:r>
      <w:r>
        <w:rPr>
          <w:rFonts w:hint="eastAsia" w:ascii="仿宋_GB2312" w:hAnsi="仿宋_GB2312" w:eastAsia="仿宋_GB2312" w:cs="仿宋_GB2312"/>
          <w:sz w:val="32"/>
          <w:szCs w:val="32"/>
        </w:rPr>
        <w:t>%,比年初预算减少</w:t>
      </w:r>
      <w:r>
        <w:rPr>
          <w:rFonts w:hint="eastAsia" w:ascii="仿宋_GB2312" w:hAnsi="仿宋_GB2312" w:eastAsia="仿宋_GB2312" w:cs="仿宋_GB2312"/>
          <w:sz w:val="32"/>
          <w:szCs w:val="32"/>
          <w:lang w:val="en-US" w:eastAsia="zh-CN"/>
        </w:rPr>
        <w:t>256.51</w:t>
      </w:r>
      <w:r>
        <w:rPr>
          <w:rFonts w:hint="eastAsia" w:ascii="仿宋_GB2312" w:hAnsi="仿宋_GB2312" w:eastAsia="仿宋_GB2312" w:cs="仿宋_GB2312"/>
          <w:sz w:val="32"/>
          <w:szCs w:val="32"/>
        </w:rPr>
        <w:t>万元，决算数小于预算数主要是</w:t>
      </w:r>
      <w:r>
        <w:rPr>
          <w:rFonts w:hint="eastAsia" w:ascii="仿宋_GB2312" w:hAnsi="仿宋_GB2312" w:eastAsia="仿宋_GB2312" w:cs="仿宋_GB2312"/>
          <w:sz w:val="32"/>
          <w:szCs w:val="32"/>
          <w:lang w:eastAsia="zh-CN"/>
        </w:rPr>
        <w:t>项目结转</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图4：财政拨款收支预决算对比情况</w:t>
      </w: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r>
        <w:rPr>
          <w:rFonts w:hint="eastAsia" w:ascii="仿宋_GB2312" w:eastAsia="仿宋_GB2312" w:cs="DengXian-Regular"/>
          <w:sz w:val="32"/>
          <w:szCs w:val="32"/>
          <w:highlight w:val="yellow"/>
          <w:lang w:eastAsia="zh-CN"/>
        </w:rPr>
        <w:drawing>
          <wp:anchor distT="0" distB="0" distL="114300" distR="114300" simplePos="0" relativeHeight="0" behindDoc="0" locked="0" layoutInCell="1" allowOverlap="1">
            <wp:simplePos x="0" y="0"/>
            <wp:positionH relativeFrom="column">
              <wp:posOffset>422910</wp:posOffset>
            </wp:positionH>
            <wp:positionV relativeFrom="paragraph">
              <wp:posOffset>-3213735</wp:posOffset>
            </wp:positionV>
            <wp:extent cx="7889875" cy="6989445"/>
            <wp:effectExtent l="4445" t="4445" r="11430" b="1651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2018 年度财政拨款支出</w:t>
      </w:r>
      <w:r>
        <w:rPr>
          <w:rFonts w:hint="eastAsia" w:ascii="仿宋_GB2312" w:hAnsi="仿宋_GB2312" w:eastAsia="仿宋_GB2312" w:cs="仿宋_GB2312"/>
          <w:sz w:val="32"/>
          <w:szCs w:val="32"/>
          <w:lang w:val="en-US" w:eastAsia="zh-CN"/>
        </w:rPr>
        <w:t>1219.39</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1126.11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92.35</w:t>
      </w:r>
      <w:r>
        <w:rPr>
          <w:rFonts w:hint="eastAsia" w:ascii="仿宋_GB2312" w:hAnsi="仿宋_GB2312" w:eastAsia="仿宋_GB2312" w:cs="仿宋_GB2312"/>
          <w:sz w:val="32"/>
          <w:szCs w:val="32"/>
        </w:rPr>
        <w:t xml:space="preserve">%；社会保障和就业（类）支出 </w:t>
      </w:r>
      <w:r>
        <w:rPr>
          <w:rFonts w:hint="eastAsia" w:ascii="仿宋_GB2312" w:hAnsi="仿宋_GB2312" w:eastAsia="仿宋_GB2312" w:cs="仿宋_GB2312"/>
          <w:sz w:val="32"/>
          <w:szCs w:val="32"/>
          <w:lang w:val="en-US" w:eastAsia="zh-CN"/>
        </w:rPr>
        <w:t>58.91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4.83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医疗卫生与计划生育（类）支出</w:t>
      </w:r>
      <w:r>
        <w:rPr>
          <w:rFonts w:hint="eastAsia" w:ascii="仿宋_GB2312" w:hAnsi="仿宋_GB2312" w:eastAsia="仿宋_GB2312" w:cs="仿宋_GB2312"/>
          <w:sz w:val="32"/>
          <w:szCs w:val="32"/>
          <w:lang w:val="en-US" w:eastAsia="zh-CN"/>
        </w:rPr>
        <w:t>23.39万元，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；农林水（类）支出</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0.82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；资源勘探信息等（类）支出</w:t>
      </w:r>
      <w:r>
        <w:rPr>
          <w:rFonts w:hint="eastAsia" w:ascii="仿宋_GB2312" w:hAnsi="仿宋_GB2312" w:eastAsia="仿宋_GB2312" w:cs="仿宋_GB2312"/>
          <w:sz w:val="32"/>
          <w:szCs w:val="32"/>
          <w:lang w:val="en-US" w:eastAsia="zh-CN"/>
        </w:rPr>
        <w:t>0.98</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图5：财政拨款支出决算结构（按功能分类）</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3072" behindDoc="0" locked="0" layoutInCell="1" allowOverlap="1">
            <wp:simplePos x="0" y="0"/>
            <wp:positionH relativeFrom="column">
              <wp:posOffset>267335</wp:posOffset>
            </wp:positionH>
            <wp:positionV relativeFrom="paragraph">
              <wp:posOffset>746760</wp:posOffset>
            </wp:positionV>
            <wp:extent cx="7651750" cy="3870325"/>
            <wp:effectExtent l="4445" t="4445" r="20955" b="1143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年度一般公共预算财政拨款基本支出</w:t>
      </w:r>
      <w:r>
        <w:rPr>
          <w:rFonts w:hint="eastAsia" w:ascii="仿宋_GB2312" w:hAnsi="仿宋_GB2312" w:eastAsia="仿宋_GB2312" w:cs="仿宋_GB2312"/>
          <w:sz w:val="32"/>
          <w:szCs w:val="32"/>
          <w:lang w:val="en-US" w:eastAsia="zh-CN"/>
        </w:rPr>
        <w:t>557.46</w:t>
      </w:r>
      <w:r>
        <w:rPr>
          <w:rFonts w:hint="eastAsia" w:ascii="仿宋_GB2312" w:hAnsi="仿宋_GB2312" w:eastAsia="仿宋_GB2312" w:cs="仿宋_GB2312"/>
          <w:sz w:val="32"/>
          <w:szCs w:val="32"/>
        </w:rPr>
        <w:t xml:space="preserve">万元，其中：人员经费 </w:t>
      </w:r>
      <w:r>
        <w:rPr>
          <w:rFonts w:hint="eastAsia" w:ascii="仿宋_GB2312" w:hAnsi="仿宋_GB2312" w:eastAsia="仿宋_GB2312" w:cs="仿宋_GB2312"/>
          <w:sz w:val="32"/>
          <w:szCs w:val="32"/>
          <w:lang w:val="en-US" w:eastAsia="zh-CN"/>
        </w:rPr>
        <w:t>449.10</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hAnsi="仿宋_GB2312" w:eastAsia="仿宋_GB2312" w:cs="仿宋_GB2312"/>
          <w:sz w:val="32"/>
          <w:szCs w:val="32"/>
          <w:lang w:val="en-US" w:eastAsia="zh-CN"/>
        </w:rPr>
        <w:t>108.37</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本部门2018年度一般公共预算财政拨款“三公”经费支出共计</w:t>
      </w:r>
      <w:r>
        <w:rPr>
          <w:rFonts w:hint="eastAsia" w:ascii="仿宋_GB2312" w:hAnsi="仿宋_GB2312" w:eastAsia="仿宋_GB2312" w:cs="仿宋_GB2312"/>
          <w:sz w:val="32"/>
          <w:szCs w:val="32"/>
          <w:lang w:val="en-US" w:eastAsia="zh-CN"/>
        </w:rPr>
        <w:t>34.95</w:t>
      </w:r>
      <w:r>
        <w:rPr>
          <w:rFonts w:hint="eastAsia" w:ascii="仿宋_GB2312" w:hAnsi="仿宋_GB2312" w:eastAsia="仿宋_GB2312" w:cs="仿宋_GB2312"/>
          <w:sz w:val="32"/>
          <w:szCs w:val="32"/>
        </w:rPr>
        <w:t>万元，比年初预算减少</w:t>
      </w:r>
      <w:r>
        <w:rPr>
          <w:rFonts w:hint="eastAsia" w:ascii="仿宋_GB2312" w:hAnsi="仿宋_GB2312" w:eastAsia="仿宋_GB2312" w:cs="仿宋_GB2312"/>
          <w:sz w:val="32"/>
          <w:szCs w:val="32"/>
          <w:lang w:val="en-US" w:eastAsia="zh-CN"/>
        </w:rPr>
        <w:t>55.95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61.55</w:t>
      </w:r>
      <w:r>
        <w:rPr>
          <w:rFonts w:hint="eastAsia" w:ascii="仿宋_GB2312" w:hAnsi="仿宋_GB2312" w:eastAsia="仿宋_GB2312" w:cs="仿宋_GB2312"/>
          <w:sz w:val="32"/>
          <w:szCs w:val="32"/>
        </w:rPr>
        <w:t>%，原因是</w:t>
      </w:r>
      <w:r>
        <w:rPr>
          <w:rFonts w:hint="eastAsia" w:ascii="仿宋_GB2312" w:hAnsi="仿宋_GB2312" w:eastAsia="仿宋_GB2312" w:cs="仿宋_GB2312"/>
          <w:kern w:val="0"/>
          <w:sz w:val="32"/>
          <w:szCs w:val="32"/>
        </w:rPr>
        <w:t>本着厉行节约的要求，压减三公经费支出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比2017年度决算减少</w:t>
      </w:r>
      <w:r>
        <w:rPr>
          <w:rFonts w:hint="eastAsia" w:ascii="仿宋_GB2312" w:hAnsi="仿宋_GB2312" w:eastAsia="仿宋_GB2312" w:cs="仿宋_GB2312"/>
          <w:sz w:val="32"/>
          <w:szCs w:val="32"/>
          <w:lang w:val="en-US" w:eastAsia="zh-CN"/>
        </w:rPr>
        <w:t>109.07</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75.73</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减少项目支出</w:t>
      </w:r>
      <w:r>
        <w:rPr>
          <w:rFonts w:hint="eastAsia" w:ascii="仿宋_GB2312" w:hAnsi="仿宋_GB2312" w:eastAsia="仿宋_GB2312" w:cs="仿宋_GB2312"/>
          <w:sz w:val="32"/>
          <w:szCs w:val="32"/>
        </w:rPr>
        <w:t>。具体情况如下：</w:t>
      </w:r>
    </w:p>
    <w:p>
      <w:pPr>
        <w:numPr>
          <w:ilvl w:val="0"/>
          <w:numId w:val="3"/>
        </w:numPr>
        <w:adjustRightInd w:val="0"/>
        <w:snapToGrid w:val="0"/>
        <w:spacing w:line="584" w:lineRule="exact"/>
        <w:ind w:firstLine="643" w:firstLineChars="200"/>
        <w:rPr>
          <w:rFonts w:hint="eastAsia" w:ascii="仿宋" w:hAnsi="仿宋" w:eastAsia="仿宋" w:cs="仿宋"/>
          <w:sz w:val="32"/>
          <w:szCs w:val="32"/>
          <w:lang w:val="en-US" w:eastAsia="zh-CN"/>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hAnsi="仿宋_GB2312" w:eastAsia="仿宋_GB2312" w:cs="仿宋_GB2312"/>
          <w:sz w:val="32"/>
          <w:szCs w:val="32"/>
        </w:rPr>
        <w:t>本部门2018年度因公出国（境）团组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人/参加其他单位组织的因公出国（境）团组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人/无本单位组织的出国（境）团组。因公出国（境）费支出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2017年度决算</w:t>
      </w:r>
      <w:r>
        <w:rPr>
          <w:rFonts w:hint="eastAsia" w:ascii="仿宋_GB2312" w:hAnsi="仿宋_GB2312" w:eastAsia="仿宋_GB2312" w:cs="仿宋_GB2312"/>
          <w:sz w:val="32"/>
          <w:szCs w:val="32"/>
          <w:lang w:eastAsia="zh-CN"/>
        </w:rPr>
        <w:t>持平。</w:t>
      </w:r>
      <w:r>
        <w:rPr>
          <w:rFonts w:hint="eastAsia" w:ascii="仿宋" w:hAnsi="仿宋" w:eastAsia="仿宋" w:cs="仿宋"/>
          <w:sz w:val="32"/>
          <w:szCs w:val="32"/>
          <w:lang w:val="en-US" w:eastAsia="zh-CN"/>
        </w:rPr>
        <w:t xml:space="preserve"> </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25.55</w:t>
      </w:r>
      <w:r>
        <w:rPr>
          <w:rFonts w:eastAsia="楷体_GB2312"/>
          <w:b/>
          <w:bCs/>
          <w:sz w:val="32"/>
          <w:szCs w:val="32"/>
        </w:rPr>
        <w:t>万元。</w:t>
      </w:r>
      <w:r>
        <w:rPr>
          <w:rFonts w:hint="eastAsia" w:ascii="仿宋_GB2312" w:hAnsi="仿宋_GB2312" w:eastAsia="仿宋_GB2312" w:cs="仿宋_GB2312"/>
          <w:sz w:val="32"/>
          <w:szCs w:val="32"/>
        </w:rPr>
        <w:t>本部门2018年度公务用车购置及运行维护费比年初预算减少</w:t>
      </w:r>
      <w:r>
        <w:rPr>
          <w:rFonts w:hint="eastAsia" w:ascii="仿宋_GB2312" w:hAnsi="仿宋_GB2312" w:eastAsia="仿宋_GB2312" w:cs="仿宋_GB2312"/>
          <w:sz w:val="32"/>
          <w:szCs w:val="32"/>
          <w:lang w:val="en-US" w:eastAsia="zh-CN"/>
        </w:rPr>
        <w:t>55.95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68.65</w:t>
      </w:r>
      <w:r>
        <w:rPr>
          <w:rFonts w:hint="eastAsia" w:ascii="仿宋_GB2312" w:hAnsi="仿宋_GB2312" w:eastAsia="仿宋_GB2312" w:cs="仿宋_GB2312"/>
          <w:sz w:val="32"/>
          <w:szCs w:val="32"/>
        </w:rPr>
        <w:t>%,减少原因是厉行节约；比2017年度决算减少</w:t>
      </w:r>
      <w:r>
        <w:rPr>
          <w:rFonts w:hint="eastAsia" w:ascii="仿宋_GB2312" w:hAnsi="仿宋_GB2312" w:eastAsia="仿宋_GB2312" w:cs="仿宋_GB2312"/>
          <w:sz w:val="32"/>
          <w:szCs w:val="32"/>
          <w:lang w:val="en-US" w:eastAsia="zh-CN"/>
        </w:rPr>
        <w:t>72.16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73.85</w:t>
      </w:r>
      <w:r>
        <w:rPr>
          <w:rFonts w:hint="eastAsia" w:ascii="仿宋_GB2312" w:hAnsi="仿宋_GB2312" w:eastAsia="仿宋_GB2312" w:cs="仿宋_GB2312"/>
          <w:sz w:val="32"/>
          <w:szCs w:val="32"/>
        </w:rPr>
        <w:t>%，主要是减少原因是厉行节约。</w:t>
      </w:r>
      <w:r>
        <w:rPr>
          <w:rFonts w:eastAsia="仿宋_GB2312"/>
          <w:b/>
          <w:bCs/>
          <w:sz w:val="32"/>
          <w:szCs w:val="32"/>
        </w:rPr>
        <w:t>其中：</w:t>
      </w:r>
    </w:p>
    <w:p>
      <w:pPr>
        <w:ind w:firstLine="643" w:firstLineChars="200"/>
        <w:rPr>
          <w:rFonts w:hint="eastAsia" w:ascii="仿宋_GB2312" w:hAnsi="仿宋_GB2312" w:eastAsia="仿宋_GB2312" w:cs="仿宋_GB2312"/>
          <w:sz w:val="32"/>
          <w:szCs w:val="32"/>
          <w:highlight w:val="none"/>
          <w:shd w:val="clear" w:color="auto" w:fill="auto"/>
          <w:lang w:val="en-US"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hint="eastAsia" w:ascii="仿宋_GB2312" w:hAnsi="仿宋_GB2312" w:eastAsia="仿宋_GB2312" w:cs="仿宋_GB2312"/>
          <w:sz w:val="32"/>
          <w:szCs w:val="32"/>
        </w:rPr>
        <w:t>本部门2018年度</w:t>
      </w:r>
      <w:r>
        <w:rPr>
          <w:rFonts w:hint="eastAsia" w:ascii="仿宋_GB2312" w:hAnsi="仿宋_GB2312" w:eastAsia="仿宋_GB2312" w:cs="仿宋_GB2312"/>
          <w:color w:val="000000"/>
          <w:sz w:val="32"/>
          <w:szCs w:val="32"/>
          <w:highlight w:val="none"/>
          <w:shd w:val="clear" w:color="auto" w:fill="auto"/>
        </w:rPr>
        <w:t>未发生“公务用车购置”经费支出、“较年初预算无增减变化”、“较2017年度决算无增减变化”</w:t>
      </w:r>
      <w:r>
        <w:rPr>
          <w:rFonts w:hint="eastAsia" w:ascii="仿宋_GB2312" w:hAnsi="仿宋_GB2312" w:eastAsia="仿宋_GB2312" w:cs="仿宋_GB2312"/>
          <w:sz w:val="32"/>
          <w:szCs w:val="32"/>
          <w:highlight w:val="none"/>
          <w:shd w:val="clear" w:color="auto" w:fill="auto"/>
        </w:rPr>
        <w:t>。</w:t>
      </w:r>
    </w:p>
    <w:p>
      <w:pPr>
        <w:adjustRightInd w:val="0"/>
        <w:snapToGrid w:val="0"/>
        <w:spacing w:line="584" w:lineRule="exact"/>
        <w:ind w:firstLine="643" w:firstLineChars="200"/>
        <w:rPr>
          <w:rFonts w:hint="eastAsia" w:ascii="仿宋_GB2312" w:hAnsi="仿宋_GB2312" w:eastAsia="仿宋_GB2312" w:cs="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25.55</w:t>
      </w:r>
      <w:r>
        <w:rPr>
          <w:rFonts w:eastAsia="仿宋_GB2312"/>
          <w:b/>
          <w:sz w:val="32"/>
          <w:szCs w:val="32"/>
        </w:rPr>
        <w:t>万元。</w:t>
      </w:r>
      <w:r>
        <w:rPr>
          <w:rFonts w:hint="eastAsia" w:ascii="仿宋_GB2312" w:hAnsi="仿宋_GB2312" w:eastAsia="仿宋_GB2312" w:cs="仿宋_GB2312"/>
          <w:sz w:val="32"/>
          <w:szCs w:val="32"/>
        </w:rPr>
        <w:t>本部门2018年末单位公务用车保有量</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辆。公车运行维护费支出比年初预算减少</w:t>
      </w:r>
      <w:r>
        <w:rPr>
          <w:rFonts w:hint="eastAsia" w:ascii="仿宋_GB2312" w:hAnsi="仿宋_GB2312" w:eastAsia="仿宋_GB2312" w:cs="仿宋_GB2312"/>
          <w:sz w:val="32"/>
          <w:szCs w:val="32"/>
          <w:lang w:val="en-US" w:eastAsia="zh-CN"/>
        </w:rPr>
        <w:t>55.95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68.65</w:t>
      </w:r>
      <w:r>
        <w:rPr>
          <w:rFonts w:hint="eastAsia" w:ascii="仿宋_GB2312" w:hAnsi="仿宋_GB2312" w:eastAsia="仿宋_GB2312" w:cs="仿宋_GB2312"/>
          <w:sz w:val="32"/>
          <w:szCs w:val="32"/>
        </w:rPr>
        <w:t>%,减少原因是厉行节约；比2017年度决算减少</w:t>
      </w:r>
      <w:r>
        <w:rPr>
          <w:rFonts w:hint="eastAsia" w:ascii="仿宋_GB2312" w:hAnsi="仿宋_GB2312" w:eastAsia="仿宋_GB2312" w:cs="仿宋_GB2312"/>
          <w:sz w:val="32"/>
          <w:szCs w:val="32"/>
          <w:lang w:val="en-US" w:eastAsia="zh-CN"/>
        </w:rPr>
        <w:t>72.16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73.85</w:t>
      </w:r>
      <w:r>
        <w:rPr>
          <w:rFonts w:hint="eastAsia" w:ascii="仿宋_GB2312" w:hAnsi="仿宋_GB2312" w:eastAsia="仿宋_GB2312" w:cs="仿宋_GB2312"/>
          <w:sz w:val="32"/>
          <w:szCs w:val="32"/>
        </w:rPr>
        <w:t>%，主要是减少原因是厉行节约。</w:t>
      </w:r>
    </w:p>
    <w:p>
      <w:pPr>
        <w:adjustRightInd w:val="0"/>
        <w:snapToGrid w:val="0"/>
        <w:spacing w:line="584" w:lineRule="exact"/>
        <w:ind w:firstLine="643" w:firstLineChars="200"/>
        <w:rPr>
          <w:rFonts w:hint="eastAsia" w:ascii="仿宋" w:hAnsi="仿宋" w:eastAsia="仿宋" w:cs="仿宋"/>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9.4</w:t>
      </w:r>
      <w:r>
        <w:rPr>
          <w:rFonts w:eastAsia="楷体_GB2312"/>
          <w:b/>
          <w:bCs/>
          <w:sz w:val="32"/>
          <w:szCs w:val="32"/>
        </w:rPr>
        <w:t>万元。</w:t>
      </w:r>
      <w:r>
        <w:rPr>
          <w:rFonts w:hint="eastAsia" w:ascii="仿宋_GB2312" w:hAnsi="仿宋_GB2312" w:eastAsia="仿宋_GB2312" w:cs="仿宋_GB2312"/>
          <w:sz w:val="32"/>
          <w:szCs w:val="32"/>
        </w:rPr>
        <w:t>本部门2018年度公务接待共</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2649</w:t>
      </w:r>
      <w:r>
        <w:rPr>
          <w:rFonts w:hint="eastAsia" w:ascii="仿宋_GB2312" w:hAnsi="仿宋_GB2312" w:eastAsia="仿宋_GB2312" w:cs="仿宋_GB2312"/>
          <w:sz w:val="32"/>
          <w:szCs w:val="32"/>
        </w:rPr>
        <w:t>人次。公务接待费支出比年初预算减少</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5.05</w:t>
      </w:r>
      <w:r>
        <w:rPr>
          <w:rFonts w:hint="eastAsia" w:ascii="仿宋_GB2312" w:hAnsi="仿宋_GB2312" w:eastAsia="仿宋_GB2312" w:cs="仿宋_GB2312"/>
          <w:sz w:val="32"/>
          <w:szCs w:val="32"/>
        </w:rPr>
        <w:t>%，主要是厉行节约；比2017年度决算减少</w:t>
      </w:r>
      <w:r>
        <w:rPr>
          <w:rFonts w:hint="eastAsia" w:ascii="仿宋_GB2312" w:hAnsi="仿宋_GB2312" w:eastAsia="仿宋_GB2312" w:cs="仿宋_GB2312"/>
          <w:sz w:val="32"/>
          <w:szCs w:val="32"/>
          <w:lang w:val="en-US" w:eastAsia="zh-CN"/>
        </w:rPr>
        <w:t>36.91</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79.7</w:t>
      </w:r>
      <w:r>
        <w:rPr>
          <w:rFonts w:hint="eastAsia" w:ascii="仿宋_GB2312" w:hAnsi="仿宋_GB2312" w:eastAsia="仿宋_GB2312" w:cs="仿宋_GB2312"/>
          <w:sz w:val="32"/>
          <w:szCs w:val="32"/>
        </w:rPr>
        <w:t>%，主要是厉行节约。</w:t>
      </w:r>
    </w:p>
    <w:p>
      <w:pPr>
        <w:ind w:firstLine="640" w:firstLineChars="200"/>
        <w:rPr>
          <w:rFonts w:ascii="黑体" w:eastAsia="黑体"/>
          <w:sz w:val="32"/>
          <w:szCs w:val="40"/>
        </w:rPr>
      </w:pPr>
      <w:r>
        <w:rPr>
          <w:rFonts w:hint="eastAsia" w:ascii="黑体" w:eastAsia="黑体"/>
          <w:sz w:val="32"/>
          <w:szCs w:val="40"/>
        </w:rPr>
        <w:t>六、预算绩效情况说明</w:t>
      </w:r>
    </w:p>
    <w:p>
      <w:pPr>
        <w:spacing w:line="500" w:lineRule="exact"/>
        <w:ind w:firstLine="56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政务服务与政务管理：突出政务、加强事务管理，力求重点工作出精品。难点工作求突破、基础工作有创新、常规工作见特色。以机关干部工作作风为依据，增强工作综合服务实力。</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应急管理：保障应急平台安全运行，有效保证应急突发事件应对处置，完善应急体系，有效组织应急演练，进一步提升应急工作水平。</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政府电子政务：确保各类会议顺利进行，保障政府网络系统安全运行，严格保障服务流程和视频会议管理制度，切实提高技术保障能力和服务水平。</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地方志事务管理：弘扬传统文化，充分发挥志书“资政、存史、教化”的综合功能，为社会各界提供方便快捷提供大城县情。</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综合业务、事务管理：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numPr>
          <w:ilvl w:val="0"/>
          <w:numId w:val="3"/>
        </w:numPr>
        <w:spacing w:line="50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项目绩效自评结果。</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一、提升政务公开服务水平。承办大型会议，有效推动全县经济发展，保障重大决策落实，积极贯彻工作</w:t>
      </w:r>
      <w:r>
        <w:rPr>
          <w:rFonts w:hint="eastAsia" w:ascii="仿宋_GB2312" w:hAnsi="仿宋_GB2312" w:eastAsia="仿宋_GB2312" w:cs="仿宋_GB2312"/>
          <w:sz w:val="32"/>
          <w:lang w:eastAsia="zh-CN"/>
        </w:rPr>
        <w:t>部</w:t>
      </w:r>
      <w:r>
        <w:rPr>
          <w:rFonts w:hint="eastAsia" w:ascii="仿宋_GB2312" w:hAnsi="仿宋_GB2312" w:eastAsia="仿宋_GB2312" w:cs="仿宋_GB2312"/>
          <w:sz w:val="32"/>
        </w:rPr>
        <w:t>署，创新工作机制，提升服务水平。围绕我县中心工作，有效促进对外经贸协作和外地高科技项目合作。</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二、建设运行维护平台数据，为有效保障全县突发事件提供技术保障，确保快速、有效处置突发事件，提高事件应对实效。</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三、确保各类会议顺利进行，保障政府网络安全运行，严格保障服务流程和视频会议管理制度，切实提高技术保障能力和服务水平。</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四、传承优秀文化传统，充分发挥志书“资政、存史、教化”的综合功能，为社会各界方便快捷提供大城县情，为县域经济社会建设服务，为地方志工作者提供资料和工具。</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五、采取保障县政府领导和机关工作办公环境的措施，提升了服务管理水平，保障了县领导和机关工作的正常运转。</w:t>
      </w:r>
    </w:p>
    <w:p>
      <w:pPr>
        <w:spacing w:line="500" w:lineRule="exact"/>
        <w:ind w:firstLine="560"/>
        <w:rPr>
          <w:rFonts w:hint="eastAsia" w:ascii="仿宋_GB2312" w:hAnsi="仿宋_GB2312" w:eastAsia="仿宋_GB2312" w:cs="仿宋_GB2312"/>
          <w:sz w:val="32"/>
        </w:rPr>
      </w:pPr>
      <w:r>
        <w:rPr>
          <w:rFonts w:hint="eastAsia" w:ascii="仿宋_GB2312" w:hAnsi="仿宋_GB2312" w:eastAsia="仿宋_GB2312" w:cs="仿宋_GB2312"/>
          <w:sz w:val="32"/>
        </w:rPr>
        <w:t>六、通过组织全县依法行政考核工作，进一步推动法治政府建设。通过协调部门间涉法矛盾争议，受理查处个案和群众举报，推进执法责任制、评议考核制、执法监督制度，组织全县执法监督检查工作，加强对行政执法人员资格、年检考试、培训和证件管理，审核执法主体资格，推进依法行政。通过依法受理并办理行政复议案件，办理行政诉讼、裁决案件，及时纠正各级行政机关违法不当行为，保障申请人合法权益，推动依法行政。做好法制宣传网站、政府法治刊物等工作，为依法行政创造良好的法律氛围和舆论环境。执法人员法律知识培训。各类政府法制业务工作谋划到位、开展有序，推进政府法制建设。</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七、严守不发生系统性、区域性金融风险的底线，净化金融市场，防止非法集资活动的蔓延，维护社会稳定。积极稳妥推动小额贷款公司稳步增长，发挥支农、支小作用。协调解决金融机构发展中遇到的问题，组织好项目对接，推动投融资体系建设和投融资机构做大做强，促进驻县机构服务县域经济社会发展。</w:t>
      </w:r>
    </w:p>
    <w:p>
      <w:pPr>
        <w:spacing w:line="5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（三）重点项目绩效评价结果。</w:t>
      </w:r>
    </w:p>
    <w:tbl>
      <w:tblPr>
        <w:tblStyle w:val="12"/>
        <w:tblpPr w:leftFromText="180" w:rightFromText="180" w:vertAnchor="text" w:horzAnchor="page" w:tblpX="922" w:tblpY="454"/>
        <w:tblOverlap w:val="never"/>
        <w:tblW w:w="107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8"/>
        <w:gridCol w:w="979"/>
        <w:gridCol w:w="2286"/>
        <w:gridCol w:w="2286"/>
        <w:gridCol w:w="1087"/>
        <w:gridCol w:w="565"/>
        <w:gridCol w:w="566"/>
        <w:gridCol w:w="567"/>
        <w:gridCol w:w="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trPr>
        <w:tc>
          <w:tcPr>
            <w:tcW w:w="843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1"/>
                <w:szCs w:val="21"/>
              </w:rPr>
            </w:pPr>
            <w:r>
              <w:rPr>
                <w:rFonts w:ascii="方正小标宋_GBK" w:eastAsia="方正小标宋_GBK"/>
                <w:sz w:val="21"/>
                <w:szCs w:val="21"/>
              </w:rPr>
              <w:t>434</w:t>
            </w:r>
            <w:r>
              <w:rPr>
                <w:rFonts w:hint="eastAsia" w:ascii="方正小标宋_GBK" w:eastAsia="方正小标宋_GBK"/>
                <w:sz w:val="21"/>
                <w:szCs w:val="21"/>
              </w:rPr>
              <w:t>大城县人民政府办公室</w:t>
            </w:r>
          </w:p>
        </w:tc>
        <w:tc>
          <w:tcPr>
            <w:tcW w:w="2264"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trPr>
        <w:tc>
          <w:tcPr>
            <w:tcW w:w="1798" w:type="dxa"/>
            <w:vMerge w:val="restart"/>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职责活动</w:t>
            </w:r>
          </w:p>
        </w:tc>
        <w:tc>
          <w:tcPr>
            <w:tcW w:w="979" w:type="dxa"/>
            <w:vMerge w:val="restart"/>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年度预算数</w:t>
            </w:r>
          </w:p>
        </w:tc>
        <w:tc>
          <w:tcPr>
            <w:tcW w:w="2286" w:type="dxa"/>
            <w:vMerge w:val="restart"/>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内容描述</w:t>
            </w:r>
          </w:p>
        </w:tc>
        <w:tc>
          <w:tcPr>
            <w:tcW w:w="2286" w:type="dxa"/>
            <w:vMerge w:val="restart"/>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绩效目标</w:t>
            </w:r>
          </w:p>
        </w:tc>
        <w:tc>
          <w:tcPr>
            <w:tcW w:w="1087" w:type="dxa"/>
            <w:vMerge w:val="restart"/>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绩效指标</w:t>
            </w:r>
          </w:p>
        </w:tc>
        <w:tc>
          <w:tcPr>
            <w:tcW w:w="2264" w:type="dxa"/>
            <w:gridSpan w:val="4"/>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trPr>
        <w:tc>
          <w:tcPr>
            <w:tcW w:w="1798" w:type="dxa"/>
            <w:vMerge w:val="continue"/>
            <w:shd w:val="clear" w:color="auto" w:fill="auto"/>
            <w:noWrap w:val="0"/>
            <w:vAlign w:val="center"/>
          </w:tcPr>
          <w:p>
            <w:pPr>
              <w:spacing w:line="300" w:lineRule="exact"/>
              <w:jc w:val="left"/>
              <w:outlineLvl w:val="0"/>
              <w:rPr>
                <w:sz w:val="18"/>
                <w:szCs w:val="21"/>
              </w:rPr>
            </w:pPr>
          </w:p>
        </w:tc>
        <w:tc>
          <w:tcPr>
            <w:tcW w:w="979" w:type="dxa"/>
            <w:vMerge w:val="continue"/>
            <w:shd w:val="clear" w:color="auto" w:fill="auto"/>
            <w:noWrap w:val="0"/>
            <w:vAlign w:val="center"/>
          </w:tcPr>
          <w:p>
            <w:pPr>
              <w:spacing w:line="300" w:lineRule="exact"/>
              <w:jc w:val="left"/>
              <w:outlineLvl w:val="0"/>
              <w:rPr>
                <w:sz w:val="18"/>
                <w:szCs w:val="21"/>
              </w:rPr>
            </w:pPr>
          </w:p>
        </w:tc>
        <w:tc>
          <w:tcPr>
            <w:tcW w:w="2286" w:type="dxa"/>
            <w:vMerge w:val="continue"/>
            <w:shd w:val="clear" w:color="auto" w:fill="auto"/>
            <w:noWrap w:val="0"/>
            <w:vAlign w:val="center"/>
          </w:tcPr>
          <w:p>
            <w:pPr>
              <w:spacing w:line="300" w:lineRule="exact"/>
              <w:jc w:val="left"/>
              <w:outlineLvl w:val="0"/>
              <w:rPr>
                <w:sz w:val="18"/>
                <w:szCs w:val="21"/>
              </w:rPr>
            </w:pPr>
          </w:p>
        </w:tc>
        <w:tc>
          <w:tcPr>
            <w:tcW w:w="2286" w:type="dxa"/>
            <w:vMerge w:val="continue"/>
            <w:shd w:val="clear" w:color="auto" w:fill="auto"/>
            <w:noWrap w:val="0"/>
            <w:vAlign w:val="center"/>
          </w:tcPr>
          <w:p>
            <w:pPr>
              <w:spacing w:line="300" w:lineRule="exact"/>
              <w:jc w:val="left"/>
              <w:outlineLvl w:val="0"/>
              <w:rPr>
                <w:sz w:val="18"/>
                <w:szCs w:val="21"/>
              </w:rPr>
            </w:pPr>
          </w:p>
        </w:tc>
        <w:tc>
          <w:tcPr>
            <w:tcW w:w="1087" w:type="dxa"/>
            <w:vMerge w:val="continue"/>
            <w:shd w:val="clear" w:color="auto" w:fill="auto"/>
            <w:noWrap w:val="0"/>
            <w:vAlign w:val="center"/>
          </w:tcPr>
          <w:p>
            <w:pPr>
              <w:spacing w:line="300" w:lineRule="exact"/>
              <w:jc w:val="left"/>
              <w:outlineLvl w:val="0"/>
              <w:rPr>
                <w:sz w:val="18"/>
                <w:szCs w:val="21"/>
              </w:rPr>
            </w:pPr>
          </w:p>
        </w:tc>
        <w:tc>
          <w:tcPr>
            <w:tcW w:w="565" w:type="dxa"/>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优</w:t>
            </w:r>
          </w:p>
        </w:tc>
        <w:tc>
          <w:tcPr>
            <w:tcW w:w="566" w:type="dxa"/>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良</w:t>
            </w:r>
          </w:p>
        </w:tc>
        <w:tc>
          <w:tcPr>
            <w:tcW w:w="567" w:type="dxa"/>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中</w:t>
            </w:r>
          </w:p>
        </w:tc>
        <w:tc>
          <w:tcPr>
            <w:tcW w:w="566" w:type="dxa"/>
            <w:shd w:val="clear" w:color="auto" w:fill="auto"/>
            <w:noWrap w:val="0"/>
            <w:vAlign w:val="center"/>
          </w:tcPr>
          <w:p>
            <w:pPr>
              <w:spacing w:line="300" w:lineRule="exact"/>
              <w:jc w:val="center"/>
              <w:rPr>
                <w:rFonts w:ascii="方正书宋_GBK" w:eastAsia="方正书宋_GBK"/>
                <w:b/>
                <w:sz w:val="18"/>
                <w:szCs w:val="21"/>
              </w:rPr>
            </w:pPr>
            <w:r>
              <w:rPr>
                <w:rFonts w:hint="eastAsia" w:ascii="方正书宋_GBK" w:eastAsia="方正书宋_GBK"/>
                <w:b/>
                <w:sz w:val="18"/>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27" w:hRule="atLeast"/>
        </w:trPr>
        <w:tc>
          <w:tcPr>
            <w:tcW w:w="1798" w:type="dxa"/>
            <w:shd w:val="clear" w:color="auto" w:fill="auto"/>
            <w:noWrap w:val="0"/>
            <w:vAlign w:val="center"/>
          </w:tcPr>
          <w:p>
            <w:pPr>
              <w:spacing w:line="300" w:lineRule="exact"/>
              <w:jc w:val="left"/>
              <w:rPr>
                <w:rFonts w:ascii="方正书宋_GBK" w:eastAsia="方正书宋_GBK"/>
                <w:b/>
                <w:sz w:val="18"/>
                <w:szCs w:val="21"/>
              </w:rPr>
            </w:pPr>
            <w:r>
              <w:rPr>
                <w:rFonts w:hint="eastAsia" w:ascii="方正书宋_GBK" w:eastAsia="方正书宋_GBK"/>
                <w:b/>
                <w:sz w:val="18"/>
                <w:szCs w:val="21"/>
              </w:rPr>
              <w:t>一、政务服务与政务管理</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319.40</w:t>
            </w:r>
          </w:p>
        </w:tc>
        <w:tc>
          <w:tcPr>
            <w:tcW w:w="2286" w:type="dxa"/>
            <w:shd w:val="clear" w:color="auto" w:fill="auto"/>
            <w:noWrap w:val="0"/>
            <w:vAlign w:val="center"/>
          </w:tcPr>
          <w:p>
            <w:pPr>
              <w:spacing w:line="300" w:lineRule="exact"/>
              <w:jc w:val="left"/>
              <w:rPr>
                <w:rFonts w:ascii="方正书宋_GBK" w:eastAsia="方正书宋_GBK"/>
                <w:sz w:val="18"/>
                <w:szCs w:val="21"/>
              </w:rPr>
            </w:pPr>
            <w:r>
              <w:rPr>
                <w:rFonts w:hint="eastAsia" w:ascii="方正书宋_GBK" w:eastAsia="方正书宋_GBK"/>
                <w:sz w:val="18"/>
                <w:szCs w:val="21"/>
              </w:rPr>
              <w:t>政务公开、县政府大型会议管理、政务督查督办、打击走私事务、政务联络工作。</w:t>
            </w:r>
          </w:p>
        </w:tc>
        <w:tc>
          <w:tcPr>
            <w:tcW w:w="2286" w:type="dxa"/>
            <w:shd w:val="clear" w:color="auto" w:fill="auto"/>
            <w:noWrap w:val="0"/>
            <w:vAlign w:val="center"/>
          </w:tcPr>
          <w:p>
            <w:pPr>
              <w:spacing w:line="300" w:lineRule="exact"/>
              <w:jc w:val="left"/>
              <w:rPr>
                <w:rFonts w:ascii="方正书宋_GBK" w:eastAsia="方正书宋_GBK"/>
                <w:sz w:val="18"/>
                <w:szCs w:val="21"/>
              </w:rPr>
            </w:pPr>
            <w:r>
              <w:rPr>
                <w:rFonts w:hint="eastAsia" w:ascii="方正书宋_GBK" w:eastAsia="方正书宋_GBK"/>
                <w:sz w:val="18"/>
                <w:szCs w:val="21"/>
              </w:rPr>
              <w:t>突出政务、加强事务管理，力求重点工作出精品。难点工作求突破、基础工作有创新、常规工作见特色。以机关干部工作作风为依据，增强工作综合服务实力。</w:t>
            </w:r>
          </w:p>
        </w:tc>
        <w:tc>
          <w:tcPr>
            <w:tcW w:w="1087" w:type="dxa"/>
            <w:shd w:val="clear" w:color="auto" w:fill="auto"/>
            <w:noWrap w:val="0"/>
            <w:vAlign w:val="center"/>
          </w:tcPr>
          <w:p>
            <w:pPr>
              <w:spacing w:line="300" w:lineRule="exact"/>
              <w:jc w:val="left"/>
              <w:rPr>
                <w:rFonts w:ascii="方正书宋_GBK" w:eastAsia="方正书宋_GBK"/>
                <w:sz w:val="18"/>
                <w:szCs w:val="21"/>
              </w:rPr>
            </w:pPr>
          </w:p>
        </w:tc>
        <w:tc>
          <w:tcPr>
            <w:tcW w:w="565" w:type="dxa"/>
            <w:shd w:val="clear" w:color="auto" w:fill="auto"/>
            <w:noWrap w:val="0"/>
            <w:vAlign w:val="center"/>
          </w:tcPr>
          <w:p>
            <w:pPr>
              <w:spacing w:line="300" w:lineRule="exact"/>
              <w:jc w:val="center"/>
              <w:rPr>
                <w:rFonts w:ascii="方正书宋_GBK" w:eastAsia="方正书宋_GBK"/>
                <w:sz w:val="18"/>
                <w:szCs w:val="21"/>
              </w:rPr>
            </w:pPr>
          </w:p>
        </w:tc>
        <w:tc>
          <w:tcPr>
            <w:tcW w:w="566" w:type="dxa"/>
            <w:shd w:val="clear" w:color="auto" w:fill="auto"/>
            <w:noWrap w:val="0"/>
            <w:vAlign w:val="center"/>
          </w:tcPr>
          <w:p>
            <w:pPr>
              <w:spacing w:line="300" w:lineRule="exact"/>
              <w:jc w:val="center"/>
              <w:rPr>
                <w:rFonts w:ascii="方正书宋_GBK" w:eastAsia="方正书宋_GBK"/>
                <w:sz w:val="18"/>
                <w:szCs w:val="21"/>
              </w:rPr>
            </w:pPr>
          </w:p>
        </w:tc>
        <w:tc>
          <w:tcPr>
            <w:tcW w:w="567" w:type="dxa"/>
            <w:shd w:val="clear" w:color="auto" w:fill="auto"/>
            <w:noWrap w:val="0"/>
            <w:vAlign w:val="center"/>
          </w:tcPr>
          <w:p>
            <w:pPr>
              <w:spacing w:line="300" w:lineRule="exact"/>
              <w:jc w:val="center"/>
              <w:rPr>
                <w:rFonts w:ascii="方正书宋_GBK" w:eastAsia="方正书宋_GBK"/>
                <w:sz w:val="18"/>
                <w:szCs w:val="21"/>
              </w:rPr>
            </w:pPr>
          </w:p>
        </w:tc>
        <w:tc>
          <w:tcPr>
            <w:tcW w:w="566" w:type="dxa"/>
            <w:shd w:val="clear" w:color="auto" w:fill="auto"/>
            <w:noWrap w:val="0"/>
            <w:vAlign w:val="center"/>
          </w:tcPr>
          <w:p>
            <w:pPr>
              <w:spacing w:line="300" w:lineRule="exact"/>
              <w:jc w:val="center"/>
              <w:rPr>
                <w:rFonts w:ascii="方正书宋_GBK" w:eastAsia="方正书宋_GBK"/>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w:t>
            </w:r>
            <w:r>
              <w:rPr>
                <w:rFonts w:hint="eastAsia" w:ascii="方正书宋_GBK" w:eastAsia="方正书宋_GBK"/>
                <w:b/>
                <w:sz w:val="18"/>
                <w:szCs w:val="21"/>
              </w:rPr>
              <w:t>、政务公开、会议管理、督查督办、打私事务、政务联络。</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319.40</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不断提高信息公开工作业务水平；协助县领导组织会议决定事项的落实；督办重大决策落实；协调组织打私事务，增大打私力度；做好县际间政务往来与经济交流工作，负责县级领导公务活动的接待安排。</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提升政务公开服务水平。承办大型会议，有效推动全县经济发展，保障重大决策落实，积极贯彻工作</w:t>
            </w:r>
            <w:r>
              <w:rPr>
                <w:rFonts w:hint="eastAsia" w:ascii="方正书宋_GBK" w:eastAsia="方正书宋_GBK"/>
                <w:sz w:val="18"/>
                <w:szCs w:val="21"/>
                <w:lang w:eastAsia="zh-CN"/>
              </w:rPr>
              <w:t>部</w:t>
            </w:r>
            <w:bookmarkStart w:id="0" w:name="_GoBack"/>
            <w:bookmarkEnd w:id="0"/>
            <w:r>
              <w:rPr>
                <w:rFonts w:hint="eastAsia" w:ascii="方正书宋_GBK" w:eastAsia="方正书宋_GBK"/>
                <w:sz w:val="18"/>
                <w:szCs w:val="21"/>
              </w:rPr>
              <w:t>署，创新工作机制，提升服务水平。围绕我县中心工作，有效促进对外经贸协作和外地高科技项目合作。</w:t>
            </w:r>
          </w:p>
        </w:tc>
        <w:tc>
          <w:tcPr>
            <w:tcW w:w="1087" w:type="dxa"/>
            <w:shd w:val="clear" w:color="auto" w:fill="auto"/>
            <w:noWrap w:val="0"/>
            <w:vAlign w:val="center"/>
          </w:tcPr>
          <w:p>
            <w:pPr>
              <w:spacing w:line="300" w:lineRule="exact"/>
              <w:jc w:val="left"/>
              <w:rPr>
                <w:rFonts w:ascii="方正书宋_GBK" w:eastAsia="方正书宋_GBK"/>
                <w:sz w:val="18"/>
                <w:szCs w:val="21"/>
              </w:rPr>
            </w:pPr>
            <w:r>
              <w:rPr>
                <w:rFonts w:hint="eastAsia" w:ascii="方正书宋_GBK" w:eastAsia="方正书宋_GBK"/>
                <w:sz w:val="18"/>
                <w:szCs w:val="21"/>
              </w:rPr>
              <w:t>检查信息公开履行职责（次）</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5</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[3,5)</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[1,3)</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政务信息公开培训任务完成率</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打私专项联合执法行动</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圆满完成</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较好完成</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部分完成</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承办大型会议次数</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事项督查反馈率</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80%</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60%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组织对外联络（次）</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3</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2</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对外联络服务满意度</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离退领导满意程度</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督查督办落实任务完成率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5"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二、应急管理</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23.00</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负责县政府值班工作，及时报告重大情况，协助县领导组织处理突发事件。</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保障应急平台安全运行，有效保证应急突发事件应对处置，完善应急体系，有效组织应急演练，进一步提升应急工作水平。</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w:t>
            </w:r>
            <w:r>
              <w:rPr>
                <w:rFonts w:hint="eastAsia" w:ascii="方正书宋_GBK" w:eastAsia="方正书宋_GBK"/>
                <w:b/>
                <w:sz w:val="18"/>
                <w:szCs w:val="21"/>
              </w:rPr>
              <w:t>、应急管理</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23.00</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县政府值班工作，及时报告重要情况，传达和落实县领导重要指示，协助县领导完成组织处理突发事件应急处置工作。</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建设运行维护平台数据，为有效保障全县突发事件提供技术保障，确保快速、有效处置突发事件，提高事件应对实效。</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应急事件处置情况</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98%</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系统全年累计故障时长（小时）</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48</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96</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192</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5"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三、政府电子政务</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210.39</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政务信息工作和机关电子政务工作</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确保各类会议顺利进行，保障政府网络系统安全运行，严格保障服务流程和视频会议管理制度，切实提高技术保障能力和服务水平。</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w:t>
            </w:r>
            <w:r>
              <w:rPr>
                <w:rFonts w:hint="eastAsia" w:ascii="方正书宋_GBK" w:eastAsia="方正书宋_GBK"/>
                <w:b/>
                <w:sz w:val="18"/>
                <w:szCs w:val="21"/>
              </w:rPr>
              <w:t>、政府电子政务管理与服务</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210.39</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政务信息工作和机关电子政务工作</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确保各类会议顺利进行，保障政府网络安全运行，严格保障服务流程和视频会议管理制度，切实提高技术保障能力和服务水平。</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会议保障率</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80%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网络系统升级</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80%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视频会议系统断点</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信号优良</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信号正常</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偶有断点</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不正常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2"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四、地方志事务管理</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24.30</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全县地方志事务管理</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弘扬传统文化，充分发挥志书</w:t>
            </w:r>
            <w:r>
              <w:rPr>
                <w:rFonts w:hint="cs" w:ascii="方正书宋_GBK" w:eastAsia="方正书宋_GBK"/>
                <w:sz w:val="18"/>
                <w:szCs w:val="21"/>
              </w:rPr>
              <w:t>“</w:t>
            </w:r>
            <w:r>
              <w:rPr>
                <w:rFonts w:hint="eastAsia" w:ascii="方正书宋_GBK" w:eastAsia="方正书宋_GBK"/>
                <w:sz w:val="18"/>
                <w:szCs w:val="21"/>
              </w:rPr>
              <w:t>资政、存史、教化</w:t>
            </w:r>
            <w:r>
              <w:rPr>
                <w:rFonts w:hint="cs" w:ascii="方正书宋_GBK" w:eastAsia="方正书宋_GBK"/>
                <w:sz w:val="18"/>
                <w:szCs w:val="21"/>
              </w:rPr>
              <w:t>”</w:t>
            </w:r>
            <w:r>
              <w:rPr>
                <w:rFonts w:hint="eastAsia" w:ascii="方正书宋_GBK" w:eastAsia="方正书宋_GBK"/>
                <w:sz w:val="18"/>
                <w:szCs w:val="21"/>
              </w:rPr>
              <w:t>的综合功能，为社会各界提供方便快捷提供</w:t>
            </w:r>
            <w:r>
              <w:rPr>
                <w:rFonts w:ascii="方正书宋_GBK" w:eastAsia="方正书宋_GBK"/>
                <w:sz w:val="18"/>
                <w:szCs w:val="21"/>
              </w:rPr>
              <w:t>XX</w:t>
            </w:r>
            <w:r>
              <w:rPr>
                <w:rFonts w:hint="eastAsia" w:ascii="方正书宋_GBK" w:eastAsia="方正书宋_GBK"/>
                <w:sz w:val="18"/>
                <w:szCs w:val="21"/>
              </w:rPr>
              <w:t>县情。</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w:t>
            </w:r>
            <w:r>
              <w:rPr>
                <w:rFonts w:hint="eastAsia" w:ascii="方正书宋_GBK" w:eastAsia="方正书宋_GBK"/>
                <w:b/>
                <w:sz w:val="18"/>
                <w:szCs w:val="21"/>
              </w:rPr>
              <w:t>、地方志事务管理</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24.30</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拟订全县地方志工作规划并实施；组织整理旧书，搜集、保存、管理地方文献和资料；组织推动地方志理论研究和学术交流；承办县政府和上级业务部门交办的其他工作。</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传承优秀文化传统，充分发挥志书</w:t>
            </w:r>
            <w:r>
              <w:rPr>
                <w:rFonts w:hint="cs" w:ascii="方正书宋_GBK" w:eastAsia="方正书宋_GBK"/>
                <w:sz w:val="18"/>
                <w:szCs w:val="21"/>
              </w:rPr>
              <w:t>“</w:t>
            </w:r>
            <w:r>
              <w:rPr>
                <w:rFonts w:hint="eastAsia" w:ascii="方正书宋_GBK" w:eastAsia="方正书宋_GBK"/>
                <w:sz w:val="18"/>
                <w:szCs w:val="21"/>
              </w:rPr>
              <w:t>资政、存史、教化</w:t>
            </w:r>
            <w:r>
              <w:rPr>
                <w:rFonts w:hint="cs" w:ascii="方正书宋_GBK" w:eastAsia="方正书宋_GBK"/>
                <w:sz w:val="18"/>
                <w:szCs w:val="21"/>
              </w:rPr>
              <w:t>”</w:t>
            </w:r>
            <w:r>
              <w:rPr>
                <w:rFonts w:hint="eastAsia" w:ascii="方正书宋_GBK" w:eastAsia="方正书宋_GBK"/>
                <w:sz w:val="18"/>
                <w:szCs w:val="21"/>
              </w:rPr>
              <w:t>的综合功能，为社会各界方便快捷提供</w:t>
            </w:r>
            <w:r>
              <w:rPr>
                <w:rFonts w:ascii="方正书宋_GBK" w:eastAsia="方正书宋_GBK"/>
                <w:sz w:val="18"/>
                <w:szCs w:val="21"/>
              </w:rPr>
              <w:t>XX</w:t>
            </w:r>
            <w:r>
              <w:rPr>
                <w:rFonts w:hint="eastAsia" w:ascii="方正书宋_GBK" w:eastAsia="方正书宋_GBK"/>
                <w:sz w:val="18"/>
                <w:szCs w:val="21"/>
              </w:rPr>
              <w:t>县情，为县域经济社会建设服务，为地方志工作者提供资料和工具。</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内容、编校、设计、印刷差错率</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0.1‰</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0.2‰</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0.5‰</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培训修志队伍</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3</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2</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县级志书编纂任务完成率</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9"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五、综合业务、事务管理</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204.14</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紧紧围绕县政府中心工作，积极协调县领导谋大事，解难事，不断提高参政水平，努力为领导提供服务层次和优质服务。</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w:t>
            </w:r>
            <w:r>
              <w:rPr>
                <w:rFonts w:hint="eastAsia" w:ascii="方正书宋_GBK" w:eastAsia="方正书宋_GBK"/>
                <w:b/>
                <w:sz w:val="18"/>
                <w:szCs w:val="21"/>
              </w:rPr>
              <w:t>、综合业务、事务管理</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175.14</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采取保障县政府领导和机关工作办公环境的措施，提升了服务管理水平，保障了县领导和机关工作的正常运转。</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各项综合事务管理工作完成率</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9"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各项综合业务管理工作完成率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95%</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w:t>
            </w:r>
            <w:r>
              <w:rPr>
                <w:rFonts w:ascii="方正书宋_GBK" w:eastAsia="方正书宋_GBK"/>
                <w:sz w:val="18"/>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0"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2</w:t>
            </w:r>
            <w:r>
              <w:rPr>
                <w:rFonts w:hint="eastAsia" w:ascii="方正书宋_GBK" w:eastAsia="方正书宋_GBK"/>
                <w:b/>
                <w:sz w:val="18"/>
                <w:szCs w:val="21"/>
              </w:rPr>
              <w:t>、组织推进依法行政</w:t>
            </w:r>
          </w:p>
        </w:tc>
        <w:tc>
          <w:tcPr>
            <w:tcW w:w="979" w:type="dxa"/>
            <w:shd w:val="clear" w:color="auto" w:fill="auto"/>
            <w:noWrap w:val="0"/>
            <w:vAlign w:val="center"/>
          </w:tcPr>
          <w:p>
            <w:pPr>
              <w:spacing w:line="300" w:lineRule="exact"/>
              <w:jc w:val="left"/>
              <w:rPr>
                <w:rFonts w:ascii="方正书宋_GBK" w:eastAsia="方正书宋_GBK"/>
                <w:sz w:val="18"/>
                <w:szCs w:val="21"/>
              </w:rPr>
            </w:pP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承担县政府全面推进依法行政工作领导小组办公室日常工作，推进依法行政示范创建活动、相对集中行政处罚权工作；制定全县依法行政考核指标体系，组织依法行政考核工作。</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通过组织全县依法行政考核工作，进一步推动法治政府建设。</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组织全县依法行政考核工作</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3</w:t>
            </w:r>
            <w:r>
              <w:rPr>
                <w:rFonts w:hint="eastAsia" w:ascii="方正书宋_GBK" w:eastAsia="方正书宋_GBK"/>
                <w:b/>
                <w:sz w:val="18"/>
                <w:szCs w:val="21"/>
              </w:rPr>
              <w:t>、执法协调</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协调部门之间的涉法矛盾和争议及其他事宜；组织执法监督检查，受理、查处行政违法行为的投诉举报加强对行政执法人员资格审查、年检考试、证件管理、培训，加强对执法行为的监督检查，审核行政执法主体资格，提高执法水平。</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通过协调部门间涉法矛盾争议，受理查处个案和群众举报，推进执法责任制、评议考核制、执法监督制度，组织全县执法监督检查工作，加强对行政执法人员资格、年检考试、培训和证件管理，审核执法主体资格，推进依法行政</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资格审查差错率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受理个案反馈率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3"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部门矛盾协调结果县政府认可率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4</w:t>
            </w:r>
            <w:r>
              <w:rPr>
                <w:rFonts w:hint="eastAsia" w:ascii="方正书宋_GBK" w:eastAsia="方正书宋_GBK"/>
                <w:b/>
                <w:sz w:val="18"/>
                <w:szCs w:val="21"/>
              </w:rPr>
              <w:t>、行政复议</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13.00</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依法受理行政复议申请，履行行政复议法规定的各项职责；承办由县政府、县政府各部门、各乡镇行政行为引起的行政复议案件；受县政府委托，作好行政应诉工作；受县政府法人代表委托，代理由国务院审理的行政复议裁决案件；做好行政调解工作。</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通过依法受理并办理行政复议案件，办理行政诉讼、裁决案件，及时纠正各级行政机关违法不当行为，保障申请人合法权益，推动依法行政。</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案件调解率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复议决定提起诉讼率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8"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应诉胜诉率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0"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5</w:t>
            </w:r>
            <w:r>
              <w:rPr>
                <w:rFonts w:hint="eastAsia" w:ascii="方正书宋_GBK" w:eastAsia="方正书宋_GBK"/>
                <w:b/>
                <w:sz w:val="18"/>
                <w:szCs w:val="21"/>
              </w:rPr>
              <w:t>、政府法制宣传教育</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6.00</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负责落实领导干部学法制度有关工作。对县政府法制信息网站运行、维护，对行政执法人员和执法依据数据库维护管理。宣传依法行政的法律知识；执法人员法律知识培训。</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做好法制宣传网站、政府法治刊物等工作，为依法行政创造良好的法律氛围和舆论环境。执法人员法律知识培训。</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参加培训人员比例</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r>
              <w:rPr>
                <w:rFonts w:hint="eastAsia" w:ascii="方正书宋_GBK" w:eastAsia="方正书宋_GBK"/>
                <w:sz w:val="18"/>
                <w:szCs w:val="21"/>
              </w:rPr>
              <w:t>以上</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6</w:t>
            </w:r>
            <w:r>
              <w:rPr>
                <w:rFonts w:hint="eastAsia" w:ascii="方正书宋_GBK" w:eastAsia="方正书宋_GBK"/>
                <w:b/>
                <w:sz w:val="18"/>
                <w:szCs w:val="21"/>
              </w:rPr>
              <w:t>、政府法制综合业务管理</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5.00</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开展对外法制业务交流。</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各类政府法制业务工作谋划到位、开展有序，推进政府法制建设。</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政府法制业务工作保障率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0"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7</w:t>
            </w:r>
            <w:r>
              <w:rPr>
                <w:rFonts w:hint="eastAsia" w:ascii="方正书宋_GBK" w:eastAsia="方正书宋_GBK"/>
                <w:b/>
                <w:sz w:val="18"/>
                <w:szCs w:val="21"/>
              </w:rPr>
              <w:t>、金融生态环境建设</w:t>
            </w:r>
          </w:p>
        </w:tc>
        <w:tc>
          <w:tcPr>
            <w:tcW w:w="979" w:type="dxa"/>
            <w:shd w:val="clear" w:color="auto" w:fill="auto"/>
            <w:noWrap w:val="0"/>
            <w:vAlign w:val="center"/>
          </w:tcPr>
          <w:p>
            <w:pPr>
              <w:spacing w:line="300" w:lineRule="exact"/>
              <w:jc w:val="left"/>
              <w:rPr>
                <w:rFonts w:ascii="方正书宋_GBK" w:eastAsia="方正书宋_GBK"/>
                <w:sz w:val="18"/>
                <w:szCs w:val="21"/>
              </w:rPr>
            </w:pPr>
            <w:r>
              <w:rPr>
                <w:rFonts w:ascii="方正书宋_GBK" w:eastAsia="方正书宋_GBK"/>
                <w:sz w:val="18"/>
                <w:szCs w:val="21"/>
              </w:rPr>
              <w:t>5.00</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依法加强金融监管，整顿和规范金融市场秩序，协调非法集资、非法证券、非法保险等案件的查处、善后处置和维护金融稳定，指导全县金融生态环境和社会信用体系建设。</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严守不发生系统性、区域性金融风险的底线，净化金融市场，防止非法集资活动的蔓延，维护社会稳定。</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非法集资综治考评</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5"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8</w:t>
            </w:r>
            <w:r>
              <w:rPr>
                <w:rFonts w:hint="eastAsia" w:ascii="方正书宋_GBK" w:eastAsia="方正书宋_GBK"/>
                <w:b/>
                <w:sz w:val="18"/>
                <w:szCs w:val="21"/>
              </w:rPr>
              <w:t>、地方金融机构建设</w:t>
            </w:r>
          </w:p>
        </w:tc>
        <w:tc>
          <w:tcPr>
            <w:tcW w:w="979" w:type="dxa"/>
            <w:shd w:val="clear" w:color="auto" w:fill="auto"/>
            <w:noWrap w:val="0"/>
            <w:vAlign w:val="center"/>
          </w:tcPr>
          <w:p>
            <w:pPr>
              <w:spacing w:line="300" w:lineRule="exact"/>
              <w:jc w:val="left"/>
              <w:rPr>
                <w:rFonts w:ascii="方正书宋_GBK" w:eastAsia="方正书宋_GBK"/>
                <w:sz w:val="18"/>
                <w:szCs w:val="21"/>
              </w:rPr>
            </w:pP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组织协调新设立的地方法人金融机构的谋划、申报等前期工作，指导新型农村金融机构组建和发展。</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推动联社按年度完成</w:t>
            </w:r>
            <w:r>
              <w:rPr>
                <w:rFonts w:hint="cs" w:ascii="方正书宋_GBK" w:eastAsia="方正书宋_GBK"/>
                <w:sz w:val="18"/>
                <w:szCs w:val="21"/>
              </w:rPr>
              <w:t>“</w:t>
            </w:r>
            <w:r>
              <w:rPr>
                <w:rFonts w:hint="eastAsia" w:ascii="方正书宋_GBK" w:eastAsia="方正书宋_GBK"/>
                <w:sz w:val="18"/>
                <w:szCs w:val="21"/>
              </w:rPr>
              <w:t>双改</w:t>
            </w:r>
            <w:r>
              <w:rPr>
                <w:rFonts w:hint="cs" w:ascii="方正书宋_GBK" w:eastAsia="方正书宋_GBK"/>
                <w:sz w:val="18"/>
                <w:szCs w:val="21"/>
              </w:rPr>
              <w:t>”</w:t>
            </w:r>
            <w:r>
              <w:rPr>
                <w:rFonts w:hint="eastAsia" w:ascii="方正书宋_GBK" w:eastAsia="方正书宋_GBK"/>
                <w:sz w:val="18"/>
                <w:szCs w:val="21"/>
              </w:rPr>
              <w:t>工作目标、高风险社化解工作目标</w:t>
            </w:r>
            <w:r>
              <w:rPr>
                <w:rFonts w:ascii="方正书宋_GBK" w:eastAsia="方正书宋_GBK"/>
                <w:sz w:val="18"/>
                <w:szCs w:val="21"/>
              </w:rPr>
              <w:t>,</w:t>
            </w:r>
            <w:r>
              <w:rPr>
                <w:rFonts w:hint="eastAsia" w:ascii="方正书宋_GBK" w:eastAsia="方正书宋_GBK"/>
                <w:sz w:val="18"/>
                <w:szCs w:val="21"/>
              </w:rPr>
              <w:t>发挥支农、支小作用</w:t>
            </w:r>
            <w:r>
              <w:rPr>
                <w:rFonts w:ascii="方正书宋_GBK" w:eastAsia="方正书宋_GBK"/>
                <w:sz w:val="18"/>
                <w:szCs w:val="21"/>
              </w:rPr>
              <w:t>,</w:t>
            </w:r>
            <w:r>
              <w:rPr>
                <w:rFonts w:hint="eastAsia" w:ascii="方正书宋_GBK" w:eastAsia="方正书宋_GBK"/>
                <w:sz w:val="18"/>
                <w:szCs w:val="21"/>
              </w:rPr>
              <w:t>促进地方金融机构健康发展</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目标完成率</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restart"/>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9</w:t>
            </w:r>
            <w:r>
              <w:rPr>
                <w:rFonts w:hint="eastAsia" w:ascii="方正书宋_GBK" w:eastAsia="方正书宋_GBK"/>
                <w:b/>
                <w:sz w:val="18"/>
                <w:szCs w:val="21"/>
              </w:rPr>
              <w:t>、小额贷款公司监管</w:t>
            </w:r>
          </w:p>
        </w:tc>
        <w:tc>
          <w:tcPr>
            <w:tcW w:w="979" w:type="dxa"/>
            <w:vMerge w:val="restart"/>
            <w:shd w:val="clear" w:color="auto" w:fill="auto"/>
            <w:noWrap w:val="0"/>
            <w:vAlign w:val="center"/>
          </w:tcPr>
          <w:p>
            <w:pPr>
              <w:spacing w:line="300" w:lineRule="exact"/>
              <w:jc w:val="left"/>
              <w:rPr>
                <w:rFonts w:ascii="方正书宋_GBK" w:eastAsia="方正书宋_GBK"/>
                <w:sz w:val="18"/>
                <w:szCs w:val="21"/>
              </w:rPr>
            </w:pP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加强小额贷款公司试点和监管工作力量，完善工作制度，切实提高监管能力和手段</w:t>
            </w:r>
          </w:p>
        </w:tc>
        <w:tc>
          <w:tcPr>
            <w:tcW w:w="2286" w:type="dxa"/>
            <w:vMerge w:val="restart"/>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积极稳妥推动小额贷款公司稳步增长，发挥支农、支小作用。</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公司年度审计情况</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9"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督导巡查次数</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不少于</w:t>
            </w: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rPr>
        <w:tc>
          <w:tcPr>
            <w:tcW w:w="1798" w:type="dxa"/>
            <w:vMerge w:val="continue"/>
            <w:shd w:val="clear" w:color="auto" w:fill="auto"/>
            <w:noWrap w:val="0"/>
            <w:vAlign w:val="center"/>
          </w:tcPr>
          <w:p>
            <w:pPr>
              <w:spacing w:line="300" w:lineRule="exact"/>
              <w:jc w:val="left"/>
              <w:rPr>
                <w:rFonts w:hint="eastAsia" w:ascii="方正书宋_GBK" w:eastAsia="方正书宋_GBK"/>
                <w:b/>
                <w:sz w:val="18"/>
                <w:szCs w:val="21"/>
              </w:rPr>
            </w:pPr>
          </w:p>
        </w:tc>
        <w:tc>
          <w:tcPr>
            <w:tcW w:w="979" w:type="dxa"/>
            <w:vMerge w:val="continue"/>
            <w:shd w:val="clear" w:color="auto" w:fill="auto"/>
            <w:noWrap w:val="0"/>
            <w:vAlign w:val="center"/>
          </w:tcPr>
          <w:p>
            <w:pPr>
              <w:spacing w:line="300" w:lineRule="exact"/>
              <w:jc w:val="left"/>
              <w:rPr>
                <w:rFonts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2286" w:type="dxa"/>
            <w:vMerge w:val="continue"/>
            <w:shd w:val="clear" w:color="auto" w:fill="auto"/>
            <w:noWrap w:val="0"/>
            <w:vAlign w:val="center"/>
          </w:tcPr>
          <w:p>
            <w:pPr>
              <w:spacing w:line="300" w:lineRule="exact"/>
              <w:jc w:val="left"/>
              <w:rPr>
                <w:rFonts w:hint="eastAsia" w:ascii="方正书宋_GBK" w:eastAsia="方正书宋_GBK"/>
                <w:sz w:val="18"/>
                <w:szCs w:val="21"/>
              </w:rPr>
            </w:pP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公司数量</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掌握</w:t>
            </w: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掌握</w:t>
            </w: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掌握</w:t>
            </w: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hint="eastAsia" w:ascii="方正书宋_GBK" w:eastAsia="方正书宋_GBK"/>
                <w:sz w:val="18"/>
                <w:szCs w:val="21"/>
              </w:rPr>
              <w:t>掌握</w:t>
            </w:r>
            <w:r>
              <w:rPr>
                <w:rFonts w:ascii="方正书宋_GBK" w:eastAsia="方正书宋_GBK"/>
                <w:sz w:val="18"/>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27"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10</w:t>
            </w:r>
            <w:r>
              <w:rPr>
                <w:rFonts w:hint="eastAsia" w:ascii="方正书宋_GBK" w:eastAsia="方正书宋_GBK"/>
                <w:b/>
                <w:sz w:val="18"/>
                <w:szCs w:val="21"/>
              </w:rPr>
              <w:t>、金融协调服务</w:t>
            </w:r>
          </w:p>
        </w:tc>
        <w:tc>
          <w:tcPr>
            <w:tcW w:w="979" w:type="dxa"/>
            <w:shd w:val="clear" w:color="auto" w:fill="auto"/>
            <w:noWrap w:val="0"/>
            <w:vAlign w:val="center"/>
          </w:tcPr>
          <w:p>
            <w:pPr>
              <w:spacing w:line="300" w:lineRule="exact"/>
              <w:jc w:val="left"/>
              <w:rPr>
                <w:rFonts w:ascii="方正书宋_GBK" w:eastAsia="方正书宋_GBK"/>
                <w:sz w:val="18"/>
                <w:szCs w:val="21"/>
              </w:rPr>
            </w:pP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加强与金融驻县机构的联系，协调解决金融运行中涉及地方政府配合的相关事宜，推进对外金融交流合作，综合协调县级投融资体系建设。</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协调解决金融机构发展中遇到的问题，组织好项目对接，推动投融资体系建设和投融资机构做大做强，促进驻县机构服务县域经济社会发展。</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对接活动次数</w:t>
            </w:r>
          </w:p>
        </w:tc>
        <w:tc>
          <w:tcPr>
            <w:tcW w:w="565"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4</w:t>
            </w:r>
            <w:r>
              <w:rPr>
                <w:rFonts w:hint="eastAsia" w:ascii="方正书宋_GBK" w:eastAsia="方正书宋_GBK"/>
                <w:sz w:val="18"/>
                <w:szCs w:val="21"/>
              </w:rPr>
              <w:t>次及以上</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3</w:t>
            </w:r>
            <w:r>
              <w:rPr>
                <w:rFonts w:hint="eastAsia" w:ascii="方正书宋_GBK" w:eastAsia="方正书宋_GBK"/>
                <w:sz w:val="18"/>
                <w:szCs w:val="21"/>
              </w:rPr>
              <w:t>次</w:t>
            </w:r>
          </w:p>
        </w:tc>
        <w:tc>
          <w:tcPr>
            <w:tcW w:w="567"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2</w:t>
            </w:r>
            <w:r>
              <w:rPr>
                <w:rFonts w:hint="eastAsia" w:ascii="方正书宋_GBK" w:eastAsia="方正书宋_GBK"/>
                <w:sz w:val="18"/>
                <w:szCs w:val="21"/>
              </w:rPr>
              <w:t>次</w:t>
            </w:r>
          </w:p>
        </w:tc>
        <w:tc>
          <w:tcPr>
            <w:tcW w:w="566" w:type="dxa"/>
            <w:shd w:val="clear" w:color="auto" w:fill="auto"/>
            <w:noWrap w:val="0"/>
            <w:vAlign w:val="center"/>
          </w:tcPr>
          <w:p>
            <w:pPr>
              <w:spacing w:line="300" w:lineRule="exact"/>
              <w:jc w:val="center"/>
              <w:rPr>
                <w:rFonts w:hint="eastAsia" w:ascii="方正书宋_GBK" w:eastAsia="方正书宋_GBK"/>
                <w:sz w:val="18"/>
                <w:szCs w:val="21"/>
              </w:rPr>
            </w:pPr>
            <w:r>
              <w:rPr>
                <w:rFonts w:ascii="方正书宋_GBK" w:eastAsia="方正书宋_GBK"/>
                <w:sz w:val="18"/>
                <w:szCs w:val="21"/>
              </w:rPr>
              <w:t>1</w:t>
            </w:r>
            <w:r>
              <w:rPr>
                <w:rFonts w:hint="eastAsia" w:ascii="方正书宋_GBK" w:eastAsia="方正书宋_GBK"/>
                <w:sz w:val="18"/>
                <w:szCs w:val="21"/>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4" w:hRule="atLeast"/>
        </w:trPr>
        <w:tc>
          <w:tcPr>
            <w:tcW w:w="1798" w:type="dxa"/>
            <w:shd w:val="clear" w:color="auto" w:fill="auto"/>
            <w:noWrap w:val="0"/>
            <w:vAlign w:val="center"/>
          </w:tcPr>
          <w:p>
            <w:pPr>
              <w:spacing w:line="300" w:lineRule="exact"/>
              <w:jc w:val="left"/>
              <w:rPr>
                <w:rFonts w:hint="eastAsia" w:ascii="方正书宋_GBK" w:eastAsia="方正书宋_GBK"/>
                <w:b/>
                <w:sz w:val="18"/>
                <w:szCs w:val="21"/>
              </w:rPr>
            </w:pPr>
            <w:r>
              <w:rPr>
                <w:rFonts w:hint="eastAsia" w:ascii="方正书宋_GBK" w:eastAsia="方正书宋_GBK"/>
                <w:b/>
                <w:sz w:val="18"/>
                <w:szCs w:val="21"/>
              </w:rPr>
              <w:t>　　</w:t>
            </w:r>
            <w:r>
              <w:rPr>
                <w:rFonts w:ascii="方正书宋_GBK" w:eastAsia="方正书宋_GBK"/>
                <w:b/>
                <w:sz w:val="18"/>
                <w:szCs w:val="21"/>
              </w:rPr>
              <w:t>11</w:t>
            </w:r>
            <w:r>
              <w:rPr>
                <w:rFonts w:hint="eastAsia" w:ascii="方正书宋_GBK" w:eastAsia="方正书宋_GBK"/>
                <w:b/>
                <w:sz w:val="18"/>
                <w:szCs w:val="21"/>
              </w:rPr>
              <w:t>、金融交流合作</w:t>
            </w:r>
          </w:p>
        </w:tc>
        <w:tc>
          <w:tcPr>
            <w:tcW w:w="979" w:type="dxa"/>
            <w:shd w:val="clear" w:color="auto" w:fill="auto"/>
            <w:noWrap w:val="0"/>
            <w:vAlign w:val="center"/>
          </w:tcPr>
          <w:p>
            <w:pPr>
              <w:spacing w:line="300" w:lineRule="exact"/>
              <w:jc w:val="left"/>
              <w:rPr>
                <w:rFonts w:ascii="方正书宋_GBK" w:eastAsia="方正书宋_GBK"/>
                <w:sz w:val="18"/>
                <w:szCs w:val="21"/>
              </w:rPr>
            </w:pP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研究制定县级金融协同发展方案，引进金融机构、金融后台等</w:t>
            </w:r>
          </w:p>
        </w:tc>
        <w:tc>
          <w:tcPr>
            <w:tcW w:w="2286"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提高我县金融业对外开放水平</w:t>
            </w:r>
          </w:p>
        </w:tc>
        <w:tc>
          <w:tcPr>
            <w:tcW w:w="1087" w:type="dxa"/>
            <w:shd w:val="clear" w:color="auto" w:fill="auto"/>
            <w:noWrap w:val="0"/>
            <w:vAlign w:val="center"/>
          </w:tcPr>
          <w:p>
            <w:pPr>
              <w:spacing w:line="300" w:lineRule="exact"/>
              <w:jc w:val="left"/>
              <w:rPr>
                <w:rFonts w:hint="eastAsia" w:ascii="方正书宋_GBK" w:eastAsia="方正书宋_GBK"/>
                <w:sz w:val="18"/>
                <w:szCs w:val="21"/>
              </w:rPr>
            </w:pPr>
            <w:r>
              <w:rPr>
                <w:rFonts w:hint="eastAsia" w:ascii="方正书宋_GBK" w:eastAsia="方正书宋_GBK"/>
                <w:sz w:val="18"/>
                <w:szCs w:val="21"/>
              </w:rPr>
              <w:t>金融机构入驻县手续办理及时性</w:t>
            </w:r>
          </w:p>
        </w:tc>
        <w:tc>
          <w:tcPr>
            <w:tcW w:w="565"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90%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70%</w:t>
            </w:r>
          </w:p>
        </w:tc>
        <w:tc>
          <w:tcPr>
            <w:tcW w:w="567"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40%</w:t>
            </w:r>
          </w:p>
        </w:tc>
        <w:tc>
          <w:tcPr>
            <w:tcW w:w="566" w:type="dxa"/>
            <w:shd w:val="clear" w:color="auto" w:fill="auto"/>
            <w:noWrap w:val="0"/>
            <w:vAlign w:val="center"/>
          </w:tcPr>
          <w:p>
            <w:pPr>
              <w:spacing w:line="300" w:lineRule="exact"/>
              <w:jc w:val="center"/>
              <w:rPr>
                <w:rFonts w:ascii="方正书宋_GBK" w:eastAsia="方正书宋_GBK"/>
                <w:sz w:val="18"/>
                <w:szCs w:val="21"/>
              </w:rPr>
            </w:pPr>
            <w:r>
              <w:rPr>
                <w:rFonts w:ascii="方正书宋_GBK" w:eastAsia="方正书宋_GBK"/>
                <w:sz w:val="18"/>
                <w:szCs w:val="21"/>
              </w:rPr>
              <w:t>10%</w:t>
            </w:r>
          </w:p>
        </w:tc>
      </w:tr>
    </w:tbl>
    <w:p>
      <w:pPr>
        <w:spacing w:line="500" w:lineRule="exact"/>
        <w:ind w:firstLine="560"/>
        <w:rPr>
          <w:rFonts w:hint="eastAsia" w:ascii="仿宋" w:hAnsi="仿宋" w:eastAsia="仿宋" w:cs="仿宋"/>
          <w:sz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w:t>
      </w:r>
      <w:r>
        <w:rPr>
          <w:rFonts w:hint="eastAsia" w:ascii="仿宋_GB2312" w:hAnsi="仿宋_GB2312" w:eastAsia="仿宋_GB2312" w:cs="仿宋_GB2312"/>
          <w:sz w:val="32"/>
          <w:szCs w:val="32"/>
          <w:lang w:val="en-US" w:eastAsia="zh-CN"/>
        </w:rPr>
        <w:t>108.37</w:t>
      </w:r>
      <w:r>
        <w:rPr>
          <w:rFonts w:hint="eastAsia" w:ascii="仿宋_GB2312" w:hAnsi="仿宋_GB2312" w:eastAsia="仿宋_GB2312" w:cs="仿宋_GB2312"/>
          <w:sz w:val="32"/>
          <w:szCs w:val="32"/>
        </w:rPr>
        <w:t>万元，比年初预算数减少</w:t>
      </w:r>
      <w:r>
        <w:rPr>
          <w:rFonts w:hint="eastAsia" w:ascii="仿宋_GB2312" w:hAnsi="仿宋_GB2312" w:eastAsia="仿宋_GB2312" w:cs="仿宋_GB2312"/>
          <w:sz w:val="32"/>
          <w:szCs w:val="32"/>
          <w:lang w:val="en-US" w:eastAsia="zh-CN"/>
        </w:rPr>
        <w:t>28.14</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20.61</w:t>
      </w:r>
      <w:r>
        <w:rPr>
          <w:rFonts w:hint="eastAsia" w:ascii="仿宋_GB2312" w:hAnsi="仿宋_GB2312" w:eastAsia="仿宋_GB2312" w:cs="仿宋_GB2312"/>
          <w:sz w:val="32"/>
          <w:szCs w:val="32"/>
        </w:rPr>
        <w:t xml:space="preserve"> %。主要是</w:t>
      </w:r>
      <w:r>
        <w:rPr>
          <w:rFonts w:hint="eastAsia" w:ascii="仿宋_GB2312" w:hAnsi="仿宋_GB2312" w:eastAsia="仿宋_GB2312" w:cs="仿宋_GB2312"/>
          <w:sz w:val="32"/>
          <w:szCs w:val="32"/>
          <w:lang w:eastAsia="zh-CN"/>
        </w:rPr>
        <w:t>压减办公经费开支</w:t>
      </w:r>
      <w:r>
        <w:rPr>
          <w:rFonts w:hint="eastAsia" w:ascii="仿宋_GB2312" w:hAnsi="仿宋_GB2312" w:eastAsia="仿宋_GB2312" w:cs="仿宋_GB2312"/>
          <w:sz w:val="32"/>
          <w:szCs w:val="32"/>
        </w:rPr>
        <w:t>。较2017年度决算增加</w:t>
      </w:r>
      <w:r>
        <w:rPr>
          <w:rFonts w:hint="eastAsia" w:ascii="仿宋_GB2312" w:hAnsi="仿宋_GB2312" w:eastAsia="仿宋_GB2312" w:cs="仿宋_GB2312"/>
          <w:sz w:val="32"/>
          <w:szCs w:val="32"/>
          <w:lang w:val="en-US" w:eastAsia="zh-CN"/>
        </w:rPr>
        <w:t>0.18</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0.16</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人员经费增加</w:t>
      </w:r>
      <w:r>
        <w:rPr>
          <w:rFonts w:hint="eastAsia" w:ascii="仿宋_GB2312" w:hAnsi="仿宋_GB2312" w:eastAsia="仿宋_GB2312" w:cs="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本部门2018年度政府采购支出总额</w:t>
      </w:r>
      <w:r>
        <w:rPr>
          <w:rFonts w:hint="eastAsia" w:ascii="仿宋_GB2312" w:hAnsi="仿宋_GB2312" w:eastAsia="仿宋_GB2312" w:cs="仿宋_GB2312"/>
          <w:sz w:val="32"/>
          <w:szCs w:val="32"/>
          <w:lang w:val="en-US" w:eastAsia="zh-CN"/>
        </w:rPr>
        <w:t>62.4</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5.9</w:t>
      </w:r>
      <w:r>
        <w:rPr>
          <w:rFonts w:hint="eastAsia" w:ascii="仿宋_GB2312" w:hAnsi="仿宋_GB2312" w:eastAsia="仿宋_GB2312" w:cs="仿宋_GB2312"/>
          <w:color w:val="000000"/>
          <w:kern w:val="0"/>
          <w:sz w:val="32"/>
          <w:szCs w:val="32"/>
        </w:rPr>
        <w:t>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56.5</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56.5</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90.54</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5.9</w:t>
      </w:r>
      <w:r>
        <w:rPr>
          <w:rFonts w:hint="eastAsia"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9.46</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截至2018年12月31日，本部门共有车辆</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辆，比上年减少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eastAsia="zh-CN"/>
        </w:rPr>
        <w:t>车辆拍卖</w:t>
      </w:r>
      <w:r>
        <w:rPr>
          <w:rFonts w:hint="eastAsia" w:ascii="仿宋_GB2312" w:hAnsi="仿宋_GB2312" w:eastAsia="仿宋_GB2312" w:cs="仿宋_GB2312"/>
          <w:sz w:val="32"/>
          <w:szCs w:val="32"/>
        </w:rPr>
        <w:t>。其中，机要通信用车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1辆，其他用车是待报废车辆。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，与上年持平</w:t>
      </w:r>
      <w:r>
        <w:rPr>
          <w:rFonts w:hint="eastAsia" w:ascii="仿宋_GB2312" w:hAnsi="Times New Roman" w:eastAsia="仿宋_GB2312" w:cs="DengXian-Regular"/>
          <w:sz w:val="32"/>
          <w:szCs w:val="32"/>
        </w:rPr>
        <w:t>。</w:t>
      </w:r>
    </w:p>
    <w:p>
      <w:pPr>
        <w:pStyle w:val="4"/>
        <w:numPr>
          <w:ilvl w:val="0"/>
          <w:numId w:val="2"/>
        </w:numPr>
        <w:spacing w:before="0" w:after="0" w:line="580" w:lineRule="exact"/>
        <w:ind w:left="420" w:leftChars="200" w:firstLine="0" w:firstLineChars="0"/>
        <w:rPr>
          <w:rFonts w:hint="eastAsia" w:ascii="楷体_GB2312" w:eastAsia="楷体_GB2312" w:cs="DengXian-Bold"/>
        </w:rPr>
      </w:pPr>
      <w:r>
        <w:rPr>
          <w:rFonts w:hint="eastAsia" w:ascii="楷体_GB2312" w:eastAsia="楷体_GB2312" w:cs="DengXian-Bold"/>
        </w:rPr>
        <w:t>其他需要说明的情况</w:t>
      </w:r>
    </w:p>
    <w:p>
      <w:pPr>
        <w:numPr>
          <w:ilvl w:val="0"/>
          <w:numId w:val="0"/>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本部门2018年度</w:t>
      </w:r>
      <w:r>
        <w:rPr>
          <w:rFonts w:hint="eastAsia" w:ascii="仿宋_GB2312" w:hAnsi="仿宋_GB2312" w:eastAsia="仿宋_GB2312" w:cs="仿宋_GB2312"/>
          <w:sz w:val="32"/>
          <w:szCs w:val="32"/>
          <w:lang w:eastAsia="zh-CN"/>
        </w:rPr>
        <w:t>结转资金</w:t>
      </w:r>
      <w:r>
        <w:rPr>
          <w:rFonts w:hint="eastAsia" w:ascii="仿宋_GB2312" w:hAnsi="仿宋_GB2312" w:eastAsia="仿宋_GB2312" w:cs="仿宋_GB2312"/>
          <w:sz w:val="32"/>
          <w:szCs w:val="32"/>
          <w:lang w:val="en-US" w:eastAsia="zh-CN"/>
        </w:rPr>
        <w:t>239.37万元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结转资金为人员增资补助及部分项目资金</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643" w:firstLineChars="200"/>
        <w:jc w:val="left"/>
        <w:rPr>
          <w:rFonts w:hint="eastAsia" w:ascii="仿宋_GB2312" w:hAnsi="仿宋_GB2312" w:eastAsia="仿宋_GB2312" w:cs="仿宋_GB2312"/>
          <w:b/>
          <w:bCs/>
          <w:kern w:val="0"/>
          <w:sz w:val="32"/>
          <w:szCs w:val="32"/>
        </w:rPr>
        <w:sectPr>
          <w:pgSz w:w="11906" w:h="16838"/>
          <w:pgMar w:top="2098" w:right="1474" w:bottom="1984" w:left="1588" w:header="851" w:footer="992" w:gutter="0"/>
          <w:cols w:space="0" w:num="1"/>
          <w:rtlGutter w:val="0"/>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（一）财政拨款收入：</w:t>
      </w:r>
      <w:r>
        <w:rPr>
          <w:rFonts w:hint="eastAsia" w:ascii="仿宋_GB2312" w:hAnsi="仿宋_GB2312" w:eastAsia="仿宋_GB2312" w:cs="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（二）事业收入：</w:t>
      </w:r>
      <w:r>
        <w:rPr>
          <w:rFonts w:hint="eastAsia" w:ascii="仿宋_GB2312" w:hAnsi="仿宋_GB2312" w:eastAsia="仿宋_GB2312" w:cs="仿宋_GB2312"/>
          <w:color w:val="000000"/>
          <w:kern w:val="0"/>
          <w:sz w:val="32"/>
          <w:szCs w:val="32"/>
        </w:rPr>
        <w:t>指事业单位开展专业业务活动及辅助活动所取得的收入。</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（三）其他收入：</w:t>
      </w:r>
      <w:r>
        <w:rPr>
          <w:rFonts w:hint="eastAsia" w:ascii="仿宋_GB2312" w:hAnsi="仿宋_GB2312" w:eastAsia="仿宋_GB2312" w:cs="仿宋_GB2312"/>
          <w:color w:val="000000"/>
          <w:kern w:val="0"/>
          <w:sz w:val="32"/>
          <w:szCs w:val="32"/>
        </w:rPr>
        <w:t>指除上述“财政拨款收入”“事业收入”“经营收入”等以外的收入。</w:t>
      </w:r>
    </w:p>
    <w:p>
      <w:pPr>
        <w:widowControl/>
        <w:spacing w:after="0" w:line="56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（四）用事业基金弥补收支差额：</w:t>
      </w:r>
      <w:r>
        <w:rPr>
          <w:rFonts w:hint="eastAsia" w:ascii="仿宋_GB2312" w:hAnsi="仿宋_GB2312"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（五）年初结转和结余：</w:t>
      </w:r>
      <w:r>
        <w:rPr>
          <w:rFonts w:hint="eastAsia" w:ascii="仿宋_GB2312" w:hAnsi="仿宋_GB2312" w:eastAsia="仿宋_GB2312" w:cs="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（六）结余分配：</w:t>
      </w:r>
      <w:r>
        <w:rPr>
          <w:rFonts w:hint="eastAsia" w:ascii="仿宋_GB2312" w:hAnsi="仿宋_GB2312" w:eastAsia="仿宋_GB2312" w:cs="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（七）年末结转和结余：</w:t>
      </w:r>
      <w:r>
        <w:rPr>
          <w:rFonts w:hint="eastAsia" w:ascii="仿宋_GB2312" w:hAnsi="仿宋_GB2312" w:eastAsia="仿宋_GB2312" w:cs="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（八）基本支出：</w:t>
      </w:r>
      <w:r>
        <w:rPr>
          <w:rFonts w:hint="eastAsia" w:ascii="仿宋_GB2312" w:hAnsi="仿宋_GB2312" w:eastAsia="仿宋_GB2312" w:cs="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（九）项目支出：</w:t>
      </w:r>
      <w:r>
        <w:rPr>
          <w:rFonts w:hint="eastAsia" w:ascii="仿宋_GB2312" w:hAnsi="仿宋_GB2312" w:eastAsia="仿宋_GB2312" w:cs="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（十）资本性支出（基本建设）：</w:t>
      </w:r>
      <w:r>
        <w:rPr>
          <w:rFonts w:hint="eastAsia" w:ascii="仿宋_GB2312" w:hAnsi="仿宋_GB2312" w:eastAsia="仿宋_GB2312" w:cs="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（十一）资本性支出：</w:t>
      </w:r>
      <w:r>
        <w:rPr>
          <w:rFonts w:hint="eastAsia" w:ascii="仿宋_GB2312" w:hAnsi="仿宋_GB2312" w:eastAsia="仿宋_GB2312" w:cs="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（十二）“三公”经费：</w:t>
      </w:r>
      <w:r>
        <w:rPr>
          <w:rFonts w:hint="eastAsia" w:ascii="仿宋_GB2312" w:hAnsi="仿宋_GB2312"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（十三）其他交通费用：</w:t>
      </w:r>
      <w:r>
        <w:rPr>
          <w:rFonts w:hint="eastAsia" w:ascii="仿宋_GB2312" w:hAnsi="仿宋_GB2312" w:eastAsia="仿宋_GB2312" w:cs="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（十四）公务用车购置：</w:t>
      </w:r>
      <w:r>
        <w:rPr>
          <w:rFonts w:hint="eastAsia" w:ascii="仿宋_GB2312" w:hAnsi="仿宋_GB2312" w:eastAsia="仿宋_GB2312" w:cs="仿宋_GB2312"/>
          <w:color w:val="000000"/>
          <w:kern w:val="0"/>
          <w:sz w:val="32"/>
          <w:szCs w:val="32"/>
        </w:rPr>
        <w:t>填列单位公务用车购置支出（含车辆购置税、牌照费）。</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（十五）其他交通工具购置：</w:t>
      </w:r>
      <w:r>
        <w:rPr>
          <w:rFonts w:hint="eastAsia" w:ascii="仿宋_GB2312" w:hAnsi="仿宋_GB2312" w:eastAsia="仿宋_GB2312" w:cs="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hint="eastAsia" w:ascii="仿宋_GB2312" w:hAnsi="仿宋_GB2312" w:eastAsia="仿宋_GB2312" w:cs="仿宋_GB2312"/>
          <w:color w:val="000000"/>
          <w:kern w:val="0"/>
          <w:sz w:val="32"/>
          <w:szCs w:val="32"/>
        </w:rPr>
      </w:pPr>
      <w:r>
        <w:rPr>
          <w:rFonts w:hint="eastAsia" w:ascii="仿宋" w:hAnsi="仿宋" w:eastAsia="仿宋" w:cs="仿宋"/>
          <w:b/>
          <w:bCs/>
          <w:color w:val="000000"/>
          <w:kern w:val="0"/>
          <w:sz w:val="32"/>
          <w:szCs w:val="32"/>
        </w:rPr>
        <w:t>（十六）机关运行经费：</w:t>
      </w:r>
      <w:r>
        <w:rPr>
          <w:rFonts w:hint="eastAsia" w:ascii="仿宋_GB2312" w:hAnsi="仿宋_GB2312"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hint="eastAsia" w:ascii="仿宋_GB2312" w:hAnsi="仿宋_GB2312" w:eastAsia="仿宋_GB2312" w:cs="仿宋_GB2312"/>
          <w:kern w:val="0"/>
          <w:sz w:val="32"/>
          <w:szCs w:val="32"/>
        </w:rPr>
      </w:pPr>
      <w:r>
        <w:rPr>
          <w:rFonts w:hint="eastAsia" w:ascii="仿宋" w:hAnsi="仿宋" w:eastAsia="仿宋" w:cs="仿宋"/>
          <w:b/>
          <w:bCs/>
          <w:color w:val="000000"/>
          <w:kern w:val="0"/>
          <w:sz w:val="32"/>
          <w:szCs w:val="32"/>
        </w:rPr>
        <w:t>（十七）经费形式:</w:t>
      </w:r>
      <w:r>
        <w:rPr>
          <w:rFonts w:hint="eastAsia" w:ascii="仿宋_GB2312" w:hAnsi="仿宋_GB2312" w:eastAsia="仿宋_GB2312" w:cs="仿宋_GB2312"/>
          <w:color w:val="000000"/>
          <w:kern w:val="0"/>
          <w:sz w:val="32"/>
          <w:szCs w:val="32"/>
        </w:rPr>
        <w:t>按照经费来源，</w:t>
      </w:r>
      <w:r>
        <w:rPr>
          <w:rFonts w:hint="eastAsia" w:ascii="仿宋_GB2312" w:hAnsi="仿宋_GB2312" w:eastAsia="仿宋_GB2312" w:cs="仿宋_GB2312"/>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hint="eastAsia" w:ascii="仿宋_GB2312" w:hAnsi="仿宋_GB2312" w:eastAsia="仿宋_GB2312" w:cs="仿宋_GB2312"/>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27C727-1F95-48DA-9BB5-82CB077638C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7F824D0-01E9-456F-9C44-9D20844B6243}"/>
  </w:font>
  <w:font w:name="Cambria">
    <w:panose1 w:val="02040503050406030204"/>
    <w:charset w:val="00"/>
    <w:family w:val="roman"/>
    <w:pitch w:val="default"/>
    <w:sig w:usb0="E00002FF" w:usb1="400004FF" w:usb2="00000000" w:usb3="00000000" w:csb0="2000019F" w:csb1="00000000"/>
    <w:embedRegular r:id="rId3" w:fontKey="{8F13E146-9154-44BD-AAF0-C0F8432A0C74}"/>
  </w:font>
  <w:font w:name="楷体">
    <w:panose1 w:val="02010609060101010101"/>
    <w:charset w:val="86"/>
    <w:family w:val="modern"/>
    <w:pitch w:val="default"/>
    <w:sig w:usb0="800002BF" w:usb1="38CF7CFA" w:usb2="00000016" w:usb3="00000000" w:csb0="00040001" w:csb1="00000000"/>
    <w:embedRegular r:id="rId4" w:fontKey="{CFBBF993-569D-4B1C-8221-F871FE819177}"/>
  </w:font>
  <w:font w:name="仿宋_GB2312">
    <w:panose1 w:val="02010609030101010101"/>
    <w:charset w:val="86"/>
    <w:family w:val="modern"/>
    <w:pitch w:val="default"/>
    <w:sig w:usb0="00000001" w:usb1="080E0000" w:usb2="00000000" w:usb3="00000000" w:csb0="00040000" w:csb1="00000000"/>
    <w:embedRegular r:id="rId5" w:fontKey="{9F271A8E-8807-478C-9CA6-A02F9DD85549}"/>
  </w:font>
  <w:font w:name="仿宋">
    <w:panose1 w:val="02010609060101010101"/>
    <w:charset w:val="86"/>
    <w:family w:val="auto"/>
    <w:pitch w:val="default"/>
    <w:sig w:usb0="800002BF" w:usb1="38CF7CFA" w:usb2="00000016" w:usb3="00000000" w:csb0="00040001" w:csb1="00000000"/>
    <w:embedRegular r:id="rId6" w:fontKey="{52915C1F-F100-496E-A670-C1FD263E4453}"/>
  </w:font>
  <w:font w:name="ArialUnicodeMS">
    <w:altName w:val="Malgun Gothic"/>
    <w:panose1 w:val="00000000000000000000"/>
    <w:charset w:val="81"/>
    <w:family w:val="auto"/>
    <w:pitch w:val="default"/>
    <w:sig w:usb0="00000000" w:usb1="00000000" w:usb2="00000010" w:usb3="00000000" w:csb0="00080001" w:csb1="00000000"/>
    <w:embedRegular r:id="rId7" w:fontKey="{DB47B1EC-BEF3-4DD3-824F-473C46041B33}"/>
  </w:font>
  <w:font w:name="MS-UIGothic,Bold">
    <w:altName w:val="Malgun Gothic"/>
    <w:panose1 w:val="00000000000000000000"/>
    <w:charset w:val="81"/>
    <w:family w:val="auto"/>
    <w:pitch w:val="default"/>
    <w:sig w:usb0="00000000" w:usb1="00000000" w:usb2="00000010" w:usb3="00000000" w:csb0="00080000" w:csb1="00000000"/>
    <w:embedRegular r:id="rId8" w:fontKey="{87978CFD-36FC-4B3C-9DF4-CF0654725EEF}"/>
  </w:font>
  <w:font w:name="楷体_GB2312">
    <w:panose1 w:val="02010609030101010101"/>
    <w:charset w:val="86"/>
    <w:family w:val="modern"/>
    <w:pitch w:val="default"/>
    <w:sig w:usb0="00000001" w:usb1="080E0000" w:usb2="00000000" w:usb3="00000000" w:csb0="00040000" w:csb1="00000000"/>
    <w:embedRegular r:id="rId9" w:fontKey="{91B7034C-52D6-4DD1-9D7D-D14F98E75AB7}"/>
  </w:font>
  <w:font w:name="DengXian-Bold">
    <w:altName w:val="宋体"/>
    <w:panose1 w:val="00000000000000000000"/>
    <w:charset w:val="86"/>
    <w:family w:val="auto"/>
    <w:pitch w:val="default"/>
    <w:sig w:usb0="00000000" w:usb1="00000000" w:usb2="00000010" w:usb3="00000000" w:csb0="00040001" w:csb1="00000000"/>
    <w:embedRegular r:id="rId10" w:fontKey="{20F1130E-B303-490F-857E-616299F2F77C}"/>
  </w:font>
  <w:font w:name="DengXian-Regular">
    <w:altName w:val="宋体"/>
    <w:panose1 w:val="00000000000000000000"/>
    <w:charset w:val="86"/>
    <w:family w:val="auto"/>
    <w:pitch w:val="default"/>
    <w:sig w:usb0="00000000" w:usb1="00000000" w:usb2="00000010" w:usb3="00000000" w:csb0="00040001" w:csb1="00000000"/>
    <w:embedRegular r:id="rId11" w:fontKey="{B85E43BE-7511-4E25-9AE8-969FAC48E8A2}"/>
  </w:font>
  <w:font w:name="方正小标宋_GBK">
    <w:altName w:val="微软雅黑"/>
    <w:panose1 w:val="00000000000000000000"/>
    <w:charset w:val="86"/>
    <w:family w:val="script"/>
    <w:pitch w:val="default"/>
    <w:sig w:usb0="00000000" w:usb1="00000000" w:usb2="00000010" w:usb3="00000000" w:csb0="00040000" w:csb1="00000000"/>
    <w:embedRegular r:id="rId12" w:fontKey="{956A7029-E056-452C-96CB-9E3761D79387}"/>
  </w:font>
  <w:font w:name="方正书宋_GBK">
    <w:altName w:val="宋体"/>
    <w:panose1 w:val="00000000000000000000"/>
    <w:charset w:val="86"/>
    <w:family w:val="script"/>
    <w:pitch w:val="default"/>
    <w:sig w:usb0="00000000" w:usb1="00000000" w:usb2="00000010" w:usb3="00000000" w:csb0="00040000" w:csb1="00000000"/>
    <w:embedRegular r:id="rId13" w:fontKey="{5537837C-B453-41D5-9EFD-B1F88F5CFFB2}"/>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0CFFF"/>
    <w:multiLevelType w:val="singleLevel"/>
    <w:tmpl w:val="8A80CFFF"/>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6343E697"/>
    <w:multiLevelType w:val="singleLevel"/>
    <w:tmpl w:val="6343E69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757B2"/>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1A58B7"/>
    <w:rsid w:val="01717F0E"/>
    <w:rsid w:val="03404376"/>
    <w:rsid w:val="04073F84"/>
    <w:rsid w:val="05B477D9"/>
    <w:rsid w:val="07AD789A"/>
    <w:rsid w:val="08AB7233"/>
    <w:rsid w:val="08C14F5B"/>
    <w:rsid w:val="0B60750A"/>
    <w:rsid w:val="0BC71BAC"/>
    <w:rsid w:val="0C07121C"/>
    <w:rsid w:val="0C380920"/>
    <w:rsid w:val="0D0C0755"/>
    <w:rsid w:val="0E4C252C"/>
    <w:rsid w:val="0EAC4AFB"/>
    <w:rsid w:val="0EFA6406"/>
    <w:rsid w:val="105F4FD5"/>
    <w:rsid w:val="10686488"/>
    <w:rsid w:val="10AB2FC0"/>
    <w:rsid w:val="10DF728A"/>
    <w:rsid w:val="114C42AE"/>
    <w:rsid w:val="11673D4A"/>
    <w:rsid w:val="118F7F71"/>
    <w:rsid w:val="1264200E"/>
    <w:rsid w:val="12760A91"/>
    <w:rsid w:val="12774F80"/>
    <w:rsid w:val="12CF0DE4"/>
    <w:rsid w:val="13396316"/>
    <w:rsid w:val="136167FB"/>
    <w:rsid w:val="141C5B77"/>
    <w:rsid w:val="15062846"/>
    <w:rsid w:val="162077F2"/>
    <w:rsid w:val="16E0347F"/>
    <w:rsid w:val="17E65A73"/>
    <w:rsid w:val="184A7686"/>
    <w:rsid w:val="189776EF"/>
    <w:rsid w:val="18D8339D"/>
    <w:rsid w:val="1A21388F"/>
    <w:rsid w:val="1A570D2F"/>
    <w:rsid w:val="1B54499E"/>
    <w:rsid w:val="1B5F0E8B"/>
    <w:rsid w:val="1B8765CB"/>
    <w:rsid w:val="1CA71889"/>
    <w:rsid w:val="1D782817"/>
    <w:rsid w:val="1DA26A0F"/>
    <w:rsid w:val="1E012D5D"/>
    <w:rsid w:val="1EC358FE"/>
    <w:rsid w:val="1F527729"/>
    <w:rsid w:val="1FD34721"/>
    <w:rsid w:val="20217808"/>
    <w:rsid w:val="209767A3"/>
    <w:rsid w:val="21816410"/>
    <w:rsid w:val="241A016A"/>
    <w:rsid w:val="251C243D"/>
    <w:rsid w:val="26A630E8"/>
    <w:rsid w:val="275A0A3E"/>
    <w:rsid w:val="28FB0B8D"/>
    <w:rsid w:val="29202ABE"/>
    <w:rsid w:val="2B233CCC"/>
    <w:rsid w:val="2CC2332E"/>
    <w:rsid w:val="2D2B7942"/>
    <w:rsid w:val="2D46481D"/>
    <w:rsid w:val="2DA14B64"/>
    <w:rsid w:val="2E733B28"/>
    <w:rsid w:val="2F4C1B26"/>
    <w:rsid w:val="2FEB3837"/>
    <w:rsid w:val="3149429A"/>
    <w:rsid w:val="31852B5A"/>
    <w:rsid w:val="32D01238"/>
    <w:rsid w:val="33193433"/>
    <w:rsid w:val="34311656"/>
    <w:rsid w:val="36684A0C"/>
    <w:rsid w:val="377E5252"/>
    <w:rsid w:val="37D1424F"/>
    <w:rsid w:val="37E36696"/>
    <w:rsid w:val="398642B3"/>
    <w:rsid w:val="39A45653"/>
    <w:rsid w:val="3A375E05"/>
    <w:rsid w:val="3AAF7912"/>
    <w:rsid w:val="3BFA16E8"/>
    <w:rsid w:val="3C6521A7"/>
    <w:rsid w:val="3CAD70AB"/>
    <w:rsid w:val="3DFC59A8"/>
    <w:rsid w:val="3ECF245E"/>
    <w:rsid w:val="3F4435FD"/>
    <w:rsid w:val="3F66384E"/>
    <w:rsid w:val="3F903A45"/>
    <w:rsid w:val="3FB96314"/>
    <w:rsid w:val="4075323B"/>
    <w:rsid w:val="415749C7"/>
    <w:rsid w:val="423B6CAF"/>
    <w:rsid w:val="42B72857"/>
    <w:rsid w:val="43493A15"/>
    <w:rsid w:val="434F2DEA"/>
    <w:rsid w:val="43B73829"/>
    <w:rsid w:val="445D3C9B"/>
    <w:rsid w:val="45B85CFC"/>
    <w:rsid w:val="486A1069"/>
    <w:rsid w:val="49965FE5"/>
    <w:rsid w:val="4AB93690"/>
    <w:rsid w:val="4B634177"/>
    <w:rsid w:val="4BA635CE"/>
    <w:rsid w:val="4C7931DC"/>
    <w:rsid w:val="4CB132D5"/>
    <w:rsid w:val="4FD50EFA"/>
    <w:rsid w:val="50AD2F09"/>
    <w:rsid w:val="51A11AF2"/>
    <w:rsid w:val="52181F17"/>
    <w:rsid w:val="521C473F"/>
    <w:rsid w:val="53A44FAF"/>
    <w:rsid w:val="543307CB"/>
    <w:rsid w:val="552D17D9"/>
    <w:rsid w:val="555A189F"/>
    <w:rsid w:val="556003C8"/>
    <w:rsid w:val="55A407F7"/>
    <w:rsid w:val="573862E8"/>
    <w:rsid w:val="585C7716"/>
    <w:rsid w:val="588A7CC8"/>
    <w:rsid w:val="594329EC"/>
    <w:rsid w:val="59533C8A"/>
    <w:rsid w:val="5B08511D"/>
    <w:rsid w:val="5BC00444"/>
    <w:rsid w:val="5BEE1540"/>
    <w:rsid w:val="5C4F07B2"/>
    <w:rsid w:val="5C543699"/>
    <w:rsid w:val="5C552350"/>
    <w:rsid w:val="5C7731CC"/>
    <w:rsid w:val="5D0A2D25"/>
    <w:rsid w:val="5DE61A5D"/>
    <w:rsid w:val="5F8F60E1"/>
    <w:rsid w:val="60090137"/>
    <w:rsid w:val="6179341E"/>
    <w:rsid w:val="62601F99"/>
    <w:rsid w:val="62D36D1D"/>
    <w:rsid w:val="631B6679"/>
    <w:rsid w:val="63A972D9"/>
    <w:rsid w:val="63C04243"/>
    <w:rsid w:val="63C95B50"/>
    <w:rsid w:val="649C01C7"/>
    <w:rsid w:val="658147AF"/>
    <w:rsid w:val="66DC3DC1"/>
    <w:rsid w:val="66E769E9"/>
    <w:rsid w:val="679E39F5"/>
    <w:rsid w:val="67D6123D"/>
    <w:rsid w:val="698D2022"/>
    <w:rsid w:val="69962C7F"/>
    <w:rsid w:val="699A3F60"/>
    <w:rsid w:val="69A8458C"/>
    <w:rsid w:val="69B41C52"/>
    <w:rsid w:val="6A8F7BA4"/>
    <w:rsid w:val="6B3A4A14"/>
    <w:rsid w:val="6C06635E"/>
    <w:rsid w:val="6D726C91"/>
    <w:rsid w:val="6DA46E0D"/>
    <w:rsid w:val="6E107664"/>
    <w:rsid w:val="70BB6CF1"/>
    <w:rsid w:val="70E85094"/>
    <w:rsid w:val="72902E62"/>
    <w:rsid w:val="72DF24B7"/>
    <w:rsid w:val="730C1902"/>
    <w:rsid w:val="73332456"/>
    <w:rsid w:val="73C61104"/>
    <w:rsid w:val="74B77E1C"/>
    <w:rsid w:val="74F66C0A"/>
    <w:rsid w:val="75584D8A"/>
    <w:rsid w:val="758455A2"/>
    <w:rsid w:val="77132ED6"/>
    <w:rsid w:val="776452EA"/>
    <w:rsid w:val="77A47E58"/>
    <w:rsid w:val="77A76000"/>
    <w:rsid w:val="785F0226"/>
    <w:rsid w:val="78EB247E"/>
    <w:rsid w:val="790C361D"/>
    <w:rsid w:val="797D3CDB"/>
    <w:rsid w:val="7B16376D"/>
    <w:rsid w:val="7B1A2160"/>
    <w:rsid w:val="7B3662C2"/>
    <w:rsid w:val="7B366C5F"/>
    <w:rsid w:val="7B555316"/>
    <w:rsid w:val="7BB7301C"/>
    <w:rsid w:val="7C3A7175"/>
    <w:rsid w:val="7D105D6F"/>
    <w:rsid w:val="7D42088D"/>
    <w:rsid w:val="7DC663B9"/>
    <w:rsid w:val="7E592C14"/>
    <w:rsid w:val="7F773C86"/>
    <w:rsid w:val="7FA071A1"/>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年度支出</a:t>
            </a:r>
            <a:endParaRPr altLang="en-US"/>
          </a:p>
        </c:rich>
      </c:tx>
      <c:layout/>
      <c:overlay val="0"/>
      <c:spPr>
        <a:noFill/>
        <a:ln>
          <a:noFill/>
        </a:ln>
        <a:effectLst/>
      </c:spPr>
    </c:title>
    <c:autoTitleDeleted val="0"/>
    <c:plotArea>
      <c:layout/>
      <c:pieChart>
        <c:varyColors val="1"/>
        <c:ser>
          <c:idx val="0"/>
          <c:order val="0"/>
          <c:tx>
            <c:strRef>
              <c:f>Sheet1!$B$1</c:f>
              <c:strCache>
                <c:ptCount val="1"/>
                <c:pt idx="0">
                  <c:v>2018年度支出</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0.4572</c:v>
                </c:pt>
                <c:pt idx="1">
                  <c:v>0.5428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345834138798"/>
          <c:y val="0.103027839869945"/>
          <c:w val="0.80817707326503"/>
          <c:h val="0.855151391993497"/>
        </c:manualLayout>
      </c:layout>
      <c:barChart>
        <c:barDir val="col"/>
        <c:grouping val="clustered"/>
        <c:varyColors val="0"/>
        <c:ser>
          <c:idx val="0"/>
          <c:order val="0"/>
          <c:tx>
            <c:strRef>
              <c:f>Sheet1!$B$1</c:f>
              <c:strCache>
                <c:ptCount val="1"/>
                <c:pt idx="0">
                  <c:v>2018年度</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一般公共预算财政拨款支出</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1448.78</c:v>
                </c:pt>
                <c:pt idx="1">
                  <c:v>1219.39</c:v>
                </c:pt>
              </c:numCache>
            </c:numRef>
          </c:val>
        </c:ser>
        <c:ser>
          <c:idx val="1"/>
          <c:order val="1"/>
          <c:tx>
            <c:strRef>
              <c:f>Sheet1!$C$1</c:f>
              <c:strCache>
                <c:ptCount val="1"/>
                <c:pt idx="0">
                  <c:v>2017年度</c:v>
                </c:pt>
              </c:strCache>
            </c:strRef>
          </c:tx>
          <c:spPr>
            <a:solidFill>
              <a:schemeClr val="accent2">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一般公共预算财政拨款支出</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1514.28</c:v>
                </c:pt>
                <c:pt idx="1">
                  <c:v>1655.49</c:v>
                </c:pt>
              </c:numCache>
            </c:numRef>
          </c:val>
        </c:ser>
        <c:dLbls>
          <c:showLegendKey val="0"/>
          <c:showVal val="1"/>
          <c:showCatName val="0"/>
          <c:showSerName val="0"/>
          <c:showPercent val="0"/>
          <c:showBubbleSize val="0"/>
        </c:dLbls>
        <c:gapWidth val="219"/>
        <c:overlap val="-27"/>
        <c:axId val="881146706"/>
        <c:axId val="24276319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Sheet1!$A$2:$A$3</c15:sqref>
                        </c15:fullRef>
                        <c15:formulaRef>
                          <c15:sqref>Sheet1!$A$2:$A$3</c15:sqref>
                        </c15:formulaRef>
                      </c:ext>
                    </c:extLst>
                    <c:strCache>
                      <c:ptCount val="2"/>
                      <c:pt idx="0">
                        <c:v>一般公共预算财政拨款收入</c:v>
                      </c:pt>
                      <c:pt idx="1">
                        <c:v>一般公共预算财政拨款支出</c:v>
                      </c:pt>
                    </c:strCache>
                  </c:strRef>
                </c:cat>
              </c15:ser>
            </c15:filteredBarSeries>
          </c:ext>
        </c:extLst>
      </c:barChart>
      <c:catAx>
        <c:axId val="88114670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63190"/>
        <c:crosses val="autoZero"/>
        <c:auto val="1"/>
        <c:lblAlgn val="ctr"/>
        <c:lblOffset val="100"/>
        <c:noMultiLvlLbl val="0"/>
      </c:catAx>
      <c:valAx>
        <c:axId val="2427631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14670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76378269617706"/>
          <c:y val="0.106568547288089"/>
          <c:w val="0.853247484909457"/>
          <c:h val="0.735368401926047"/>
        </c:manualLayout>
      </c:layout>
      <c:barChart>
        <c:barDir val="col"/>
        <c:grouping val="clustered"/>
        <c:varyColors val="0"/>
        <c:ser>
          <c:idx val="0"/>
          <c:order val="0"/>
          <c:tx>
            <c:strRef>
              <c:f>Sheet1!$B$1</c:f>
              <c:strCache>
                <c:ptCount val="1"/>
                <c:pt idx="0">
                  <c:v>2018年度决算</c:v>
                </c:pt>
              </c:strCache>
            </c:strRef>
          </c:tx>
          <c:spPr>
            <a:solidFill>
              <a:schemeClr val="accent1">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一般公共预算财政拨款支出</c:v>
                </c:pt>
              </c:strCache>
            </c:strRef>
          </c:cat>
          <c:val>
            <c:numRef>
              <c:f>Sheet1!$B$2:$B$3</c:f>
              <c:numCache>
                <c:formatCode>General</c:formatCode>
                <c:ptCount val="2"/>
                <c:pt idx="0">
                  <c:v>1448.78</c:v>
                </c:pt>
                <c:pt idx="1">
                  <c:v>1219.39</c:v>
                </c:pt>
              </c:numCache>
            </c:numRef>
          </c:val>
        </c:ser>
        <c:ser>
          <c:idx val="1"/>
          <c:order val="1"/>
          <c:tx>
            <c:strRef>
              <c:f>Sheet1!$C$1</c:f>
              <c:strCache>
                <c:ptCount val="1"/>
                <c:pt idx="0">
                  <c:v>2018年度预算</c:v>
                </c:pt>
              </c:strCache>
            </c:strRef>
          </c:tx>
          <c:spPr>
            <a:solidFill>
              <a:schemeClr val="accent2">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一般公共预算财政拨款支出</c:v>
                </c:pt>
              </c:strCache>
            </c:strRef>
          </c:cat>
          <c:val>
            <c:numRef>
              <c:f>Sheet1!$C$2:$C$3</c:f>
              <c:numCache>
                <c:formatCode>General</c:formatCode>
                <c:ptCount val="2"/>
                <c:pt idx="0">
                  <c:v>1475.9</c:v>
                </c:pt>
                <c:pt idx="1">
                  <c:v>1475.9</c:v>
                </c:pt>
              </c:numCache>
            </c:numRef>
          </c:val>
        </c:ser>
        <c:dLbls>
          <c:showLegendKey val="0"/>
          <c:showVal val="1"/>
          <c:showCatName val="0"/>
          <c:showSerName val="0"/>
          <c:showPercent val="0"/>
          <c:showBubbleSize val="0"/>
        </c:dLbls>
        <c:gapWidth val="219"/>
        <c:overlap val="-27"/>
        <c:axId val="569726085"/>
        <c:axId val="86931094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tint val="100000"/>
                      <a:shade val="100000"/>
                      <a:hueMod val="100000"/>
                      <a:satMod val="10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一般公共预算财政拨款收入</c:v>
                      </c:pt>
                      <c:pt idx="1">
                        <c:v>一般公共预算财政拨款支出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3"/>
                <c:order val="3"/>
                <c:tx>
                  <c:strRef>
                    <c:extLst>
                      <c:ext uri="{02D57815-91ED-43cb-92C2-25804820EDAC}">
                        <c15:formulaRef>
                          <c15:sqref>"2018年度决算"</c15:sqref>
                        </c15:formulaRef>
                      </c:ext>
                    </c:extLst>
                    <c:strCache>
                      <c:ptCount val="1"/>
                      <c:pt idx="0">
                        <c:v>2018年度决算</c:v>
                      </c:pt>
                    </c:strCache>
                  </c:strRef>
                </c:tx>
                <c:spPr>
                  <a:solidFill>
                    <a:schemeClr val="accent4">
                      <a:tint val="100000"/>
                      <a:shade val="100000"/>
                      <a:hueMod val="100000"/>
                      <a:satMod val="100000"/>
                    </a:schemeClr>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一般公共预算财政拨款收入</c:v>
                      </c:pt>
                      <c:pt idx="1">
                        <c:v>一般公共预算财政拨款支出</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5697260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310942"/>
        <c:crosses val="autoZero"/>
        <c:auto val="1"/>
        <c:lblAlgn val="ctr"/>
        <c:lblOffset val="100"/>
        <c:noMultiLvlLbl val="0"/>
      </c:catAx>
      <c:valAx>
        <c:axId val="8693109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72608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年度财政拨款支出</a:t>
            </a:r>
            <a:endParaRPr altLang="en-US"/>
          </a:p>
        </c:rich>
      </c:tx>
      <c:layout>
        <c:manualLayout>
          <c:xMode val="edge"/>
          <c:yMode val="edge"/>
          <c:x val="0.504232365145228"/>
          <c:y val="0.0441345365053322"/>
        </c:manualLayout>
      </c:layout>
      <c:overlay val="0"/>
      <c:spPr>
        <a:noFill/>
        <a:ln>
          <a:noFill/>
        </a:ln>
        <a:effectLst/>
      </c:spPr>
    </c:title>
    <c:autoTitleDeleted val="0"/>
    <c:plotArea>
      <c:layout/>
      <c:pieChart>
        <c:varyColors val="1"/>
        <c:ser>
          <c:idx val="0"/>
          <c:order val="0"/>
          <c:spPr/>
          <c:explosion val="0"/>
          <c:dPt>
            <c:idx val="0"/>
            <c:bubble3D val="0"/>
            <c:explosion val="3"/>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Pt>
            <c:idx val="4"/>
            <c:bubble3D val="0"/>
            <c:spPr>
              <a:solidFill>
                <a:schemeClr val="accent5">
                  <a:tint val="100000"/>
                  <a:shade val="100000"/>
                  <a:hueMod val="100000"/>
                  <a:satMod val="100000"/>
                </a:schemeClr>
              </a:solidFill>
              <a:ln w="19050">
                <a:solidFill>
                  <a:schemeClr val="lt1"/>
                </a:solidFill>
              </a:ln>
              <a:effectLst/>
            </c:spPr>
          </c:dPt>
          <c:dLbls>
            <c:dLbl>
              <c:idx val="3"/>
              <c:layout>
                <c:manualLayout>
                  <c:x val="0.000478321452629772"/>
                  <c:y val="-0.0733037098452504"/>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570954356846473"/>
                      <c:h val="0.0633305988515176"/>
                    </c:manualLayout>
                  </c15:layout>
                </c:ext>
              </c:extLst>
            </c:dLbl>
            <c:dLbl>
              <c:idx val="4"/>
              <c:layout>
                <c:manualLayout>
                  <c:x val="0.0369251747650348"/>
                  <c:y val="0.02602450893772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一般公共服务（类）支出1126.11万元</c:v>
                </c:pt>
                <c:pt idx="1">
                  <c:v>社会保障和就业（类）支出</c:v>
                </c:pt>
                <c:pt idx="2">
                  <c:v>医疗卫生与计划生育（类）支出</c:v>
                </c:pt>
                <c:pt idx="3">
                  <c:v>农林水（类）支出</c:v>
                </c:pt>
                <c:pt idx="4">
                  <c:v>资源勘探信息等（类）支出</c:v>
                </c:pt>
              </c:strCache>
            </c:strRef>
          </c:cat>
          <c:val>
            <c:numRef>
              <c:f>Sheet1!$B$2:$B$6</c:f>
              <c:numCache>
                <c:formatCode>0.00%</c:formatCode>
                <c:ptCount val="5"/>
                <c:pt idx="0">
                  <c:v>0.9235</c:v>
                </c:pt>
                <c:pt idx="1">
                  <c:v>0.0483</c:v>
                </c:pt>
                <c:pt idx="2">
                  <c:v>0.0192</c:v>
                </c:pt>
                <c:pt idx="3">
                  <c:v>0.0082</c:v>
                </c:pt>
                <c:pt idx="4">
                  <c:v>0.0008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7</TotalTime>
  <ScaleCrop>false</ScaleCrop>
  <LinksUpToDate>false</LinksUpToDate>
  <CharactersWithSpaces>11081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有买宝宝衣服的找我</cp:lastModifiedBy>
  <cp:lastPrinted>2019-09-27T00:42:00Z</cp:lastPrinted>
  <dcterms:modified xsi:type="dcterms:W3CDTF">2022-03-11T03:31:07Z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