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b/>
          <w:sz w:val="44"/>
          <w:szCs w:val="44"/>
        </w:rPr>
      </w:pPr>
      <w:r>
        <w:rPr>
          <w:b/>
          <w:sz w:val="44"/>
          <w:szCs w:val="44"/>
        </w:rPr>
        <w:t>廊坊市</w:t>
      </w:r>
      <w:r>
        <w:rPr>
          <w:rFonts w:hint="eastAsia"/>
          <w:b/>
          <w:sz w:val="44"/>
          <w:szCs w:val="44"/>
        </w:rPr>
        <w:t>中国共产党大城县直属机关</w:t>
      </w:r>
    </w:p>
    <w:p>
      <w:pPr>
        <w:widowControl/>
        <w:jc w:val="center"/>
        <w:rPr>
          <w:rFonts w:ascii="楷体" w:eastAsia="楷体" w:cs="楷体"/>
          <w:b/>
          <w:sz w:val="44"/>
          <w:szCs w:val="44"/>
        </w:rPr>
        <w:sectPr>
          <w:pgSz w:w="11907" w:h="16840"/>
          <w:pgMar w:top="1588" w:right="1701" w:bottom="1474" w:left="1701" w:header="851" w:footer="992" w:gutter="0"/>
          <w:cols w:space="720" w:num="1"/>
          <w:docGrid w:type="lines" w:linePitch="312" w:charSpace="0"/>
        </w:sectPr>
      </w:pPr>
      <w:r>
        <w:rPr>
          <w:rFonts w:hint="eastAsia"/>
          <w:b/>
          <w:sz w:val="44"/>
          <w:szCs w:val="44"/>
        </w:rPr>
        <w:t>工作委员会</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中国共产党大城县直属机关工作委员会</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中国共产党大城县直属机关工作委员会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  部门概况</w:t>
      </w:r>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21"/>
        <w:ind w:firstLine="0" w:firstLineChars="0"/>
        <w:rPr>
          <w:rFonts w:ascii="仿宋" w:eastAsia="仿宋" w:cs="仿宋_GB2312"/>
          <w:kern w:val="0"/>
          <w:sz w:val="32"/>
          <w:szCs w:val="32"/>
        </w:rPr>
      </w:pPr>
      <w:r>
        <w:rPr>
          <w:rFonts w:ascii="仿宋" w:eastAsia="仿宋" w:cs="仿宋_GB2312"/>
          <w:kern w:val="0"/>
          <w:sz w:val="32"/>
          <w:szCs w:val="32"/>
        </w:rPr>
        <w:t>1</w:t>
      </w:r>
      <w:r>
        <w:rPr>
          <w:rFonts w:hint="eastAsia" w:ascii="仿宋" w:eastAsia="仿宋" w:cs="仿宋_GB2312"/>
          <w:kern w:val="0"/>
          <w:sz w:val="32"/>
          <w:szCs w:val="32"/>
        </w:rPr>
        <w:t>、结合县直机关党建工作实际，贯彻执行党的路线、方针、政策和县委的指示、决议。</w:t>
      </w:r>
    </w:p>
    <w:p>
      <w:pPr>
        <w:pStyle w:val="21"/>
        <w:ind w:firstLine="0" w:firstLineChars="0"/>
        <w:rPr>
          <w:rFonts w:ascii="仿宋" w:eastAsia="仿宋" w:cs="仿宋_GB2312"/>
          <w:sz w:val="32"/>
          <w:szCs w:val="32"/>
        </w:rPr>
      </w:pPr>
      <w:r>
        <w:rPr>
          <w:rFonts w:ascii="仿宋" w:eastAsia="仿宋" w:cs="仿宋_GB2312"/>
          <w:sz w:val="32"/>
          <w:szCs w:val="32"/>
        </w:rPr>
        <w:t xml:space="preserve">    2</w:t>
      </w:r>
      <w:r>
        <w:rPr>
          <w:rFonts w:hint="eastAsia" w:ascii="仿宋" w:eastAsia="仿宋" w:cs="仿宋_GB2312"/>
          <w:sz w:val="32"/>
          <w:szCs w:val="32"/>
        </w:rPr>
        <w:t>、按照县委的要求，制定县直机关党建规划，并监督检查落实。</w:t>
      </w:r>
    </w:p>
    <w:p>
      <w:pPr>
        <w:pStyle w:val="21"/>
        <w:ind w:firstLine="0" w:firstLineChars="0"/>
        <w:rPr>
          <w:rFonts w:ascii="仿宋" w:eastAsia="仿宋" w:cs="仿宋_GB2312"/>
          <w:sz w:val="32"/>
          <w:szCs w:val="32"/>
        </w:rPr>
      </w:pPr>
      <w:r>
        <w:rPr>
          <w:rFonts w:ascii="仿宋" w:eastAsia="仿宋" w:cs="仿宋_GB2312"/>
          <w:sz w:val="32"/>
          <w:szCs w:val="32"/>
        </w:rPr>
        <w:t xml:space="preserve">    3</w:t>
      </w:r>
      <w:r>
        <w:rPr>
          <w:rFonts w:hint="eastAsia" w:ascii="仿宋" w:eastAsia="仿宋" w:cs="仿宋_GB2312"/>
          <w:sz w:val="32"/>
          <w:szCs w:val="32"/>
        </w:rPr>
        <w:t>、指导县直基层党组织搞好党的思想建设、组织建设、作风建设和制度建设，做好党员教育和管理工作，为经济建设提供思想、政治和组织保证。</w:t>
      </w:r>
    </w:p>
    <w:p>
      <w:pPr>
        <w:pStyle w:val="21"/>
        <w:ind w:firstLine="0" w:firstLineChars="0"/>
        <w:rPr>
          <w:rFonts w:ascii="仿宋" w:eastAsia="仿宋" w:cs="仿宋_GB2312"/>
          <w:sz w:val="32"/>
          <w:szCs w:val="32"/>
        </w:rPr>
      </w:pPr>
      <w:r>
        <w:rPr>
          <w:rFonts w:ascii="仿宋" w:eastAsia="仿宋" w:cs="仿宋_GB2312"/>
          <w:sz w:val="32"/>
          <w:szCs w:val="32"/>
        </w:rPr>
        <w:t xml:space="preserve">    4</w:t>
      </w:r>
      <w:r>
        <w:rPr>
          <w:rFonts w:hint="eastAsia" w:ascii="仿宋" w:eastAsia="仿宋" w:cs="仿宋_GB2312"/>
          <w:sz w:val="32"/>
          <w:szCs w:val="32"/>
        </w:rPr>
        <w:t>、按照党章和基层党组织选举工作的有关规定，负责审批县直机关直属党组织设置及委员会组成。</w:t>
      </w:r>
    </w:p>
    <w:p>
      <w:pPr>
        <w:pStyle w:val="21"/>
        <w:ind w:firstLine="0" w:firstLineChars="0"/>
        <w:rPr>
          <w:rFonts w:ascii="仿宋" w:eastAsia="仿宋" w:cs="仿宋_GB2312"/>
          <w:sz w:val="32"/>
          <w:szCs w:val="32"/>
        </w:rPr>
      </w:pPr>
      <w:r>
        <w:rPr>
          <w:rFonts w:ascii="仿宋" w:eastAsia="仿宋" w:cs="仿宋_GB2312"/>
          <w:sz w:val="32"/>
          <w:szCs w:val="32"/>
        </w:rPr>
        <w:t xml:space="preserve">    5</w:t>
      </w:r>
      <w:r>
        <w:rPr>
          <w:rFonts w:hint="eastAsia" w:ascii="仿宋" w:eastAsia="仿宋" w:cs="仿宋_GB2312"/>
          <w:sz w:val="32"/>
          <w:szCs w:val="32"/>
        </w:rPr>
        <w:t>、指导县直基层党组织实施对党员特别是党员领导干部的监督。监督领导干部做好双重组织生活。</w:t>
      </w:r>
    </w:p>
    <w:p>
      <w:pPr>
        <w:pStyle w:val="21"/>
        <w:ind w:firstLine="0" w:firstLineChars="0"/>
        <w:rPr>
          <w:rFonts w:ascii="仿宋" w:eastAsia="仿宋" w:cs="仿宋_GB2312"/>
          <w:sz w:val="32"/>
          <w:szCs w:val="32"/>
        </w:rPr>
      </w:pPr>
      <w:r>
        <w:rPr>
          <w:rFonts w:ascii="仿宋" w:eastAsia="仿宋" w:cs="仿宋_GB2312"/>
          <w:sz w:val="32"/>
          <w:szCs w:val="32"/>
        </w:rPr>
        <w:t xml:space="preserve">    6</w:t>
      </w:r>
      <w:r>
        <w:rPr>
          <w:rFonts w:hint="eastAsia" w:ascii="仿宋" w:eastAsia="仿宋" w:cs="仿宋_GB2312"/>
          <w:sz w:val="32"/>
          <w:szCs w:val="32"/>
        </w:rPr>
        <w:t>、按照党章规定，做好新党员的发展工作。</w:t>
      </w:r>
    </w:p>
    <w:p>
      <w:pPr>
        <w:pStyle w:val="21"/>
        <w:ind w:firstLine="0" w:firstLineChars="0"/>
        <w:rPr>
          <w:rFonts w:ascii="仿宋" w:eastAsia="仿宋" w:cs="仿宋_GB2312"/>
          <w:sz w:val="32"/>
          <w:szCs w:val="32"/>
        </w:rPr>
      </w:pPr>
      <w:r>
        <w:rPr>
          <w:rFonts w:ascii="仿宋" w:eastAsia="仿宋" w:cs="仿宋_GB2312"/>
          <w:sz w:val="32"/>
          <w:szCs w:val="32"/>
        </w:rPr>
        <w:t xml:space="preserve">    7</w:t>
      </w:r>
      <w:r>
        <w:rPr>
          <w:rFonts w:hint="eastAsia" w:ascii="仿宋" w:eastAsia="仿宋" w:cs="仿宋_GB2312"/>
          <w:sz w:val="32"/>
          <w:szCs w:val="32"/>
        </w:rPr>
        <w:t>、必要时组织召开县直党的代表会议。</w:t>
      </w:r>
    </w:p>
    <w:p>
      <w:pPr>
        <w:pStyle w:val="21"/>
        <w:ind w:firstLine="0" w:firstLineChars="0"/>
        <w:rPr>
          <w:rFonts w:ascii="仿宋" w:eastAsia="仿宋" w:cs="仿宋_GB2312"/>
          <w:sz w:val="32"/>
          <w:szCs w:val="32"/>
        </w:rPr>
      </w:pPr>
      <w:r>
        <w:rPr>
          <w:rFonts w:ascii="仿宋" w:eastAsia="仿宋" w:cs="仿宋_GB2312"/>
          <w:sz w:val="32"/>
          <w:szCs w:val="32"/>
        </w:rPr>
        <w:t xml:space="preserve">    8</w:t>
      </w:r>
      <w:r>
        <w:rPr>
          <w:rFonts w:hint="eastAsia" w:ascii="仿宋" w:eastAsia="仿宋" w:cs="仿宋_GB2312"/>
          <w:sz w:val="32"/>
          <w:szCs w:val="32"/>
        </w:rPr>
        <w:t>、完成县委交办的其他任务。</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p>
      <w:pPr>
        <w:widowControl/>
        <w:spacing w:line="560" w:lineRule="exact"/>
        <w:jc w:val="center"/>
        <w:rPr>
          <w:rFonts w:ascii="黑体" w:eastAsia="黑体" w:cs="MS-UIGothic,Bold"/>
          <w:bCs/>
          <w:kern w:val="0"/>
          <w:sz w:val="52"/>
          <w:szCs w:val="52"/>
        </w:rPr>
      </w:pPr>
    </w:p>
    <w:p>
      <w:pPr>
        <w:jc w:val="center"/>
        <w:outlineLvl w:val="0"/>
        <w:rPr>
          <w:rFonts w:ascii="仿宋" w:eastAsia="仿宋"/>
          <w:sz w:val="32"/>
          <w:szCs w:val="24"/>
        </w:rPr>
      </w:pPr>
      <w:r>
        <w:rPr>
          <w:rFonts w:hint="eastAsia" w:ascii="仿宋" w:eastAsia="仿宋"/>
          <w:sz w:val="32"/>
          <w:szCs w:val="24"/>
        </w:rPr>
        <w:t>部门机构设置情况</w:t>
      </w:r>
    </w:p>
    <w:tbl>
      <w:tblPr>
        <w:tblStyle w:val="1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9"/>
        <w:gridCol w:w="4008"/>
        <w:gridCol w:w="160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1239" w:type="dxa"/>
            <w:vMerge w:val="restart"/>
            <w:vAlign w:val="center"/>
          </w:tcPr>
          <w:p>
            <w:pPr>
              <w:spacing w:after="0" w:line="560" w:lineRule="exact"/>
              <w:jc w:val="center"/>
              <w:rPr>
                <w:rFonts w:hint="eastAsia" w:ascii="仿宋" w:eastAsia="仿宋"/>
                <w:szCs w:val="24"/>
              </w:rPr>
            </w:pPr>
            <w:r>
              <w:rPr>
                <w:rFonts w:hint="eastAsia" w:ascii="仿宋" w:eastAsia="仿宋"/>
                <w:szCs w:val="24"/>
              </w:rPr>
              <w:t>序号</w:t>
            </w:r>
          </w:p>
        </w:tc>
        <w:tc>
          <w:tcPr>
            <w:tcW w:w="4008" w:type="dxa"/>
            <w:vMerge w:val="restart"/>
            <w:vAlign w:val="center"/>
          </w:tcPr>
          <w:p>
            <w:pPr>
              <w:spacing w:after="0" w:line="560" w:lineRule="exact"/>
              <w:jc w:val="center"/>
              <w:rPr>
                <w:rFonts w:hint="eastAsia" w:ascii="仿宋" w:eastAsia="仿宋"/>
                <w:szCs w:val="24"/>
              </w:rPr>
            </w:pPr>
            <w:r>
              <w:rPr>
                <w:rFonts w:hint="eastAsia" w:ascii="仿宋" w:eastAsia="仿宋"/>
                <w:szCs w:val="24"/>
              </w:rPr>
              <w:t>单位名称</w:t>
            </w:r>
          </w:p>
        </w:tc>
        <w:tc>
          <w:tcPr>
            <w:tcW w:w="1606" w:type="dxa"/>
            <w:vMerge w:val="restart"/>
            <w:vAlign w:val="center"/>
          </w:tcPr>
          <w:p>
            <w:pPr>
              <w:spacing w:after="0" w:line="560" w:lineRule="exact"/>
              <w:jc w:val="center"/>
              <w:rPr>
                <w:rFonts w:hint="eastAsia" w:ascii="仿宋" w:eastAsia="仿宋"/>
                <w:szCs w:val="24"/>
              </w:rPr>
            </w:pPr>
            <w:r>
              <w:rPr>
                <w:rFonts w:hint="eastAsia" w:ascii="仿宋" w:eastAsia="仿宋"/>
                <w:szCs w:val="24"/>
              </w:rPr>
              <w:t>单位基本性质</w:t>
            </w:r>
          </w:p>
        </w:tc>
        <w:tc>
          <w:tcPr>
            <w:tcW w:w="2902" w:type="dxa"/>
            <w:vMerge w:val="restart"/>
            <w:vAlign w:val="center"/>
          </w:tcPr>
          <w:p>
            <w:pPr>
              <w:spacing w:after="0" w:line="560" w:lineRule="exact"/>
              <w:jc w:val="center"/>
              <w:rPr>
                <w:rFonts w:hint="eastAsia" w:ascii="仿宋" w:eastAsia="仿宋"/>
                <w:szCs w:val="24"/>
              </w:rPr>
            </w:pPr>
            <w:r>
              <w:rPr>
                <w:rFonts w:hint="eastAsia" w:ascii="仿宋" w:eastAsia="仿宋"/>
                <w:szCs w:val="24"/>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1239" w:type="dxa"/>
            <w:vMerge w:val="continue"/>
            <w:vAlign w:val="center"/>
          </w:tcPr>
          <w:p/>
        </w:tc>
        <w:tc>
          <w:tcPr>
            <w:tcW w:w="4008" w:type="dxa"/>
            <w:vMerge w:val="continue"/>
            <w:vAlign w:val="center"/>
          </w:tcPr>
          <w:p/>
        </w:tc>
        <w:tc>
          <w:tcPr>
            <w:tcW w:w="160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39" w:type="dxa"/>
          </w:tcPr>
          <w:p>
            <w:pPr>
              <w:spacing w:after="0" w:line="560" w:lineRule="exact"/>
              <w:jc w:val="center"/>
              <w:rPr>
                <w:rFonts w:hint="eastAsia" w:ascii="仿宋" w:eastAsia="仿宋"/>
                <w:szCs w:val="24"/>
              </w:rPr>
            </w:pPr>
            <w:r>
              <w:rPr>
                <w:rFonts w:hint="eastAsia" w:ascii="仿宋" w:eastAsia="仿宋"/>
                <w:szCs w:val="24"/>
              </w:rPr>
              <w:t>1</w:t>
            </w:r>
          </w:p>
        </w:tc>
        <w:tc>
          <w:tcPr>
            <w:tcW w:w="4008" w:type="dxa"/>
          </w:tcPr>
          <w:p>
            <w:pPr>
              <w:spacing w:after="0" w:line="560" w:lineRule="exact"/>
              <w:rPr>
                <w:rFonts w:hint="eastAsia" w:ascii="仿宋" w:eastAsia="仿宋"/>
                <w:szCs w:val="24"/>
              </w:rPr>
            </w:pPr>
            <w:r>
              <w:rPr>
                <w:rFonts w:hint="eastAsia" w:ascii="仿宋" w:eastAsia="仿宋"/>
                <w:szCs w:val="24"/>
              </w:rPr>
              <w:t>中国共产党大城县直属机关工作委员会(本级)</w:t>
            </w:r>
          </w:p>
        </w:tc>
        <w:tc>
          <w:tcPr>
            <w:tcW w:w="1606" w:type="dxa"/>
          </w:tcPr>
          <w:p>
            <w:pPr>
              <w:spacing w:after="0" w:line="560" w:lineRule="exact"/>
              <w:jc w:val="center"/>
              <w:rPr>
                <w:rFonts w:hint="eastAsia" w:ascii="仿宋" w:eastAsia="仿宋"/>
                <w:szCs w:val="24"/>
              </w:rPr>
            </w:pPr>
            <w:r>
              <w:rPr>
                <w:rFonts w:hint="eastAsia" w:ascii="仿宋" w:eastAsia="仿宋"/>
                <w:szCs w:val="24"/>
              </w:rPr>
              <w:t>行政</w:t>
            </w:r>
          </w:p>
        </w:tc>
        <w:tc>
          <w:tcPr>
            <w:tcW w:w="2902" w:type="dxa"/>
          </w:tcPr>
          <w:p>
            <w:pPr>
              <w:spacing w:after="0" w:line="560" w:lineRule="exact"/>
              <w:jc w:val="center"/>
              <w:rPr>
                <w:rFonts w:hint="eastAsia" w:ascii="仿宋" w:eastAsia="仿宋"/>
                <w:szCs w:val="24"/>
              </w:rPr>
            </w:pPr>
            <w:r>
              <w:rPr>
                <w:rFonts w:hint="eastAsia" w:ascii="仿宋" w:eastAsia="仿宋"/>
                <w:szCs w:val="24"/>
              </w:rPr>
              <w:t>财政拨款</w:t>
            </w: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ascii="黑体" w:eastAsia="黑体"/>
          <w:color w:val="000000"/>
          <w:sz w:val="72"/>
          <w:szCs w:val="96"/>
        </w:rPr>
      </w:pPr>
      <w:r>
        <w:rPr>
          <w:rFonts w:hint="eastAsia" w:ascii="黑体" w:eastAsia="黑体"/>
          <w:color w:val="000000"/>
          <w:sz w:val="72"/>
          <w:szCs w:val="96"/>
        </w:rPr>
        <w:t>2018年度部门决算报表</w:t>
      </w:r>
    </w:p>
    <w:p>
      <w:pPr>
        <w:widowControl/>
        <w:spacing w:line="1200" w:lineRule="exact"/>
        <w:jc w:val="center"/>
        <w:rPr>
          <w:rFonts w:ascii="宋体" w:hAnsi="宋体" w:eastAsia="黑体" w:cs="ArialUnicodeMS"/>
          <w:color w:val="000000"/>
          <w:kern w:val="0"/>
          <w:lang w:val="en-US" w:eastAsia="zh-CN"/>
        </w:rPr>
        <w:sectPr>
          <w:pgSz w:w="11906" w:h="16838"/>
          <w:pgMar w:top="2098" w:right="1474" w:bottom="1984" w:left="1588" w:header="851" w:footer="992" w:gutter="0"/>
          <w:cols w:space="720" w:num="1"/>
          <w:docGrid w:type="lines" w:linePitch="312" w:charSpace="0"/>
        </w:sectPr>
      </w:pPr>
      <w:r>
        <w:rPr>
          <w:rFonts w:hint="eastAsia" w:ascii="黑体" w:eastAsia="黑体"/>
          <w:color w:val="000000"/>
          <w:sz w:val="72"/>
          <w:szCs w:val="96"/>
          <w:lang w:val="en-US" w:eastAsia="zh-CN"/>
        </w:rPr>
        <w:t>(见附表)</w:t>
      </w: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rFonts w:ascii="宋体" w:cs="ArialUnicodeMS"/>
          <w:color w:val="000000"/>
          <w:kern w:val="0"/>
        </w:rPr>
        <w:sectPr>
          <w:pgSz w:w="11906" w:h="16838"/>
          <w:pgMar w:top="2098" w:right="1474" w:bottom="1984" w:left="1588" w:header="851" w:footer="992" w:gutter="0"/>
          <w:cols w:space="720" w:num="1"/>
          <w:docGrid w:type="lines" w:linePitch="312" w:charSpace="0"/>
        </w:sectPr>
      </w:pPr>
      <w:r>
        <w:rPr>
          <w:rFonts w:hint="eastAsia" w:ascii="黑体" w:eastAsia="黑体"/>
          <w:color w:val="000000"/>
          <w:sz w:val="96"/>
          <w:szCs w:val="96"/>
        </w:rPr>
        <w:t>部门决算情况说明</w:t>
      </w:r>
    </w:p>
    <w:p>
      <w:pPr>
        <w:pStyle w:val="3"/>
        <w:spacing w:before="0" w:after="0" w:line="580" w:lineRule="exact"/>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lang w:val="en-US" w:eastAsia="zh-CN"/>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总计（含结转和结余）</w:t>
      </w:r>
      <w:r>
        <w:rPr>
          <w:rFonts w:hint="eastAsia" w:ascii="仿宋_GB2312" w:eastAsia="仿宋_GB2312" w:cs="DengXian-Regular"/>
          <w:sz w:val="32"/>
          <w:szCs w:val="32"/>
          <w:lang w:val="en-US" w:eastAsia="zh-CN"/>
        </w:rPr>
        <w:t>111.16</w:t>
      </w:r>
      <w:r>
        <w:rPr>
          <w:rFonts w:hint="eastAsia" w:ascii="仿宋_GB2312" w:eastAsia="仿宋_GB2312" w:cs="DengXian-Regular"/>
          <w:sz w:val="32"/>
          <w:szCs w:val="32"/>
        </w:rPr>
        <w:t>万</w:t>
      </w:r>
      <w:r>
        <w:rPr>
          <w:rFonts w:hint="eastAsia" w:ascii="仿宋_GB2312" w:eastAsia="仿宋_GB2312" w:cs="DengXian-Regular"/>
          <w:sz w:val="32"/>
          <w:szCs w:val="32"/>
          <w:lang w:eastAsia="zh-CN"/>
        </w:rPr>
        <w:t>，支出总计</w:t>
      </w:r>
      <w:r>
        <w:rPr>
          <w:rFonts w:hint="eastAsia" w:ascii="仿宋_GB2312" w:eastAsia="仿宋_GB2312" w:cs="DengXian-Regular"/>
          <w:sz w:val="32"/>
          <w:szCs w:val="32"/>
          <w:lang w:val="en-US" w:eastAsia="zh-CN"/>
        </w:rPr>
        <w:t>111.16，年末结转7.2万元。</w:t>
      </w:r>
      <w:r>
        <w:rPr>
          <w:rFonts w:hint="eastAsia" w:ascii="仿宋_GB2312" w:eastAsia="仿宋_GB2312" w:cs="DengXian-Regular"/>
          <w:sz w:val="32"/>
          <w:szCs w:val="32"/>
        </w:rPr>
        <w:t>与2017年度决算相比，收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13.92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14.32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人员经费调整，部分项目资金调整</w:t>
      </w:r>
      <w:r>
        <w:rPr>
          <w:rFonts w:hint="eastAsia" w:ascii="仿宋_GB2312" w:eastAsia="仿宋_GB2312" w:cs="DengXian-Regular"/>
          <w:sz w:val="32"/>
          <w:szCs w:val="32"/>
        </w:rPr>
        <w:t>。</w:t>
      </w:r>
      <w:r>
        <w:rPr>
          <w:rFonts w:hint="eastAsia" w:ascii="仿宋_GB2312" w:eastAsia="仿宋_GB2312" w:cs="DengXian-Regular"/>
          <w:sz w:val="32"/>
          <w:szCs w:val="32"/>
          <w:lang w:eastAsia="zh-CN"/>
        </w:rPr>
        <w:t>支出增加</w:t>
      </w:r>
      <w:r>
        <w:rPr>
          <w:rFonts w:hint="eastAsia" w:ascii="仿宋_GB2312" w:eastAsia="仿宋_GB2312" w:cs="DengXian-Regular"/>
          <w:sz w:val="32"/>
          <w:szCs w:val="32"/>
          <w:lang w:val="en-US" w:eastAsia="zh-CN"/>
        </w:rPr>
        <w:t>13.92万元，增长14.32%，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人员经费调整，部分项目资金调整。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lang w:val="en-US" w:eastAsia="zh-CN"/>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110.98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110.98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r>
        <w:rPr>
          <w:rFonts w:hint="eastAsia" w:ascii="仿宋_GB2312" w:eastAsia="仿宋_GB2312" w:cs="DengXian-Regular"/>
          <w:sz w:val="32"/>
          <w:szCs w:val="32"/>
          <w:lang w:val="en-US" w:eastAsia="zh-CN"/>
        </w:rPr>
        <w:t xml:space="preserve">              </w:t>
      </w:r>
    </w:p>
    <w:p>
      <w:pPr>
        <w:adjustRightInd w:val="0"/>
        <w:snapToGrid w:val="0"/>
        <w:spacing w:after="0" w:line="580" w:lineRule="exact"/>
        <w:ind w:firstLine="2080" w:firstLineChars="650"/>
        <w:rPr>
          <w:rFonts w:eastAsia="仿宋_GB2312"/>
          <w:sz w:val="32"/>
          <w:szCs w:val="32"/>
        </w:rPr>
      </w:pPr>
      <w:r>
        <w:rPr>
          <w:rFonts w:eastAsia="仿宋_GB2312"/>
          <w:sz w:val="32"/>
          <w:szCs w:val="32"/>
        </w:rPr>
        <w:t>图1：收入决算结构饼状图</w:t>
      </w:r>
    </w:p>
    <w:p>
      <w:pPr>
        <w:jc w:val="center"/>
        <w:rPr>
          <w:rFonts w:ascii="黑体" w:eastAsia="黑体" w:cs="Arial"/>
          <w:sz w:val="32"/>
          <w:szCs w:val="32"/>
        </w:rPr>
      </w:pPr>
      <w:r>
        <w:rPr>
          <w:rFonts w:hint="eastAsia" w:ascii="黑体" w:eastAsia="黑体" w:cs="Arial"/>
          <w:sz w:val="32"/>
          <w:szCs w:val="32"/>
          <w:lang w:eastAsia="zh-CN"/>
        </w:rPr>
        <w:drawing>
          <wp:inline distT="0" distB="0" distL="114300" distR="114300">
            <wp:extent cx="3460750" cy="2279650"/>
            <wp:effectExtent l="0" t="0" r="0" b="0"/>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4"/>
                    <a:stretch>
                      <a:fillRect/>
                    </a:stretch>
                  </pic:blipFill>
                  <pic:spPr>
                    <a:xfrm>
                      <a:off x="0" y="0"/>
                      <a:ext cx="3460750" cy="2279650"/>
                    </a:xfrm>
                    <a:prstGeom prst="rect">
                      <a:avLst/>
                    </a:prstGeom>
                    <a:noFill/>
                    <a:ln w="9525" cap="flat" cmpd="sng">
                      <a:solidFill>
                        <a:srgbClr val="000000"/>
                      </a:solidFill>
                      <a:prstDash val="solid"/>
                      <a:miter/>
                    </a:ln>
                  </pic:spPr>
                </pic:pic>
              </a:graphicData>
            </a:graphic>
          </wp:inline>
        </w:drawing>
      </w:r>
    </w:p>
    <w:p>
      <w:pPr>
        <w:pStyle w:val="3"/>
        <w:spacing w:before="0" w:after="0" w:line="580" w:lineRule="exact"/>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103.97</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80.96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77.87</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23.01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22.13</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666750</wp:posOffset>
            </wp:positionH>
            <wp:positionV relativeFrom="paragraph">
              <wp:posOffset>-713740</wp:posOffset>
            </wp:positionV>
            <wp:extent cx="4156075" cy="3895725"/>
            <wp:effectExtent l="0" t="0" r="0" b="0"/>
            <wp:wrapNone/>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5"/>
                    <a:stretch>
                      <a:fillRect/>
                    </a:stretch>
                  </pic:blipFill>
                  <pic:spPr>
                    <a:xfrm>
                      <a:off x="0" y="0"/>
                      <a:ext cx="4156074" cy="3895725"/>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240" w:lineRule="auto"/>
        <w:ind w:firstLine="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110.98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13.74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14.13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人员增资及办公用品价格上涨，</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103.97</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6.73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6.92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人员增资及办公用品价格上涨</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266700</wp:posOffset>
            </wp:positionH>
            <wp:positionV relativeFrom="paragraph">
              <wp:posOffset>62865</wp:posOffset>
            </wp:positionV>
            <wp:extent cx="4699635" cy="2782570"/>
            <wp:effectExtent l="0" t="0" r="0" b="0"/>
            <wp:wrapNone/>
            <wp:docPr id="7" name="图表 3"/>
            <wp:cNvGraphicFramePr/>
            <a:graphic xmlns:a="http://schemas.openxmlformats.org/drawingml/2006/main">
              <a:graphicData uri="http://schemas.openxmlformats.org/drawingml/2006/picture">
                <pic:pic xmlns:pic="http://schemas.openxmlformats.org/drawingml/2006/picture">
                  <pic:nvPicPr>
                    <pic:cNvPr id="7" name="图表 3"/>
                    <pic:cNvPicPr/>
                  </pic:nvPicPr>
                  <pic:blipFill>
                    <a:blip r:embed="rId6"/>
                    <a:stretch>
                      <a:fillRect/>
                    </a:stretch>
                  </pic:blipFill>
                  <pic:spPr>
                    <a:xfrm>
                      <a:off x="0" y="0"/>
                      <a:ext cx="4699635" cy="2782570"/>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left="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110.98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20.9</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人员经费调整，部分项目调整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103.97</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13.98</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人员经费调整，部分项目调整</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86360</wp:posOffset>
            </wp:positionV>
            <wp:extent cx="4955540" cy="3237865"/>
            <wp:effectExtent l="0" t="0" r="0" b="0"/>
            <wp:wrapNone/>
            <wp:docPr id="10" name="图表 4"/>
            <wp:cNvGraphicFramePr/>
            <a:graphic xmlns:a="http://schemas.openxmlformats.org/drawingml/2006/main">
              <a:graphicData uri="http://schemas.openxmlformats.org/drawingml/2006/picture">
                <pic:pic xmlns:pic="http://schemas.openxmlformats.org/drawingml/2006/picture">
                  <pic:nvPicPr>
                    <pic:cNvPr id="10" name="图表 4"/>
                    <pic:cNvPicPr/>
                  </pic:nvPicPr>
                  <pic:blipFill>
                    <a:blip r:embed="rId7"/>
                    <a:stretch>
                      <a:fillRect/>
                    </a:stretch>
                  </pic:blipFill>
                  <pic:spPr>
                    <a:xfrm>
                      <a:off x="0" y="0"/>
                      <a:ext cx="4955540" cy="3237865"/>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jc w:val="center"/>
        <w:rPr>
          <w:rFonts w:ascii="仿宋_GB2312" w:eastAsia="仿宋_GB2312" w:cs="DengXian-Regular"/>
          <w:sz w:val="32"/>
          <w:szCs w:val="32"/>
          <w:highlight w:val="yellow"/>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ind w:left="0" w:firstLine="321" w:firstLineChars="100"/>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103.97</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92.39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66.74</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7.86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7.56</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3.71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3.57</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59264" behindDoc="0" locked="0" layoutInCell="1" allowOverlap="1">
            <wp:simplePos x="0" y="0"/>
            <wp:positionH relativeFrom="column">
              <wp:posOffset>470535</wp:posOffset>
            </wp:positionH>
            <wp:positionV relativeFrom="paragraph">
              <wp:posOffset>391160</wp:posOffset>
            </wp:positionV>
            <wp:extent cx="5023485" cy="3409950"/>
            <wp:effectExtent l="0" t="0" r="0" b="0"/>
            <wp:wrapNone/>
            <wp:docPr id="13" name="图表 5"/>
            <wp:cNvGraphicFramePr/>
            <a:graphic xmlns:a="http://schemas.openxmlformats.org/drawingml/2006/main">
              <a:graphicData uri="http://schemas.openxmlformats.org/drawingml/2006/picture">
                <pic:pic xmlns:pic="http://schemas.openxmlformats.org/drawingml/2006/picture">
                  <pic:nvPicPr>
                    <pic:cNvPr id="13" name="图表 5"/>
                    <pic:cNvPicPr/>
                  </pic:nvPicPr>
                  <pic:blipFill>
                    <a:blip r:embed="rId8"/>
                    <a:stretch>
                      <a:fillRect/>
                    </a:stretch>
                  </pic:blipFill>
                  <pic:spPr>
                    <a:xfrm>
                      <a:off x="0" y="0"/>
                      <a:ext cx="5023485" cy="3409950"/>
                    </a:xfrm>
                    <a:prstGeom prst="rect">
                      <a:avLst/>
                    </a:prstGeom>
                    <a:noFill/>
                    <a:ln w="9525" cap="flat" cmpd="sng">
                      <a:solidFill>
                        <a:srgbClr val="000000"/>
                      </a:solidFill>
                      <a:prstDash val="solid"/>
                      <a:miter/>
                    </a:ln>
                  </pic:spPr>
                </pic:pic>
              </a:graphicData>
            </a:graphic>
          </wp:anchor>
        </w:drawing>
      </w: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80.96</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72.37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8.59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lang w:val="en-US" w:eastAsia="zh-CN"/>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年度一般公共预算财政拨款“三公”经费支出共计0万元。</w:t>
      </w:r>
      <w:r>
        <w:rPr>
          <w:rFonts w:hint="eastAsia" w:eastAsia="仿宋_GB2312"/>
          <w:sz w:val="32"/>
          <w:szCs w:val="32"/>
          <w:lang w:eastAsia="zh-CN"/>
        </w:rPr>
        <w:t>比年初预算增加</w:t>
      </w:r>
      <w:r>
        <w:rPr>
          <w:rFonts w:hint="eastAsia" w:eastAsia="仿宋_GB2312"/>
          <w:sz w:val="32"/>
          <w:szCs w:val="32"/>
          <w:lang w:val="en-US" w:eastAsia="zh-CN"/>
        </w:rPr>
        <w:t>0万元，增长0%，主要是较年初预算无增减变化，</w:t>
      </w:r>
      <w:r>
        <w:rPr>
          <w:rFonts w:eastAsia="仿宋_GB2312"/>
          <w:sz w:val="32"/>
          <w:szCs w:val="32"/>
        </w:rPr>
        <w:t>比201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0万元，增长0%，主要是较2017年度决算无增减变化。</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val="en-US" w:eastAsia="zh-CN"/>
        </w:rPr>
        <w:t>较2017年度决算无增减变化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eastAsia="zh-CN"/>
        </w:rPr>
        <w:t>比年初预算增加</w:t>
      </w:r>
      <w:r>
        <w:rPr>
          <w:rFonts w:hint="eastAsia" w:ascii="仿宋_GB2312" w:eastAsia="仿宋_GB2312" w:cs="DengXian-Regular"/>
          <w:sz w:val="32"/>
          <w:szCs w:val="32"/>
          <w:lang w:val="en-US" w:eastAsia="zh-CN"/>
        </w:rPr>
        <w:t>0万元</w:t>
      </w:r>
      <w:r>
        <w:rPr>
          <w:rFonts w:hint="eastAsia" w:ascii="仿宋_GB2312" w:eastAsia="仿宋_GB2312" w:cs="DengXian-Regular"/>
          <w:sz w:val="32"/>
          <w:szCs w:val="32"/>
        </w:rPr>
        <w:t>，</w:t>
      </w:r>
      <w:r>
        <w:rPr>
          <w:rFonts w:hint="eastAsia" w:eastAsia="仿宋_GB2312"/>
          <w:sz w:val="32"/>
          <w:szCs w:val="32"/>
          <w:lang w:val="en-US" w:eastAsia="zh-CN"/>
        </w:rPr>
        <w:t>增长0%，</w:t>
      </w:r>
      <w:r>
        <w:rPr>
          <w:rFonts w:hint="eastAsia" w:ascii="仿宋_GB2312" w:eastAsia="仿宋_GB2312" w:cs="DengXian-Regular"/>
          <w:sz w:val="32"/>
          <w:szCs w:val="32"/>
        </w:rPr>
        <w:t>主要是</w:t>
      </w:r>
      <w:r>
        <w:rPr>
          <w:rFonts w:hint="eastAsia" w:eastAsia="仿宋_GB2312"/>
          <w:sz w:val="32"/>
          <w:szCs w:val="32"/>
          <w:lang w:eastAsia="zh-CN"/>
        </w:rPr>
        <w:t>较年初预算无增减变化</w:t>
      </w:r>
      <w:r>
        <w:rPr>
          <w:rFonts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val="en-US" w:eastAsia="zh-CN"/>
        </w:rPr>
        <w:t>较2017年度决算无增减变化</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lang w:eastAsia="zh-CN"/>
        </w:rPr>
        <w:t>较</w:t>
      </w:r>
      <w:r>
        <w:rPr>
          <w:rFonts w:eastAsia="仿宋_GB2312"/>
          <w:sz w:val="32"/>
          <w:szCs w:val="32"/>
        </w:rPr>
        <w:t>201</w:t>
      </w:r>
      <w:r>
        <w:rPr>
          <w:rFonts w:hint="eastAsia" w:eastAsia="仿宋_GB2312"/>
          <w:sz w:val="32"/>
          <w:szCs w:val="32"/>
        </w:rPr>
        <w:t>7</w:t>
      </w:r>
      <w:r>
        <w:rPr>
          <w:rFonts w:eastAsia="仿宋_GB2312"/>
          <w:sz w:val="32"/>
          <w:szCs w:val="32"/>
        </w:rPr>
        <w:t>年度决算无增减。</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0</w:t>
      </w:r>
      <w:r>
        <w:rPr>
          <w:rFonts w:hint="eastAsia" w:eastAsia="仿宋_GB2312"/>
          <w:sz w:val="32"/>
          <w:szCs w:val="32"/>
        </w:rPr>
        <w:t>辆。公车运行维护费支出比年初预算减</w:t>
      </w:r>
      <w:r>
        <w:rPr>
          <w:rFonts w:hint="eastAsia" w:eastAsia="仿宋_GB2312"/>
          <w:sz w:val="32"/>
          <w:szCs w:val="32"/>
          <w:lang w:val="en-US" w:eastAsia="zh-CN"/>
        </w:rPr>
        <w:t>少0</w:t>
      </w:r>
      <w:r>
        <w:rPr>
          <w:rFonts w:hint="eastAsia" w:eastAsia="仿宋_GB2312"/>
          <w:sz w:val="32"/>
          <w:szCs w:val="32"/>
        </w:rPr>
        <w:t>万元，</w:t>
      </w:r>
      <w:r>
        <w:rPr>
          <w:rFonts w:hint="eastAsia" w:eastAsia="仿宋_GB2312"/>
          <w:sz w:val="32"/>
          <w:szCs w:val="32"/>
          <w:lang w:eastAsia="zh-CN"/>
        </w:rPr>
        <w:t>降低</w:t>
      </w:r>
      <w:r>
        <w:rPr>
          <w:rFonts w:hint="eastAsia" w:eastAsia="仿宋_GB2312"/>
          <w:sz w:val="32"/>
          <w:szCs w:val="32"/>
          <w:lang w:val="en-US" w:eastAsia="zh-CN"/>
        </w:rPr>
        <w:t>0%，</w:t>
      </w:r>
      <w:r>
        <w:rPr>
          <w:rFonts w:hint="eastAsia" w:eastAsia="仿宋_GB2312"/>
          <w:sz w:val="32"/>
          <w:szCs w:val="32"/>
        </w:rPr>
        <w:t>主要是本单位无公务用车运行维护费支出；</w:t>
      </w:r>
      <w:r>
        <w:rPr>
          <w:rFonts w:eastAsia="仿宋_GB2312"/>
          <w:sz w:val="32"/>
          <w:szCs w:val="32"/>
        </w:rPr>
        <w:t>比2017</w:t>
      </w:r>
      <w:r>
        <w:rPr>
          <w:rFonts w:hint="eastAsia" w:eastAsia="仿宋_GB2312"/>
          <w:sz w:val="32"/>
          <w:szCs w:val="32"/>
          <w:lang w:eastAsia="zh-CN"/>
        </w:rPr>
        <w:t>年度决算降低</w:t>
      </w:r>
      <w:r>
        <w:rPr>
          <w:rFonts w:hint="eastAsia" w:eastAsia="仿宋_GB2312"/>
          <w:sz w:val="32"/>
          <w:szCs w:val="32"/>
          <w:lang w:val="en-US" w:eastAsia="zh-CN"/>
        </w:rPr>
        <w:t>0万元，</w:t>
      </w:r>
      <w:r>
        <w:rPr>
          <w:rFonts w:hint="eastAsia" w:eastAsia="仿宋_GB2312"/>
          <w:sz w:val="32"/>
          <w:szCs w:val="32"/>
          <w:lang w:eastAsia="zh-CN"/>
        </w:rPr>
        <w:t>降低</w:t>
      </w:r>
      <w:r>
        <w:rPr>
          <w:rFonts w:hint="eastAsia" w:eastAsia="仿宋_GB2312"/>
          <w:sz w:val="32"/>
          <w:szCs w:val="32"/>
          <w:lang w:val="en-US" w:eastAsia="zh-CN"/>
        </w:rPr>
        <w:t>0%，主要是较2017年度</w:t>
      </w:r>
      <w:r>
        <w:rPr>
          <w:rFonts w:hint="eastAsia" w:eastAsia="仿宋_GB2312"/>
          <w:sz w:val="32"/>
          <w:szCs w:val="32"/>
        </w:rPr>
        <w:t>决算无增减变化。</w:t>
      </w:r>
    </w:p>
    <w:p>
      <w:pPr>
        <w:adjustRightInd w:val="0"/>
        <w:snapToGrid w:val="0"/>
        <w:spacing w:line="584" w:lineRule="exact"/>
        <w:ind w:firstLine="643" w:firstLineChars="200"/>
        <w:rPr>
          <w:rFonts w:hint="eastAsia" w:eastAsia="仿宋_GB2312"/>
          <w:sz w:val="32"/>
          <w:szCs w:val="32"/>
          <w:highlight w:val="yellow"/>
          <w:lang w:eastAsia="zh-CN"/>
        </w:rPr>
      </w:pPr>
      <w:r>
        <w:rPr>
          <w:rFonts w:eastAsia="楷体_GB2312"/>
          <w:b/>
          <w:bCs/>
          <w:sz w:val="32"/>
          <w:szCs w:val="32"/>
        </w:rPr>
        <w:t>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年度公务接待共0批次、0人次。</w:t>
      </w:r>
      <w:r>
        <w:rPr>
          <w:rFonts w:hint="eastAsia" w:eastAsia="仿宋_GB2312"/>
          <w:sz w:val="32"/>
          <w:szCs w:val="32"/>
          <w:lang w:eastAsia="zh-CN"/>
        </w:rPr>
        <w:t>公务接待费支出比年度预算增加</w:t>
      </w:r>
      <w:r>
        <w:rPr>
          <w:rFonts w:hint="eastAsia" w:eastAsia="仿宋_GB2312"/>
          <w:sz w:val="32"/>
          <w:szCs w:val="32"/>
          <w:lang w:val="en-US" w:eastAsia="zh-CN"/>
        </w:rPr>
        <w:t>0万元，增长0%，主要是较</w:t>
      </w:r>
      <w:r>
        <w:rPr>
          <w:rFonts w:hint="eastAsia" w:eastAsia="仿宋_GB2312"/>
          <w:sz w:val="32"/>
          <w:szCs w:val="32"/>
          <w:lang w:eastAsia="zh-CN"/>
        </w:rPr>
        <w:t>年初预算</w:t>
      </w:r>
      <w:r>
        <w:rPr>
          <w:rFonts w:hint="eastAsia" w:eastAsia="仿宋_GB2312"/>
          <w:sz w:val="32"/>
          <w:szCs w:val="32"/>
        </w:rPr>
        <w:t>无增减变化</w:t>
      </w:r>
      <w:r>
        <w:rPr>
          <w:rFonts w:hint="eastAsia" w:eastAsia="仿宋_GB2312"/>
          <w:sz w:val="32"/>
          <w:szCs w:val="32"/>
          <w:lang w:eastAsia="zh-CN"/>
        </w:rPr>
        <w:t>；</w:t>
      </w:r>
      <w:r>
        <w:rPr>
          <w:rFonts w:eastAsia="仿宋_GB2312"/>
          <w:sz w:val="32"/>
          <w:szCs w:val="32"/>
        </w:rPr>
        <w:t>比2017</w:t>
      </w:r>
      <w:r>
        <w:rPr>
          <w:rFonts w:hint="eastAsia" w:eastAsia="仿宋_GB2312"/>
          <w:sz w:val="32"/>
          <w:szCs w:val="32"/>
          <w:lang w:eastAsia="zh-CN"/>
        </w:rPr>
        <w:t>年度决算降低</w:t>
      </w:r>
      <w:r>
        <w:rPr>
          <w:rFonts w:hint="eastAsia" w:eastAsia="仿宋_GB2312"/>
          <w:sz w:val="32"/>
          <w:szCs w:val="32"/>
          <w:lang w:val="en-US" w:eastAsia="zh-CN"/>
        </w:rPr>
        <w:t>0万元，</w:t>
      </w:r>
      <w:r>
        <w:rPr>
          <w:rFonts w:hint="eastAsia" w:eastAsia="仿宋_GB2312"/>
          <w:sz w:val="32"/>
          <w:szCs w:val="32"/>
          <w:lang w:eastAsia="zh-CN"/>
        </w:rPr>
        <w:t>降低</w:t>
      </w:r>
      <w:r>
        <w:rPr>
          <w:rFonts w:hint="eastAsia" w:eastAsia="仿宋_GB2312"/>
          <w:sz w:val="32"/>
          <w:szCs w:val="32"/>
          <w:lang w:val="en-US" w:eastAsia="zh-CN"/>
        </w:rPr>
        <w:t>0%，主要是较2017年度</w:t>
      </w:r>
      <w:r>
        <w:rPr>
          <w:rFonts w:hint="eastAsia" w:eastAsia="仿宋_GB2312"/>
          <w:sz w:val="32"/>
          <w:szCs w:val="32"/>
        </w:rPr>
        <w:t>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60" w:lineRule="exact"/>
        <w:ind w:firstLine="640" w:firstLineChars="200"/>
        <w:rPr>
          <w:rFonts w:ascii="仿宋" w:eastAsia="仿宋"/>
          <w:sz w:val="32"/>
          <w:szCs w:val="32"/>
        </w:rPr>
      </w:pPr>
      <w:r>
        <w:rPr>
          <w:rFonts w:ascii="仿宋" w:eastAsia="仿宋"/>
          <w:sz w:val="32"/>
          <w:szCs w:val="32"/>
        </w:rPr>
        <w:t>2018</w:t>
      </w:r>
      <w:r>
        <w:rPr>
          <w:rFonts w:hint="eastAsia" w:ascii="仿宋" w:eastAsia="仿宋"/>
          <w:sz w:val="32"/>
          <w:szCs w:val="32"/>
        </w:rPr>
        <w:t>年，县直机关党建工作将立足党的建设与大城经济和社会各项事业发展的有机结合、相互促进，着眼于推动科学发展，着眼于促进社会和谐，着眼于推动改革创新，着眼于建设“六型机关”</w:t>
      </w:r>
      <w:r>
        <w:rPr>
          <w:rFonts w:hint="eastAsia" w:ascii="仿宋" w:eastAsia="仿宋"/>
          <w:sz w:val="32"/>
        </w:rPr>
        <w:t>（学习型、服务型、创新型、效能型、廉政型、和谐型）</w:t>
      </w:r>
      <w:r>
        <w:rPr>
          <w:rFonts w:hint="eastAsia" w:ascii="仿宋" w:eastAsia="仿宋"/>
          <w:sz w:val="32"/>
          <w:szCs w:val="32"/>
        </w:rPr>
        <w:t>，以十八届三中、四中全会精神为指导，深入推进党的群众路线建设为重点，不断活化活动载体，使县直机关在大城又好又快发展的过程中做出新的更大的贡献。</w:t>
      </w:r>
    </w:p>
    <w:p>
      <w:pPr>
        <w:numPr>
          <w:ilvl w:val="0"/>
          <w:numId w:val="1"/>
        </w:numPr>
        <w:adjustRightInd w:val="0"/>
        <w:snapToGrid w:val="0"/>
        <w:spacing w:after="0" w:line="580" w:lineRule="exact"/>
        <w:ind w:left="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ind w:firstLine="640" w:firstLineChars="200"/>
        <w:jc w:val="left"/>
        <w:rPr>
          <w:rFonts w:ascii="仿宋" w:eastAsia="仿宋"/>
          <w:sz w:val="32"/>
          <w:szCs w:val="32"/>
        </w:rPr>
      </w:pPr>
      <w:r>
        <w:rPr>
          <w:rFonts w:hint="eastAsia" w:ascii="仿宋" w:eastAsia="仿宋"/>
          <w:sz w:val="32"/>
          <w:szCs w:val="32"/>
        </w:rPr>
        <w:t>“基层党建”项目。为加强预算绩效管理</w:t>
      </w:r>
      <w:r>
        <w:rPr>
          <w:rFonts w:ascii="仿宋" w:eastAsia="仿宋"/>
          <w:sz w:val="32"/>
          <w:szCs w:val="32"/>
        </w:rPr>
        <w:t>,</w:t>
      </w:r>
      <w:r>
        <w:rPr>
          <w:rFonts w:hint="eastAsia" w:ascii="仿宋" w:eastAsia="仿宋"/>
          <w:sz w:val="32"/>
          <w:szCs w:val="32"/>
        </w:rPr>
        <w:t>切实提高财政资金使用效益，进一步做好</w:t>
      </w:r>
      <w:r>
        <w:rPr>
          <w:rFonts w:ascii="仿宋" w:eastAsia="仿宋"/>
          <w:sz w:val="32"/>
          <w:szCs w:val="32"/>
        </w:rPr>
        <w:t>201</w:t>
      </w:r>
      <w:r>
        <w:rPr>
          <w:rFonts w:hint="eastAsia" w:ascii="仿宋" w:eastAsia="仿宋"/>
          <w:sz w:val="32"/>
          <w:szCs w:val="32"/>
          <w:lang w:val="en-US" w:eastAsia="zh-CN"/>
        </w:rPr>
        <w:t>8</w:t>
      </w:r>
      <w:r>
        <w:rPr>
          <w:rFonts w:hint="eastAsia" w:ascii="仿宋" w:eastAsia="仿宋"/>
          <w:sz w:val="32"/>
          <w:szCs w:val="32"/>
        </w:rPr>
        <w:t>年绩效评价工作，大城县直属机关工作委员会继续对专项项目进行重点绩效评价，同时积极创新开展“工作活动”层面的绩效评价。</w:t>
      </w:r>
      <w:r>
        <w:rPr>
          <w:rFonts w:ascii="仿宋" w:eastAsia="仿宋"/>
          <w:sz w:val="32"/>
          <w:szCs w:val="32"/>
        </w:rPr>
        <w:t>201</w:t>
      </w:r>
      <w:r>
        <w:rPr>
          <w:rFonts w:hint="eastAsia" w:ascii="仿宋" w:eastAsia="仿宋"/>
          <w:sz w:val="32"/>
          <w:szCs w:val="32"/>
          <w:lang w:val="en-US" w:eastAsia="zh-CN"/>
        </w:rPr>
        <w:t>8</w:t>
      </w:r>
      <w:r>
        <w:rPr>
          <w:rFonts w:ascii="仿宋" w:eastAsia="仿宋"/>
          <w:sz w:val="32"/>
          <w:szCs w:val="32"/>
        </w:rPr>
        <w:t xml:space="preserve"> </w:t>
      </w:r>
      <w:r>
        <w:rPr>
          <w:rFonts w:hint="eastAsia" w:ascii="仿宋" w:eastAsia="仿宋"/>
          <w:sz w:val="32"/>
          <w:szCs w:val="32"/>
        </w:rPr>
        <w:t>年筛选了</w:t>
      </w:r>
      <w:r>
        <w:rPr>
          <w:rFonts w:hint="eastAsia" w:ascii="仿宋" w:eastAsia="仿宋"/>
          <w:sz w:val="32"/>
          <w:szCs w:val="32"/>
          <w:lang w:val="en-US" w:eastAsia="zh-CN"/>
        </w:rPr>
        <w:t>4</w:t>
      </w:r>
      <w:r>
        <w:rPr>
          <w:rFonts w:ascii="仿宋" w:eastAsia="仿宋"/>
          <w:sz w:val="32"/>
          <w:szCs w:val="32"/>
        </w:rPr>
        <w:t xml:space="preserve"> </w:t>
      </w:r>
      <w:r>
        <w:rPr>
          <w:rFonts w:hint="eastAsia" w:ascii="仿宋" w:eastAsia="仿宋"/>
          <w:sz w:val="32"/>
          <w:szCs w:val="32"/>
        </w:rPr>
        <w:t>个项目开展重点绩效评价工作。截止到</w:t>
      </w:r>
      <w:r>
        <w:rPr>
          <w:rFonts w:ascii="仿宋" w:eastAsia="仿宋"/>
          <w:sz w:val="32"/>
          <w:szCs w:val="32"/>
        </w:rPr>
        <w:t>12</w:t>
      </w:r>
      <w:r>
        <w:rPr>
          <w:rFonts w:hint="eastAsia" w:ascii="仿宋" w:eastAsia="仿宋"/>
          <w:sz w:val="32"/>
          <w:szCs w:val="32"/>
        </w:rPr>
        <w:t>月</w:t>
      </w:r>
      <w:r>
        <w:rPr>
          <w:rFonts w:ascii="仿宋" w:eastAsia="仿宋"/>
          <w:sz w:val="32"/>
          <w:szCs w:val="32"/>
        </w:rPr>
        <w:t>31</w:t>
      </w:r>
      <w:r>
        <w:rPr>
          <w:rFonts w:hint="eastAsia" w:ascii="仿宋" w:eastAsia="仿宋"/>
          <w:sz w:val="32"/>
          <w:szCs w:val="32"/>
        </w:rPr>
        <w:t>日这项工作已全部完成，取得了良好的成效，并将评价结果分别报送有关部门和局领导。此项自评结果为优秀。</w:t>
      </w:r>
    </w:p>
    <w:p>
      <w:pPr>
        <w:numPr>
          <w:ilvl w:val="0"/>
          <w:numId w:val="1"/>
        </w:numPr>
        <w:adjustRightInd w:val="0"/>
        <w:snapToGrid w:val="0"/>
        <w:spacing w:after="0"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tbl>
      <w:tblPr>
        <w:tblStyle w:val="12"/>
        <w:tblW w:w="8521" w:type="dxa"/>
        <w:jc w:val="righ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0"/>
        <w:gridCol w:w="499"/>
        <w:gridCol w:w="1488"/>
        <w:gridCol w:w="1260"/>
        <w:gridCol w:w="1680"/>
        <w:gridCol w:w="630"/>
        <w:gridCol w:w="630"/>
        <w:gridCol w:w="630"/>
        <w:gridCol w:w="5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right"/>
        </w:trPr>
        <w:tc>
          <w:tcPr>
            <w:tcW w:w="6107"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eastAsia="仿宋"/>
                <w:sz w:val="24"/>
              </w:rPr>
            </w:pPr>
            <w:r>
              <w:rPr>
                <w:rFonts w:ascii="仿宋" w:eastAsia="仿宋"/>
                <w:sz w:val="24"/>
              </w:rPr>
              <w:t>286</w:t>
            </w:r>
            <w:r>
              <w:rPr>
                <w:rFonts w:hint="eastAsia" w:ascii="仿宋" w:eastAsia="仿宋"/>
                <w:sz w:val="24"/>
              </w:rPr>
              <w:t>大城县直属机关工作委员会</w:t>
            </w:r>
          </w:p>
        </w:tc>
        <w:tc>
          <w:tcPr>
            <w:tcW w:w="2414"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eastAsia="仿宋"/>
                <w:sz w:val="24"/>
              </w:rPr>
            </w:pPr>
            <w:r>
              <w:rPr>
                <w:rFonts w:hint="eastAsia" w:ascii="仿宋" w:eastAsia="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right"/>
        </w:trPr>
        <w:tc>
          <w:tcPr>
            <w:tcW w:w="1180" w:type="dxa"/>
            <w:vMerge w:val="restart"/>
            <w:vAlign w:val="center"/>
          </w:tcPr>
          <w:p>
            <w:pPr>
              <w:spacing w:line="300" w:lineRule="exact"/>
              <w:jc w:val="center"/>
              <w:rPr>
                <w:rFonts w:ascii="仿宋" w:eastAsia="仿宋"/>
                <w:b/>
              </w:rPr>
            </w:pPr>
            <w:r>
              <w:rPr>
                <w:rFonts w:hint="eastAsia" w:ascii="仿宋" w:eastAsia="仿宋"/>
                <w:b/>
              </w:rPr>
              <w:t>职责活动</w:t>
            </w:r>
          </w:p>
        </w:tc>
        <w:tc>
          <w:tcPr>
            <w:tcW w:w="499" w:type="dxa"/>
            <w:vMerge w:val="restart"/>
            <w:vAlign w:val="center"/>
          </w:tcPr>
          <w:p>
            <w:pPr>
              <w:spacing w:line="300" w:lineRule="exact"/>
              <w:jc w:val="center"/>
              <w:rPr>
                <w:rFonts w:ascii="仿宋" w:eastAsia="仿宋"/>
                <w:b/>
              </w:rPr>
            </w:pPr>
            <w:r>
              <w:rPr>
                <w:rFonts w:hint="eastAsia" w:ascii="仿宋" w:eastAsia="仿宋"/>
                <w:b/>
              </w:rPr>
              <w:t>年度预算数</w:t>
            </w:r>
          </w:p>
        </w:tc>
        <w:tc>
          <w:tcPr>
            <w:tcW w:w="1488" w:type="dxa"/>
            <w:vMerge w:val="restart"/>
            <w:vAlign w:val="center"/>
          </w:tcPr>
          <w:p>
            <w:pPr>
              <w:spacing w:line="300" w:lineRule="exact"/>
              <w:jc w:val="center"/>
              <w:rPr>
                <w:rFonts w:ascii="仿宋" w:eastAsia="仿宋"/>
                <w:b/>
              </w:rPr>
            </w:pPr>
            <w:r>
              <w:rPr>
                <w:rFonts w:hint="eastAsia" w:ascii="仿宋" w:eastAsia="仿宋"/>
                <w:b/>
              </w:rPr>
              <w:t>内容描述</w:t>
            </w:r>
          </w:p>
        </w:tc>
        <w:tc>
          <w:tcPr>
            <w:tcW w:w="1260" w:type="dxa"/>
            <w:vMerge w:val="restart"/>
            <w:vAlign w:val="center"/>
          </w:tcPr>
          <w:p>
            <w:pPr>
              <w:spacing w:line="300" w:lineRule="exact"/>
              <w:jc w:val="center"/>
              <w:rPr>
                <w:rFonts w:ascii="仿宋" w:eastAsia="仿宋"/>
                <w:b/>
              </w:rPr>
            </w:pPr>
            <w:r>
              <w:rPr>
                <w:rFonts w:hint="eastAsia" w:ascii="仿宋" w:eastAsia="仿宋"/>
                <w:b/>
              </w:rPr>
              <w:t>绩效目标</w:t>
            </w:r>
          </w:p>
        </w:tc>
        <w:tc>
          <w:tcPr>
            <w:tcW w:w="1680" w:type="dxa"/>
            <w:vMerge w:val="restart"/>
            <w:vAlign w:val="center"/>
          </w:tcPr>
          <w:p>
            <w:pPr>
              <w:spacing w:line="300" w:lineRule="exact"/>
              <w:jc w:val="center"/>
              <w:rPr>
                <w:rFonts w:ascii="仿宋" w:eastAsia="仿宋"/>
                <w:b/>
              </w:rPr>
            </w:pPr>
            <w:r>
              <w:rPr>
                <w:rFonts w:hint="eastAsia" w:ascii="仿宋" w:eastAsia="仿宋"/>
                <w:b/>
              </w:rPr>
              <w:t>绩效指标</w:t>
            </w:r>
          </w:p>
        </w:tc>
        <w:tc>
          <w:tcPr>
            <w:tcW w:w="2414" w:type="dxa"/>
            <w:gridSpan w:val="4"/>
            <w:vAlign w:val="center"/>
          </w:tcPr>
          <w:p>
            <w:pPr>
              <w:spacing w:line="300" w:lineRule="exact"/>
              <w:jc w:val="center"/>
              <w:rPr>
                <w:rFonts w:ascii="仿宋" w:eastAsia="仿宋"/>
                <w:b/>
              </w:rPr>
            </w:pPr>
            <w:r>
              <w:rPr>
                <w:rFonts w:hint="eastAsia" w:ascii="仿宋" w:eastAsia="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tblHeader/>
          <w:jc w:val="right"/>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vMerge w:val="continue"/>
            <w:vAlign w:val="center"/>
          </w:tcPr>
          <w:p/>
        </w:tc>
        <w:tc>
          <w:tcPr>
            <w:tcW w:w="630" w:type="dxa"/>
            <w:vAlign w:val="center"/>
          </w:tcPr>
          <w:p>
            <w:pPr>
              <w:spacing w:line="300" w:lineRule="exact"/>
              <w:jc w:val="center"/>
              <w:rPr>
                <w:rFonts w:ascii="仿宋" w:eastAsia="仿宋"/>
                <w:b/>
              </w:rPr>
            </w:pPr>
            <w:r>
              <w:rPr>
                <w:rFonts w:hint="eastAsia" w:ascii="仿宋" w:eastAsia="仿宋"/>
                <w:b/>
              </w:rPr>
              <w:t>优</w:t>
            </w:r>
          </w:p>
        </w:tc>
        <w:tc>
          <w:tcPr>
            <w:tcW w:w="630" w:type="dxa"/>
            <w:vAlign w:val="center"/>
          </w:tcPr>
          <w:p>
            <w:pPr>
              <w:spacing w:line="300" w:lineRule="exact"/>
              <w:jc w:val="center"/>
              <w:rPr>
                <w:rFonts w:ascii="仿宋" w:eastAsia="仿宋"/>
                <w:b/>
              </w:rPr>
            </w:pPr>
            <w:r>
              <w:rPr>
                <w:rFonts w:hint="eastAsia" w:ascii="仿宋" w:eastAsia="仿宋"/>
                <w:b/>
              </w:rPr>
              <w:t>良</w:t>
            </w:r>
          </w:p>
        </w:tc>
        <w:tc>
          <w:tcPr>
            <w:tcW w:w="630" w:type="dxa"/>
            <w:vAlign w:val="center"/>
          </w:tcPr>
          <w:p>
            <w:pPr>
              <w:spacing w:line="300" w:lineRule="exact"/>
              <w:jc w:val="center"/>
              <w:rPr>
                <w:rFonts w:ascii="仿宋" w:eastAsia="仿宋"/>
                <w:b/>
              </w:rPr>
            </w:pPr>
            <w:r>
              <w:rPr>
                <w:rFonts w:hint="eastAsia" w:ascii="仿宋" w:eastAsia="仿宋"/>
                <w:b/>
              </w:rPr>
              <w:t>中</w:t>
            </w:r>
          </w:p>
        </w:tc>
        <w:tc>
          <w:tcPr>
            <w:tcW w:w="525" w:type="dxa"/>
            <w:vAlign w:val="center"/>
          </w:tcPr>
          <w:p>
            <w:pPr>
              <w:spacing w:line="300" w:lineRule="exact"/>
              <w:jc w:val="center"/>
              <w:rPr>
                <w:rFonts w:ascii="仿宋" w:eastAsia="仿宋"/>
                <w:b/>
              </w:rPr>
            </w:pPr>
            <w:r>
              <w:rPr>
                <w:rFonts w:hint="eastAsia" w:ascii="仿宋" w:eastAsia="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1180" w:type="dxa"/>
            <w:vAlign w:val="center"/>
          </w:tcPr>
          <w:p>
            <w:pPr>
              <w:spacing w:line="300" w:lineRule="exact"/>
              <w:jc w:val="left"/>
              <w:rPr>
                <w:rFonts w:ascii="仿宋" w:eastAsia="仿宋"/>
                <w:b/>
              </w:rPr>
            </w:pPr>
            <w:r>
              <w:rPr>
                <w:rFonts w:hint="eastAsia" w:ascii="仿宋" w:eastAsia="仿宋"/>
                <w:b/>
              </w:rPr>
              <w:t>一、县直机关党的建设</w:t>
            </w:r>
          </w:p>
        </w:tc>
        <w:tc>
          <w:tcPr>
            <w:tcW w:w="499" w:type="dxa"/>
            <w:vAlign w:val="center"/>
          </w:tcPr>
          <w:p>
            <w:pPr>
              <w:spacing w:line="300" w:lineRule="exact"/>
              <w:jc w:val="left"/>
              <w:rPr>
                <w:rFonts w:ascii="仿宋" w:eastAsia="仿宋"/>
              </w:rPr>
            </w:pPr>
            <w:r>
              <w:rPr>
                <w:rFonts w:ascii="仿宋" w:eastAsia="仿宋"/>
              </w:rPr>
              <w:t>8.90</w:t>
            </w:r>
          </w:p>
        </w:tc>
        <w:tc>
          <w:tcPr>
            <w:tcW w:w="1488" w:type="dxa"/>
            <w:vAlign w:val="center"/>
          </w:tcPr>
          <w:p>
            <w:pPr>
              <w:spacing w:line="300" w:lineRule="exact"/>
              <w:jc w:val="left"/>
              <w:rPr>
                <w:rFonts w:ascii="仿宋" w:eastAsia="仿宋"/>
              </w:rPr>
            </w:pPr>
            <w:r>
              <w:rPr>
                <w:rFonts w:hint="eastAsia" w:ascii="仿宋" w:eastAsia="仿宋"/>
              </w:rPr>
              <w:t>加强县直机关党的思想政治建设、组织建设、作风建设、制度建设和反腐倡廉建设，做好县直机关其他党建工作。</w:t>
            </w:r>
          </w:p>
        </w:tc>
        <w:tc>
          <w:tcPr>
            <w:tcW w:w="1260" w:type="dxa"/>
            <w:vAlign w:val="center"/>
          </w:tcPr>
          <w:p>
            <w:pPr>
              <w:spacing w:line="300" w:lineRule="exact"/>
              <w:jc w:val="left"/>
              <w:rPr>
                <w:rFonts w:ascii="仿宋" w:eastAsia="仿宋"/>
              </w:rPr>
            </w:pPr>
            <w:r>
              <w:rPr>
                <w:rFonts w:hint="eastAsia" w:ascii="仿宋" w:eastAsia="仿宋"/>
              </w:rPr>
              <w:t>政治觉悟和思想道德素质明显提高；党组织战斗堡垒作用和党员先锋模范作用进一步增强；其他党建工作得到有效落实。</w:t>
            </w:r>
          </w:p>
        </w:tc>
        <w:tc>
          <w:tcPr>
            <w:tcW w:w="1680" w:type="dxa"/>
            <w:vAlign w:val="center"/>
          </w:tcPr>
          <w:p>
            <w:pPr>
              <w:spacing w:line="300" w:lineRule="exact"/>
              <w:jc w:val="left"/>
              <w:rPr>
                <w:rFonts w:ascii="仿宋" w:eastAsia="仿宋"/>
              </w:rPr>
            </w:pPr>
          </w:p>
        </w:tc>
        <w:tc>
          <w:tcPr>
            <w:tcW w:w="630" w:type="dxa"/>
            <w:vAlign w:val="center"/>
          </w:tcPr>
          <w:p>
            <w:pPr>
              <w:spacing w:line="300" w:lineRule="exact"/>
              <w:jc w:val="center"/>
              <w:rPr>
                <w:rFonts w:ascii="仿宋" w:eastAsia="仿宋"/>
              </w:rPr>
            </w:pPr>
            <w:r>
              <w:rPr>
                <w:rFonts w:ascii="仿宋" w:eastAsia="仿宋"/>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right"/>
        </w:trPr>
        <w:tc>
          <w:tcPr>
            <w:tcW w:w="1180" w:type="dxa"/>
            <w:vMerge w:val="restart"/>
            <w:vAlign w:val="center"/>
          </w:tcPr>
          <w:p>
            <w:pPr>
              <w:spacing w:line="300" w:lineRule="exact"/>
              <w:jc w:val="left"/>
              <w:rPr>
                <w:rFonts w:ascii="仿宋" w:eastAsia="仿宋"/>
                <w:b/>
              </w:rPr>
            </w:pPr>
            <w:r>
              <w:rPr>
                <w:rFonts w:hint="eastAsia" w:ascii="仿宋" w:eastAsia="仿宋"/>
                <w:b/>
              </w:rPr>
              <w:t>　　</w:t>
            </w:r>
            <w:r>
              <w:rPr>
                <w:rFonts w:ascii="仿宋" w:eastAsia="仿宋"/>
                <w:b/>
              </w:rPr>
              <w:t>1</w:t>
            </w:r>
            <w:r>
              <w:rPr>
                <w:rFonts w:hint="eastAsia" w:ascii="仿宋" w:eastAsia="仿宋"/>
                <w:b/>
              </w:rPr>
              <w:t>、思想政治建设</w:t>
            </w:r>
          </w:p>
        </w:tc>
        <w:tc>
          <w:tcPr>
            <w:tcW w:w="499" w:type="dxa"/>
            <w:vMerge w:val="restart"/>
            <w:vAlign w:val="center"/>
          </w:tcPr>
          <w:p>
            <w:pPr>
              <w:spacing w:line="300" w:lineRule="exact"/>
              <w:jc w:val="left"/>
              <w:rPr>
                <w:rFonts w:ascii="仿宋" w:eastAsia="仿宋"/>
              </w:rPr>
            </w:pPr>
            <w:r>
              <w:rPr>
                <w:rFonts w:ascii="仿宋" w:eastAsia="仿宋"/>
              </w:rPr>
              <w:t>5.90</w:t>
            </w:r>
          </w:p>
        </w:tc>
        <w:tc>
          <w:tcPr>
            <w:tcW w:w="1488" w:type="dxa"/>
            <w:vMerge w:val="restart"/>
            <w:vAlign w:val="center"/>
          </w:tcPr>
          <w:p>
            <w:pPr>
              <w:spacing w:line="300" w:lineRule="exact"/>
              <w:jc w:val="left"/>
              <w:rPr>
                <w:rFonts w:ascii="仿宋" w:eastAsia="仿宋"/>
              </w:rPr>
            </w:pPr>
            <w:r>
              <w:rPr>
                <w:rFonts w:hint="eastAsia" w:ascii="仿宋" w:eastAsia="仿宋"/>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1260" w:type="dxa"/>
            <w:vMerge w:val="restart"/>
            <w:vAlign w:val="center"/>
          </w:tcPr>
          <w:p>
            <w:pPr>
              <w:spacing w:line="300" w:lineRule="exact"/>
              <w:jc w:val="left"/>
              <w:rPr>
                <w:rFonts w:ascii="仿宋" w:eastAsia="仿宋"/>
              </w:rPr>
            </w:pPr>
            <w:r>
              <w:rPr>
                <w:rFonts w:hint="eastAsia" w:ascii="仿宋" w:eastAsia="仿宋"/>
              </w:rPr>
              <w:t>利用各种有效载体开展宣传教育活动</w:t>
            </w:r>
            <w:r>
              <w:rPr>
                <w:rFonts w:ascii="仿宋" w:eastAsia="仿宋"/>
              </w:rPr>
              <w:t>,</w:t>
            </w:r>
            <w:r>
              <w:rPr>
                <w:rFonts w:hint="eastAsia" w:ascii="仿宋" w:eastAsia="仿宋"/>
              </w:rPr>
              <w:t>效果明显</w:t>
            </w:r>
            <w:r>
              <w:rPr>
                <w:rFonts w:ascii="仿宋" w:eastAsia="仿宋"/>
              </w:rPr>
              <w:t>;</w:t>
            </w:r>
            <w:r>
              <w:rPr>
                <w:rFonts w:hint="eastAsia" w:ascii="仿宋" w:eastAsia="仿宋"/>
              </w:rPr>
              <w:t>学习制度得到普遍落实，各项活动普遍参加</w:t>
            </w:r>
            <w:r>
              <w:rPr>
                <w:rFonts w:ascii="仿宋" w:eastAsia="仿宋"/>
              </w:rPr>
              <w:t>;</w:t>
            </w:r>
            <w:r>
              <w:rPr>
                <w:rFonts w:hint="eastAsia" w:ascii="仿宋" w:eastAsia="仿宋"/>
              </w:rPr>
              <w:t>精神文明创建活动参与广泛，公民道德素质、各项活动满意率明显提高。</w:t>
            </w:r>
          </w:p>
        </w:tc>
        <w:tc>
          <w:tcPr>
            <w:tcW w:w="1680" w:type="dxa"/>
            <w:vAlign w:val="center"/>
          </w:tcPr>
          <w:p>
            <w:pPr>
              <w:spacing w:line="300" w:lineRule="exact"/>
              <w:jc w:val="left"/>
              <w:rPr>
                <w:rFonts w:ascii="仿宋" w:eastAsia="仿宋"/>
                <w:lang w:val="en-US" w:eastAsia="zh-CN"/>
              </w:rPr>
            </w:pPr>
            <w:r>
              <w:rPr>
                <w:rFonts w:hint="eastAsia" w:ascii="仿宋" w:eastAsia="仿宋"/>
              </w:rPr>
              <w:t>领导干部参与率</w:t>
            </w:r>
            <w:r>
              <w:rPr>
                <w:rFonts w:hint="eastAsia" w:ascii="仿宋" w:eastAsia="仿宋"/>
                <w:lang w:val="en-US" w:eastAsia="zh-CN"/>
              </w:rPr>
              <w:t>100%</w:t>
            </w:r>
          </w:p>
        </w:tc>
        <w:tc>
          <w:tcPr>
            <w:tcW w:w="630" w:type="dxa"/>
            <w:vAlign w:val="center"/>
          </w:tcPr>
          <w:p>
            <w:pPr>
              <w:spacing w:line="300" w:lineRule="exact"/>
              <w:jc w:val="center"/>
              <w:rPr>
                <w:rFonts w:hint="eastAsia" w:ascii="仿宋" w:eastAsia="仿宋"/>
                <w:lang w:eastAsia="zh-CN"/>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2341" w:type="dxa"/>
            <w:vMerge w:val="continue"/>
            <w:vAlign w:val="center"/>
          </w:tcPr>
          <w:p/>
        </w:tc>
        <w:tc>
          <w:tcPr>
            <w:tcW w:w="1276" w:type="dxa"/>
            <w:vMerge w:val="continue"/>
            <w:vAlign w:val="center"/>
          </w:tcPr>
          <w:p/>
        </w:tc>
        <w:tc>
          <w:tcPr>
            <w:tcW w:w="2976" w:type="dxa"/>
            <w:vMerge w:val="continue"/>
            <w:vAlign w:val="center"/>
          </w:tcPr>
          <w:p/>
        </w:tc>
        <w:tc>
          <w:tcPr>
            <w:tcW w:w="1785" w:type="dxa"/>
            <w:vMerge w:val="continue"/>
            <w:vAlign w:val="center"/>
          </w:tcPr>
          <w:p/>
        </w:tc>
        <w:tc>
          <w:tcPr>
            <w:tcW w:w="1680" w:type="dxa"/>
            <w:vAlign w:val="center"/>
          </w:tcPr>
          <w:p>
            <w:pPr>
              <w:spacing w:line="300" w:lineRule="exact"/>
              <w:jc w:val="left"/>
              <w:rPr>
                <w:rFonts w:ascii="仿宋" w:eastAsia="仿宋"/>
              </w:rPr>
            </w:pPr>
            <w:r>
              <w:rPr>
                <w:rFonts w:hint="eastAsia" w:ascii="仿宋" w:eastAsia="仿宋"/>
              </w:rPr>
              <w:t>干部职工参与率</w:t>
            </w:r>
            <w:r>
              <w:rPr>
                <w:rFonts w:hint="eastAsia" w:ascii="仿宋" w:eastAsia="仿宋"/>
                <w:lang w:val="en-US" w:eastAsia="zh-CN"/>
              </w:rPr>
              <w:t>100%</w:t>
            </w:r>
          </w:p>
        </w:tc>
        <w:tc>
          <w:tcPr>
            <w:tcW w:w="630" w:type="dxa"/>
            <w:vAlign w:val="center"/>
          </w:tcPr>
          <w:p>
            <w:pPr>
              <w:spacing w:line="300" w:lineRule="exact"/>
              <w:jc w:val="center"/>
              <w:rPr>
                <w:rFonts w:ascii="仿宋" w:eastAsia="仿宋"/>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2341" w:type="dxa"/>
            <w:vMerge w:val="continue"/>
            <w:vAlign w:val="center"/>
          </w:tcPr>
          <w:p/>
        </w:tc>
        <w:tc>
          <w:tcPr>
            <w:tcW w:w="1276" w:type="dxa"/>
            <w:vMerge w:val="continue"/>
            <w:vAlign w:val="center"/>
          </w:tcPr>
          <w:p/>
        </w:tc>
        <w:tc>
          <w:tcPr>
            <w:tcW w:w="2976" w:type="dxa"/>
            <w:vMerge w:val="continue"/>
            <w:vAlign w:val="center"/>
          </w:tcPr>
          <w:p/>
        </w:tc>
        <w:tc>
          <w:tcPr>
            <w:tcW w:w="1785" w:type="dxa"/>
            <w:vMerge w:val="continue"/>
            <w:vAlign w:val="center"/>
          </w:tcPr>
          <w:p/>
        </w:tc>
        <w:tc>
          <w:tcPr>
            <w:tcW w:w="1680" w:type="dxa"/>
            <w:vAlign w:val="center"/>
          </w:tcPr>
          <w:p>
            <w:pPr>
              <w:spacing w:line="300" w:lineRule="exact"/>
              <w:jc w:val="left"/>
              <w:rPr>
                <w:rFonts w:ascii="仿宋" w:eastAsia="仿宋"/>
              </w:rPr>
            </w:pPr>
            <w:r>
              <w:rPr>
                <w:rFonts w:hint="eastAsia" w:ascii="仿宋" w:eastAsia="仿宋"/>
              </w:rPr>
              <w:t>党员干部教育覆盖率</w:t>
            </w:r>
            <w:r>
              <w:rPr>
                <w:rFonts w:hint="eastAsia" w:ascii="仿宋" w:eastAsia="仿宋"/>
                <w:lang w:val="en-US" w:eastAsia="zh-CN"/>
              </w:rPr>
              <w:t>100%</w:t>
            </w:r>
          </w:p>
        </w:tc>
        <w:tc>
          <w:tcPr>
            <w:tcW w:w="630" w:type="dxa"/>
            <w:vAlign w:val="center"/>
          </w:tcPr>
          <w:p>
            <w:pPr>
              <w:spacing w:line="300" w:lineRule="exact"/>
              <w:jc w:val="center"/>
              <w:rPr>
                <w:rFonts w:ascii="仿宋" w:eastAsia="仿宋"/>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2341" w:type="dxa"/>
            <w:vMerge w:val="continue"/>
            <w:vAlign w:val="center"/>
          </w:tcPr>
          <w:p/>
        </w:tc>
        <w:tc>
          <w:tcPr>
            <w:tcW w:w="1276" w:type="dxa"/>
            <w:vMerge w:val="continue"/>
            <w:vAlign w:val="center"/>
          </w:tcPr>
          <w:p/>
        </w:tc>
        <w:tc>
          <w:tcPr>
            <w:tcW w:w="2976" w:type="dxa"/>
            <w:vMerge w:val="continue"/>
            <w:vAlign w:val="center"/>
          </w:tcPr>
          <w:p/>
        </w:tc>
        <w:tc>
          <w:tcPr>
            <w:tcW w:w="1785" w:type="dxa"/>
            <w:vMerge w:val="continue"/>
            <w:vAlign w:val="center"/>
          </w:tcPr>
          <w:p/>
        </w:tc>
        <w:tc>
          <w:tcPr>
            <w:tcW w:w="1680" w:type="dxa"/>
            <w:vAlign w:val="center"/>
          </w:tcPr>
          <w:p>
            <w:pPr>
              <w:spacing w:line="300" w:lineRule="exact"/>
              <w:jc w:val="left"/>
              <w:rPr>
                <w:rFonts w:ascii="仿宋" w:eastAsia="仿宋"/>
              </w:rPr>
            </w:pPr>
            <w:r>
              <w:rPr>
                <w:rFonts w:hint="eastAsia" w:ascii="仿宋" w:eastAsia="仿宋"/>
              </w:rPr>
              <w:t>思想教育活动完成率</w:t>
            </w:r>
            <w:r>
              <w:rPr>
                <w:rFonts w:hint="eastAsia" w:ascii="仿宋" w:eastAsia="仿宋"/>
                <w:lang w:val="en-US" w:eastAsia="zh-CN"/>
              </w:rPr>
              <w:t>100%</w:t>
            </w:r>
          </w:p>
        </w:tc>
        <w:tc>
          <w:tcPr>
            <w:tcW w:w="630" w:type="dxa"/>
            <w:vAlign w:val="center"/>
          </w:tcPr>
          <w:p>
            <w:pPr>
              <w:spacing w:line="300" w:lineRule="exact"/>
              <w:jc w:val="center"/>
              <w:rPr>
                <w:rFonts w:ascii="仿宋" w:eastAsia="仿宋"/>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1180" w:type="dxa"/>
            <w:vMerge w:val="restart"/>
            <w:vAlign w:val="center"/>
          </w:tcPr>
          <w:p>
            <w:pPr>
              <w:spacing w:line="300" w:lineRule="exact"/>
              <w:jc w:val="left"/>
              <w:rPr>
                <w:rFonts w:ascii="仿宋" w:eastAsia="仿宋"/>
                <w:b/>
              </w:rPr>
            </w:pPr>
            <w:r>
              <w:rPr>
                <w:rFonts w:hint="eastAsia" w:ascii="仿宋" w:eastAsia="仿宋"/>
                <w:b/>
              </w:rPr>
              <w:t>　　</w:t>
            </w:r>
            <w:r>
              <w:rPr>
                <w:rFonts w:ascii="仿宋" w:eastAsia="仿宋"/>
                <w:b/>
              </w:rPr>
              <w:t>2</w:t>
            </w:r>
            <w:r>
              <w:rPr>
                <w:rFonts w:hint="eastAsia" w:ascii="仿宋" w:eastAsia="仿宋"/>
                <w:b/>
              </w:rPr>
              <w:t>、组织建设</w:t>
            </w:r>
          </w:p>
        </w:tc>
        <w:tc>
          <w:tcPr>
            <w:tcW w:w="499" w:type="dxa"/>
            <w:vMerge w:val="restart"/>
            <w:vAlign w:val="center"/>
          </w:tcPr>
          <w:p>
            <w:pPr>
              <w:spacing w:line="300" w:lineRule="exact"/>
              <w:jc w:val="left"/>
              <w:rPr>
                <w:rFonts w:ascii="仿宋" w:eastAsia="仿宋"/>
              </w:rPr>
            </w:pPr>
            <w:r>
              <w:rPr>
                <w:rFonts w:ascii="仿宋" w:eastAsia="仿宋"/>
              </w:rPr>
              <w:t>3.00</w:t>
            </w:r>
          </w:p>
        </w:tc>
        <w:tc>
          <w:tcPr>
            <w:tcW w:w="1488" w:type="dxa"/>
            <w:vMerge w:val="restart"/>
            <w:vAlign w:val="center"/>
          </w:tcPr>
          <w:p>
            <w:pPr>
              <w:spacing w:line="300" w:lineRule="exact"/>
              <w:jc w:val="left"/>
              <w:rPr>
                <w:rFonts w:ascii="仿宋" w:eastAsia="仿宋"/>
              </w:rPr>
            </w:pPr>
            <w:r>
              <w:rPr>
                <w:rFonts w:hint="eastAsia" w:ascii="仿宋" w:eastAsia="仿宋"/>
              </w:rPr>
              <w:t>指导县直机关认真落实《中国共产党章程</w:t>
            </w:r>
            <w:bookmarkStart w:id="0" w:name="_GoBack"/>
            <w:bookmarkEnd w:id="0"/>
            <w:r>
              <w:rPr>
                <w:rFonts w:hint="eastAsia" w:ascii="仿宋" w:eastAsia="仿宋"/>
              </w:rPr>
              <w:t>》，加强基层党组织建设，严格组织生活制度，丰富党建活动内容，做好党员发展、教育、管理、服务和党务干部的教育培训工作，充分发挥党组织的战斗堡垒作用和党员的先锋模范作用。</w:t>
            </w:r>
          </w:p>
        </w:tc>
        <w:tc>
          <w:tcPr>
            <w:tcW w:w="1260" w:type="dxa"/>
            <w:vMerge w:val="restart"/>
            <w:vAlign w:val="center"/>
          </w:tcPr>
          <w:p>
            <w:pPr>
              <w:spacing w:line="300" w:lineRule="exact"/>
              <w:jc w:val="left"/>
              <w:rPr>
                <w:rFonts w:ascii="仿宋" w:eastAsia="仿宋"/>
              </w:rPr>
            </w:pPr>
            <w:r>
              <w:rPr>
                <w:rFonts w:hint="eastAsia" w:ascii="仿宋" w:eastAsia="仿宋"/>
              </w:rPr>
              <w:t>党组织、党员作用突出。</w:t>
            </w:r>
          </w:p>
        </w:tc>
        <w:tc>
          <w:tcPr>
            <w:tcW w:w="1680" w:type="dxa"/>
            <w:vAlign w:val="center"/>
          </w:tcPr>
          <w:p>
            <w:pPr>
              <w:spacing w:line="300" w:lineRule="exact"/>
              <w:jc w:val="left"/>
              <w:rPr>
                <w:rFonts w:ascii="仿宋" w:eastAsia="仿宋"/>
              </w:rPr>
            </w:pPr>
            <w:r>
              <w:rPr>
                <w:rFonts w:hint="eastAsia" w:ascii="仿宋" w:eastAsia="仿宋"/>
              </w:rPr>
              <w:t>党务干部党务工作考核优秀率</w:t>
            </w:r>
            <w:r>
              <w:rPr>
                <w:rFonts w:hint="eastAsia" w:ascii="仿宋" w:eastAsia="仿宋"/>
                <w:lang w:val="en-US" w:eastAsia="zh-CN"/>
              </w:rPr>
              <w:t>100%</w:t>
            </w:r>
          </w:p>
        </w:tc>
        <w:tc>
          <w:tcPr>
            <w:tcW w:w="630" w:type="dxa"/>
            <w:vAlign w:val="center"/>
          </w:tcPr>
          <w:p>
            <w:pPr>
              <w:spacing w:line="300" w:lineRule="exact"/>
              <w:jc w:val="center"/>
              <w:rPr>
                <w:rFonts w:ascii="仿宋" w:eastAsia="仿宋"/>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right"/>
        </w:trPr>
        <w:tc>
          <w:tcPr>
            <w:tcW w:w="2341" w:type="dxa"/>
            <w:vMerge w:val="continue"/>
            <w:vAlign w:val="center"/>
          </w:tcPr>
          <w:p/>
        </w:tc>
        <w:tc>
          <w:tcPr>
            <w:tcW w:w="1276" w:type="dxa"/>
            <w:vMerge w:val="continue"/>
            <w:vAlign w:val="center"/>
          </w:tcPr>
          <w:p/>
        </w:tc>
        <w:tc>
          <w:tcPr>
            <w:tcW w:w="2976" w:type="dxa"/>
            <w:vMerge w:val="continue"/>
            <w:vAlign w:val="center"/>
          </w:tcPr>
          <w:p/>
        </w:tc>
        <w:tc>
          <w:tcPr>
            <w:tcW w:w="1785" w:type="dxa"/>
            <w:vMerge w:val="continue"/>
            <w:vAlign w:val="center"/>
          </w:tcPr>
          <w:p/>
        </w:tc>
        <w:tc>
          <w:tcPr>
            <w:tcW w:w="1680" w:type="dxa"/>
            <w:vAlign w:val="center"/>
          </w:tcPr>
          <w:p>
            <w:pPr>
              <w:spacing w:line="300" w:lineRule="exact"/>
              <w:jc w:val="left"/>
              <w:rPr>
                <w:rFonts w:ascii="仿宋" w:eastAsia="仿宋"/>
              </w:rPr>
            </w:pPr>
            <w:r>
              <w:rPr>
                <w:rFonts w:hint="eastAsia" w:ascii="仿宋" w:eastAsia="仿宋"/>
              </w:rPr>
              <w:t>基层党组织建设工作完成率</w:t>
            </w:r>
            <w:r>
              <w:rPr>
                <w:rFonts w:hint="eastAsia" w:ascii="仿宋" w:eastAsia="仿宋"/>
                <w:lang w:val="en-US" w:eastAsia="zh-CN"/>
              </w:rPr>
              <w:t>100%</w:t>
            </w:r>
          </w:p>
        </w:tc>
        <w:tc>
          <w:tcPr>
            <w:tcW w:w="630" w:type="dxa"/>
            <w:vAlign w:val="center"/>
          </w:tcPr>
          <w:p>
            <w:pPr>
              <w:spacing w:line="300" w:lineRule="exact"/>
              <w:jc w:val="center"/>
              <w:rPr>
                <w:rFonts w:ascii="仿宋" w:eastAsia="仿宋"/>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1180" w:type="dxa"/>
            <w:vAlign w:val="center"/>
          </w:tcPr>
          <w:p>
            <w:pPr>
              <w:spacing w:line="300" w:lineRule="exact"/>
              <w:jc w:val="left"/>
              <w:rPr>
                <w:rFonts w:ascii="仿宋" w:eastAsia="仿宋"/>
                <w:b/>
              </w:rPr>
            </w:pPr>
            <w:r>
              <w:rPr>
                <w:rFonts w:hint="eastAsia" w:ascii="仿宋" w:eastAsia="仿宋"/>
                <w:b/>
              </w:rPr>
              <w:t>二、工委事务管理</w:t>
            </w:r>
          </w:p>
        </w:tc>
        <w:tc>
          <w:tcPr>
            <w:tcW w:w="499" w:type="dxa"/>
            <w:vAlign w:val="center"/>
          </w:tcPr>
          <w:p>
            <w:pPr>
              <w:spacing w:line="300" w:lineRule="exact"/>
              <w:jc w:val="left"/>
              <w:rPr>
                <w:rFonts w:ascii="仿宋" w:eastAsia="仿宋"/>
              </w:rPr>
            </w:pPr>
            <w:r>
              <w:rPr>
                <w:rFonts w:ascii="仿宋" w:eastAsia="仿宋"/>
              </w:rPr>
              <w:t>4.00</w:t>
            </w:r>
          </w:p>
        </w:tc>
        <w:tc>
          <w:tcPr>
            <w:tcW w:w="1488" w:type="dxa"/>
            <w:vAlign w:val="center"/>
          </w:tcPr>
          <w:p>
            <w:pPr>
              <w:spacing w:line="300" w:lineRule="exact"/>
              <w:jc w:val="left"/>
              <w:rPr>
                <w:rFonts w:ascii="仿宋" w:eastAsia="仿宋"/>
              </w:rPr>
            </w:pPr>
            <w:r>
              <w:rPr>
                <w:rFonts w:hint="eastAsia" w:ascii="仿宋" w:eastAsia="仿宋"/>
              </w:rPr>
              <w:t>完成好县直机关党委、机关党建网络建设、调研交流工作以及县直机关文化活动开展、反邪教和老龄工作。</w:t>
            </w:r>
          </w:p>
        </w:tc>
        <w:tc>
          <w:tcPr>
            <w:tcW w:w="1260" w:type="dxa"/>
            <w:vAlign w:val="center"/>
          </w:tcPr>
          <w:p>
            <w:pPr>
              <w:spacing w:line="300" w:lineRule="exact"/>
              <w:jc w:val="left"/>
              <w:rPr>
                <w:rFonts w:ascii="仿宋" w:eastAsia="仿宋"/>
              </w:rPr>
            </w:pPr>
            <w:r>
              <w:rPr>
                <w:rFonts w:hint="eastAsia" w:ascii="仿宋" w:eastAsia="仿宋"/>
              </w:rPr>
              <w:t>各项工作全部落实</w:t>
            </w:r>
          </w:p>
        </w:tc>
        <w:tc>
          <w:tcPr>
            <w:tcW w:w="1680" w:type="dxa"/>
            <w:vAlign w:val="center"/>
          </w:tcPr>
          <w:p>
            <w:pPr>
              <w:spacing w:line="300" w:lineRule="exact"/>
              <w:jc w:val="left"/>
              <w:rPr>
                <w:rFonts w:ascii="仿宋" w:eastAsia="仿宋"/>
              </w:rPr>
            </w:pPr>
          </w:p>
        </w:tc>
        <w:tc>
          <w:tcPr>
            <w:tcW w:w="630" w:type="dxa"/>
            <w:vAlign w:val="center"/>
          </w:tcPr>
          <w:p>
            <w:pPr>
              <w:spacing w:line="300" w:lineRule="exact"/>
              <w:jc w:val="center"/>
              <w:rPr>
                <w:rFonts w:ascii="仿宋" w:eastAsia="仿宋"/>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right"/>
        </w:trPr>
        <w:tc>
          <w:tcPr>
            <w:tcW w:w="1180" w:type="dxa"/>
            <w:vAlign w:val="center"/>
          </w:tcPr>
          <w:p>
            <w:pPr>
              <w:spacing w:line="300" w:lineRule="exact"/>
              <w:jc w:val="left"/>
              <w:rPr>
                <w:rFonts w:ascii="仿宋" w:eastAsia="仿宋"/>
                <w:b/>
              </w:rPr>
            </w:pPr>
            <w:r>
              <w:rPr>
                <w:rFonts w:hint="eastAsia" w:ascii="仿宋" w:eastAsia="仿宋"/>
                <w:b/>
              </w:rPr>
              <w:t>　　</w:t>
            </w:r>
            <w:r>
              <w:rPr>
                <w:rFonts w:ascii="仿宋" w:eastAsia="仿宋"/>
                <w:b/>
              </w:rPr>
              <w:t>1</w:t>
            </w:r>
            <w:r>
              <w:rPr>
                <w:rFonts w:hint="eastAsia" w:ascii="仿宋" w:eastAsia="仿宋"/>
                <w:b/>
              </w:rPr>
              <w:t>、综合业务管理</w:t>
            </w:r>
          </w:p>
        </w:tc>
        <w:tc>
          <w:tcPr>
            <w:tcW w:w="499" w:type="dxa"/>
            <w:vAlign w:val="center"/>
          </w:tcPr>
          <w:p>
            <w:pPr>
              <w:spacing w:line="300" w:lineRule="exact"/>
              <w:jc w:val="left"/>
              <w:rPr>
                <w:rFonts w:ascii="仿宋" w:eastAsia="仿宋"/>
              </w:rPr>
            </w:pPr>
            <w:r>
              <w:rPr>
                <w:rFonts w:ascii="仿宋" w:eastAsia="仿宋"/>
              </w:rPr>
              <w:t>4.00</w:t>
            </w:r>
          </w:p>
        </w:tc>
        <w:tc>
          <w:tcPr>
            <w:tcW w:w="1488" w:type="dxa"/>
            <w:vAlign w:val="center"/>
          </w:tcPr>
          <w:p>
            <w:pPr>
              <w:spacing w:line="300" w:lineRule="exact"/>
              <w:jc w:val="left"/>
              <w:rPr>
                <w:rFonts w:ascii="仿宋" w:eastAsia="仿宋"/>
              </w:rPr>
            </w:pPr>
            <w:r>
              <w:rPr>
                <w:rFonts w:hint="eastAsia" w:ascii="仿宋" w:eastAsia="仿宋"/>
              </w:rPr>
              <w:t>做好县直机关党委和纪委负责人任免、考核、培训工作；活跃县直机关文化生活，建好机关党建工作信息平台，加强全县机关党建工作调研交流，做好县直反邪教、维稳和老龄协调工作。</w:t>
            </w:r>
          </w:p>
        </w:tc>
        <w:tc>
          <w:tcPr>
            <w:tcW w:w="1260" w:type="dxa"/>
            <w:vAlign w:val="center"/>
          </w:tcPr>
          <w:p>
            <w:pPr>
              <w:spacing w:line="300" w:lineRule="exact"/>
              <w:jc w:val="left"/>
              <w:rPr>
                <w:rFonts w:ascii="仿宋" w:eastAsia="仿宋"/>
              </w:rPr>
            </w:pPr>
            <w:r>
              <w:rPr>
                <w:rFonts w:hint="eastAsia" w:ascii="仿宋" w:eastAsia="仿宋"/>
              </w:rPr>
              <w:t>各项工作全部落实。</w:t>
            </w:r>
          </w:p>
        </w:tc>
        <w:tc>
          <w:tcPr>
            <w:tcW w:w="1680" w:type="dxa"/>
            <w:vAlign w:val="center"/>
          </w:tcPr>
          <w:p>
            <w:pPr>
              <w:spacing w:line="300" w:lineRule="exact"/>
              <w:jc w:val="left"/>
              <w:rPr>
                <w:rFonts w:ascii="仿宋" w:eastAsia="仿宋"/>
              </w:rPr>
            </w:pPr>
            <w:r>
              <w:rPr>
                <w:rFonts w:hint="eastAsia" w:ascii="仿宋" w:eastAsia="仿宋"/>
              </w:rPr>
              <w:t>综合业务工作完成率</w:t>
            </w:r>
            <w:r>
              <w:rPr>
                <w:rFonts w:hint="eastAsia" w:ascii="仿宋" w:eastAsia="仿宋"/>
                <w:lang w:val="en-US" w:eastAsia="zh-CN"/>
              </w:rPr>
              <w:t>100%</w:t>
            </w:r>
          </w:p>
        </w:tc>
        <w:tc>
          <w:tcPr>
            <w:tcW w:w="630" w:type="dxa"/>
            <w:vAlign w:val="center"/>
          </w:tcPr>
          <w:p>
            <w:pPr>
              <w:spacing w:line="300" w:lineRule="exact"/>
              <w:jc w:val="center"/>
              <w:rPr>
                <w:rFonts w:hint="eastAsia" w:ascii="仿宋" w:eastAsia="仿宋"/>
                <w:lang w:eastAsia="zh-CN"/>
              </w:rPr>
            </w:pPr>
            <w:r>
              <w:rPr>
                <w:rFonts w:hint="eastAsia" w:ascii="仿宋" w:eastAsia="仿宋"/>
                <w:lang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525" w:type="dxa"/>
            <w:vAlign w:val="center"/>
          </w:tcPr>
          <w:p>
            <w:pPr>
              <w:spacing w:line="300" w:lineRule="exact"/>
              <w:jc w:val="center"/>
              <w:rPr>
                <w:rFonts w:ascii="仿宋" w:eastAsia="仿宋"/>
              </w:rPr>
            </w:pPr>
          </w:p>
        </w:tc>
      </w:tr>
    </w:tbl>
    <w:p>
      <w:pPr>
        <w:pStyle w:val="3"/>
        <w:spacing w:before="0" w:after="0" w:line="580" w:lineRule="exact"/>
        <w:rPr>
          <w:rFonts w:hint="eastAsia" w:ascii="黑体" w:eastAsia="黑体" w:cs="Times New Roman"/>
          <w:b w:val="0"/>
          <w:bCs w:val="0"/>
        </w:rPr>
      </w:pPr>
    </w:p>
    <w:p>
      <w:pPr>
        <w:pStyle w:val="3"/>
        <w:spacing w:before="0" w:after="0" w:line="580" w:lineRule="exact"/>
        <w:ind w:firstLine="320" w:firstLineChars="1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8.59</w:t>
      </w:r>
      <w:r>
        <w:rPr>
          <w:rFonts w:hint="eastAsia" w:ascii="仿宋_GB2312" w:eastAsia="仿宋_GB2312" w:cs="DengXian-Regular"/>
          <w:sz w:val="32"/>
          <w:szCs w:val="32"/>
        </w:rPr>
        <w:t>万元，比年初预算数减少</w:t>
      </w:r>
      <w:r>
        <w:rPr>
          <w:rFonts w:hint="eastAsia" w:eastAsia="仿宋_GB2312"/>
          <w:sz w:val="32"/>
          <w:szCs w:val="32"/>
          <w:lang w:val="en-US" w:eastAsia="zh-CN"/>
        </w:rPr>
        <w:t>0.21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2.39</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在保证人员与机关正常运行的情况下，压减经费支出</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5.49</w:t>
      </w:r>
      <w:r>
        <w:rPr>
          <w:rFonts w:eastAsia="仿宋_GB2312"/>
          <w:sz w:val="32"/>
          <w:szCs w:val="32"/>
        </w:rPr>
        <w:t>万元，增长</w:t>
      </w:r>
      <w:r>
        <w:rPr>
          <w:rFonts w:hint="eastAsia" w:eastAsia="仿宋_GB2312"/>
          <w:sz w:val="32"/>
          <w:szCs w:val="32"/>
          <w:lang w:val="en-US" w:eastAsia="zh-CN"/>
        </w:rPr>
        <w:t>177</w:t>
      </w:r>
      <w:r>
        <w:rPr>
          <w:rFonts w:eastAsia="仿宋_GB2312"/>
          <w:sz w:val="32"/>
          <w:szCs w:val="32"/>
        </w:rPr>
        <w:t>%，主要是</w:t>
      </w:r>
      <w:r>
        <w:rPr>
          <w:rFonts w:hint="eastAsia" w:eastAsia="仿宋_GB2312"/>
          <w:sz w:val="32"/>
          <w:szCs w:val="32"/>
          <w:lang w:eastAsia="zh-CN"/>
        </w:rPr>
        <w:t>人员增加，办公用品价格上涨</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万元、政府采购服务</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lang w:val="en-US" w:eastAsia="zh-CN"/>
        </w:rPr>
        <w:t>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截至2018年12月31日，本部门共有车辆</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辆，较上年无变化。其中，副部（省）级及以上领导用车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辆，主要领导干部用车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辆，机要通信用车</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辆，应急保障用车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辆，执法执勤用车</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辆，特种专业技术用车</w:t>
      </w:r>
      <w:r>
        <w:rPr>
          <w:rFonts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辆，离退休干部用车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辆，其他用车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辆；单位价值50万元以上通用设备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台（套），单位价值100万元以上专用设备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w:t>
      </w:r>
      <w:r>
        <w:rPr>
          <w:rFonts w:hint="eastAsia" w:ascii="仿宋_GB2312" w:eastAsia="仿宋_GB2312" w:cs="DengXian-Regular"/>
          <w:sz w:val="32"/>
          <w:szCs w:val="32"/>
          <w:lang w:eastAsia="zh-CN"/>
        </w:rPr>
        <w:t>年末结转资金</w:t>
      </w:r>
      <w:r>
        <w:rPr>
          <w:rFonts w:hint="eastAsia" w:ascii="仿宋_GB2312" w:eastAsia="仿宋_GB2312" w:cs="DengXian-Regular"/>
          <w:sz w:val="32"/>
          <w:szCs w:val="32"/>
          <w:lang w:val="en-US" w:eastAsia="zh-CN"/>
        </w:rPr>
        <w:t>7.2万元</w:t>
      </w:r>
      <w:r>
        <w:rPr>
          <w:rFonts w:hint="eastAsia" w:ascii="仿宋_GB2312" w:eastAsia="仿宋_GB2312" w:cs="DengXian-Regular"/>
          <w:sz w:val="32"/>
          <w:szCs w:val="32"/>
        </w:rPr>
        <w:t>，</w:t>
      </w:r>
      <w:r>
        <w:rPr>
          <w:rFonts w:hint="eastAsia" w:ascii="仿宋_GB2312" w:eastAsia="仿宋_GB2312" w:cs="DengXian-Regular"/>
          <w:sz w:val="32"/>
          <w:szCs w:val="32"/>
          <w:lang w:eastAsia="zh-CN"/>
        </w:rPr>
        <w:t>结转资金为人员增资补助及部分项目资金</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ArialUnicodeMS">
    <w:altName w:val="Dotum"/>
    <w:panose1 w:val="00000000000000000000"/>
    <w:charset w:val="81"/>
    <w:family w:val="auto"/>
    <w:pitch w:val="default"/>
    <w:sig w:usb0="00000000" w:usb1="00000000" w:usb2="00000010" w:usb3="00000000" w:csb0="00080001"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0295"/>
    <w:multiLevelType w:val="singleLevel"/>
    <w:tmpl w:val="07AD0295"/>
    <w:lvl w:ilvl="0" w:tentative="0">
      <w:start w:val="2"/>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000000"/>
    <w:rsid w:val="00983E1A"/>
    <w:rsid w:val="0598013E"/>
    <w:rsid w:val="076924BF"/>
    <w:rsid w:val="09521D59"/>
    <w:rsid w:val="0A19710A"/>
    <w:rsid w:val="0AE136D0"/>
    <w:rsid w:val="0B207AA3"/>
    <w:rsid w:val="1587267E"/>
    <w:rsid w:val="1B3B12DA"/>
    <w:rsid w:val="1CA30CD7"/>
    <w:rsid w:val="1CC43CC1"/>
    <w:rsid w:val="27667C16"/>
    <w:rsid w:val="2F614DA8"/>
    <w:rsid w:val="35425E3F"/>
    <w:rsid w:val="407334D8"/>
    <w:rsid w:val="49860569"/>
    <w:rsid w:val="508D550C"/>
    <w:rsid w:val="516E4F1A"/>
    <w:rsid w:val="56B23CAD"/>
    <w:rsid w:val="5A4F5197"/>
    <w:rsid w:val="5A72764B"/>
    <w:rsid w:val="624C4933"/>
    <w:rsid w:val="6DB71946"/>
    <w:rsid w:val="6E0B4F52"/>
    <w:rsid w:val="78946110"/>
    <w:rsid w:val="7A3F18C0"/>
    <w:rsid w:val="7A63090A"/>
    <w:rsid w:val="7D3E78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3"/>
      <w:spacing w:val="5"/>
      <w:kern w:val="28"/>
      <w:sz w:val="52"/>
      <w:szCs w:val="52"/>
    </w:rPr>
  </w:style>
  <w:style w:type="paragraph" w:customStyle="1" w:styleId="14">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qFormat/>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qFormat/>
    <w:uiPriority w:val="0"/>
    <w:rPr>
      <w:rFonts w:ascii="Cambria" w:hAnsi="Cambria" w:eastAsia="黑体" w:cs="Times New Roman"/>
      <w:szCs w:val="22"/>
      <w:lang w:eastAsia="zh-CN"/>
    </w:rPr>
  </w:style>
  <w:style w:type="character" w:customStyle="1" w:styleId="18">
    <w:name w:val="Style4"/>
    <w:basedOn w:val="13"/>
    <w:qFormat/>
    <w:uiPriority w:val="0"/>
    <w:rPr>
      <w:rFonts w:ascii="Cambria" w:hAnsi="Cambria" w:eastAsia="黑体" w:cs="Times New Roman"/>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List Paragraph"/>
    <w:basedOn w:val="1"/>
    <w:qFormat/>
    <w:uiPriority w:val="0"/>
    <w:pPr>
      <w:ind w:firstLine="200" w:firstLineChars="200"/>
    </w:pPr>
  </w:style>
  <w:style w:type="paragraph" w:customStyle="1" w:styleId="21">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23</Pages>
  <Words>5127</Words>
  <Characters>5460</Characters>
  <Lines>524</Lines>
  <Paragraphs>164</Paragraphs>
  <TotalTime>11</TotalTime>
  <ScaleCrop>false</ScaleCrop>
  <LinksUpToDate>false</LinksUpToDate>
  <CharactersWithSpaces>5520</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2022-03-10T08:18:23Z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515F4222EFEF40BBBE52D8360F4EFCB8</vt:lpwstr>
  </property>
</Properties>
</file>