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84" w:lineRule="exact"/>
        <w:ind w:left="0"/>
        <w:rPr>
          <w:rFonts w:ascii="Times New Roman" w:eastAsia="仿宋_GB2312" w:cs="Times New Roman" w:hAnsi="Times New Roman"/>
          <w:sz w:val="44"/>
          <w:szCs w:val="44"/>
        </w:rPr>
      </w:pPr>
    </w:p>
    <w:p>
      <w:pPr>
        <w:spacing w:line="584" w:lineRule="exact"/>
        <w:ind w:firstLineChars="200" w:firstLine="880"/>
        <w:jc w:val="center"/>
        <w:rPr>
          <w:rFonts w:ascii="Times New Roman" w:eastAsia="方正小标宋简体" w:cs="Times New Roman" w:hAnsi="Times New Roman"/>
          <w:sz w:val="44"/>
          <w:szCs w:val="44"/>
        </w:rPr>
      </w:pPr>
      <w:r>
        <w:rPr>
          <w:rFonts w:ascii="Times New Roman" w:eastAsia="方正小标宋简体" w:cs="Times New Roman" w:hAnsi="Times New Roman" w:hint="eastAsia"/>
          <w:sz w:val="44"/>
          <w:szCs w:val="44"/>
          <w:lang w:eastAsia="zh-CN"/>
        </w:rPr>
        <w:t>大城县</w:t>
      </w:r>
      <w:r>
        <w:rPr>
          <w:rFonts w:ascii="Times New Roman" w:eastAsia="方正小标宋简体" w:cs="Times New Roman" w:hAnsi="Times New Roman"/>
          <w:sz w:val="44"/>
          <w:szCs w:val="44"/>
          <w:lang w:eastAsia="zh-CN"/>
        </w:rPr>
        <w:t>公安交通警察大队</w:t>
      </w:r>
      <w:r>
        <w:rPr>
          <w:rFonts w:ascii="Times New Roman" w:eastAsia="方正小标宋简体" w:cs="Times New Roman" w:hAnsi="Times New Roman"/>
          <w:sz w:val="44"/>
          <w:szCs w:val="44"/>
        </w:rPr>
        <w:t>20</w:t>
      </w:r>
      <w:r>
        <w:rPr>
          <w:rFonts w:ascii="Times New Roman" w:eastAsia="方正小标宋简体" w:cs="Times New Roman" w:hAnsi="Times New Roman" w:hint="eastAsia"/>
          <w:sz w:val="44"/>
          <w:szCs w:val="44"/>
        </w:rPr>
        <w:t>21</w:t>
      </w:r>
      <w:r>
        <w:rPr>
          <w:rFonts w:ascii="Times New Roman" w:eastAsia="方正小标宋简体" w:cs="Times New Roman" w:hAnsi="Times New Roman"/>
          <w:sz w:val="44"/>
          <w:szCs w:val="44"/>
        </w:rPr>
        <w:t>年省管部门预算信息公开</w:t>
      </w:r>
      <w:r>
        <w:rPr>
          <w:rFonts w:ascii="Times New Roman" w:eastAsia="方正小标宋简体" w:cs="Times New Roman" w:hAnsi="Times New Roman" w:hint="eastAsia"/>
          <w:sz w:val="44"/>
          <w:szCs w:val="44"/>
        </w:rPr>
        <w:t>情况说明</w:t>
      </w:r>
    </w:p>
    <w:p>
      <w:pPr>
        <w:spacing w:line="584" w:lineRule="exact"/>
        <w:ind w:firstLineChars="200" w:firstLine="880"/>
        <w:jc w:val="center"/>
        <w:rPr>
          <w:rFonts w:ascii="Times New Roman" w:eastAsia="仿宋_GB2312" w:cs="Times New Roman" w:hAnsi="Times New Roman"/>
          <w:sz w:val="44"/>
          <w:szCs w:val="44"/>
        </w:rPr>
      </w:pPr>
    </w:p>
    <w:p>
      <w:pPr>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按照《中华人民共和国预算法》、《中华人民共和国预算法实施条例》、《地方预决算公开操作规程》和《河北省省级预算公开办法》规定，现将</w:t>
      </w:r>
      <w:r>
        <w:rPr>
          <w:rFonts w:ascii="Times New Roman" w:eastAsia="仿宋_GB2312" w:cs="Times New Roman" w:hAnsi="Times New Roman" w:hint="eastAsia"/>
          <w:sz w:val="32"/>
          <w:szCs w:val="32"/>
          <w:lang w:eastAsia="zh-CN"/>
        </w:rPr>
        <w:t>大城县</w:t>
      </w:r>
      <w:r>
        <w:rPr>
          <w:rFonts w:ascii="Times New Roman" w:eastAsia="宋体" w:cs="Times New Roman" w:hAnsi="Times New Roman"/>
          <w:sz w:val="32"/>
          <w:szCs w:val="32"/>
          <w:lang w:val="en-US" w:eastAsia="zh-CN"/>
        </w:rPr>
        <w:t>公安交通警察大队</w:t>
      </w: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年部门预算公开如下：</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一、部门职责及机构设置情况</w:t>
      </w:r>
    </w:p>
    <w:p>
      <w:pPr>
        <w:spacing w:line="584" w:lineRule="exact"/>
        <w:ind w:firstLineChars="200" w:firstLine="640"/>
        <w:rPr>
          <w:rFonts w:ascii="Times New Roman" w:eastAsia="楷体_GB2312" w:cs="Times New Roman" w:hAnsi="Times New Roman"/>
          <w:b/>
          <w:sz w:val="32"/>
          <w:szCs w:val="32"/>
        </w:rPr>
      </w:pPr>
      <w:r>
        <w:rPr>
          <w:rFonts w:ascii="Times New Roman" w:eastAsia="楷体_GB2312" w:cs="Times New Roman" w:hAnsi="Times New Roman"/>
          <w:b/>
          <w:sz w:val="32"/>
          <w:szCs w:val="32"/>
        </w:rPr>
        <w:t>部门职责：</w:t>
      </w:r>
    </w:p>
    <w:p>
      <w:pPr>
        <w:ind w:left="640" w:firstLine="0"/>
        <w:rPr>
          <w:rFonts w:ascii="仿宋_GB2312" w:eastAsia="仿宋_GB2312" w:cs="仿宋_GB2312" w:hint="eastAsia"/>
          <w:sz w:val="32"/>
          <w:szCs w:val="32"/>
          <w:lang w:bidi="ar-SA"/>
        </w:rPr>
      </w:pPr>
      <w:r>
        <w:rPr>
          <w:rFonts w:ascii="仿宋_GB2312" w:eastAsia="仿宋_GB2312" w:cs="仿宋_GB2312" w:hint="eastAsia"/>
          <w:sz w:val="32"/>
          <w:szCs w:val="32"/>
          <w:lang w:bidi="ar-SA"/>
        </w:rPr>
        <w:t>1、保障道路交通安全、畅通、有序，为全省经济社会发展提供良好的道路交通环境。</w:t>
      </w:r>
    </w:p>
    <w:p>
      <w:pPr>
        <w:ind w:firstLine="639"/>
        <w:rPr>
          <w:rFonts w:ascii="仿宋_GB2312" w:eastAsia="仿宋_GB2312" w:cs="仿宋_GB2312" w:hint="eastAsia"/>
          <w:sz w:val="32"/>
          <w:szCs w:val="32"/>
          <w:lang w:bidi="ar-SA"/>
        </w:rPr>
      </w:pPr>
      <w:r>
        <w:rPr>
          <w:rFonts w:ascii="仿宋_GB2312" w:eastAsia="仿宋_GB2312" w:cs="仿宋_GB2312" w:hint="eastAsia"/>
          <w:sz w:val="32"/>
          <w:szCs w:val="32"/>
          <w:lang w:bidi="ar-SA"/>
        </w:rPr>
        <w:t>2、规范机动车登记行为，保护公民、法人和其他组织的合法权益，促进经济、社会发展，道路交通安全；促进提高机动车驾驶人安全文明驾驶素质，全力预防和减少重特大道路交通事故。</w:t>
      </w:r>
    </w:p>
    <w:p>
      <w:pPr>
        <w:ind w:firstLineChars="200" w:firstLine="640"/>
        <w:rPr>
          <w:rFonts w:ascii="Times New Roman" w:eastAsia="楷体_GB2312" w:cs="Times New Roman" w:hAnsi="Times New Roman"/>
          <w:b/>
          <w:sz w:val="32"/>
          <w:szCs w:val="32"/>
        </w:rPr>
      </w:pPr>
      <w:r>
        <w:rPr>
          <w:rFonts w:ascii="仿宋_GB2312" w:eastAsia="仿宋_GB2312" w:cs="仿宋_GB2312" w:hint="eastAsia"/>
          <w:sz w:val="32"/>
          <w:szCs w:val="32"/>
          <w:lang w:bidi="ar-SA"/>
        </w:rPr>
        <w:t>3、加强交通法制建设与安全宣传力度；强化交警的宗旨意识，提高执法水平和管理服务社会能力，为交管事业健康发展提供各项有力保障；合理、正确发放道路交通事故社会救助基金。</w:t>
      </w:r>
    </w:p>
    <w:p>
      <w:pPr>
        <w:autoSpaceDE w:val="0"/>
        <w:autoSpaceDN w:val="0"/>
        <w:adjustRightInd w:val="0"/>
        <w:spacing w:line="584" w:lineRule="exact"/>
        <w:ind w:left="0" w:firstLineChars="200" w:firstLine="640"/>
        <w:jc w:val="left"/>
        <w:rPr>
          <w:rFonts w:ascii="Times New Roman" w:eastAsia="楷体_GB2312" w:cs="Times New Roman" w:hAnsi="Times New Roman"/>
          <w:b/>
          <w:sz w:val="32"/>
          <w:szCs w:val="32"/>
        </w:rPr>
      </w:pPr>
      <w:r>
        <w:rPr>
          <w:rFonts w:ascii="Times New Roman" w:eastAsia="楷体_GB2312" w:cs="Times New Roman" w:hAnsi="Times New Roman"/>
          <w:b/>
          <w:sz w:val="32"/>
          <w:szCs w:val="32"/>
        </w:rPr>
        <w:t>机构设置：</w:t>
      </w:r>
    </w:p>
    <w:p>
      <w:pPr>
        <w:spacing w:line="584" w:lineRule="exact"/>
        <w:ind w:firstLineChars="1800" w:firstLine="5760"/>
        <w:outlineLvl w:val="0"/>
        <w:rPr>
          <w:rFonts w:ascii="Times New Roman" w:eastAsia="仿宋_GB2312" w:cs="Times New Roman" w:hAnsi="Times New Roman"/>
          <w:b/>
          <w:sz w:val="32"/>
          <w:szCs w:val="24"/>
        </w:rPr>
      </w:pPr>
      <w:r>
        <w:rPr>
          <w:rFonts w:ascii="Times New Roman" w:eastAsia="仿宋_GB2312" w:cs="Times New Roman" w:hAnsi="Times New Roman"/>
          <w:b/>
          <w:sz w:val="32"/>
          <w:szCs w:val="24"/>
        </w:rPr>
        <w:t>部门机构设置情况</w:t>
      </w:r>
    </w:p>
    <w:tbl>
      <w:tblPr>
        <w:jc w:val="center"/>
        <w:tblW w:w="9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108" w:type="dxa"/>
          <w:bottom w:w="0" w:type="dxa"/>
          <w:right w:w="108" w:type="dxa"/>
        </w:tblCellMar>
      </w:tblPr>
      <w:tblGrid>
        <w:gridCol w:w="4443"/>
        <w:gridCol w:w="1134"/>
        <w:gridCol w:w="1276"/>
        <w:gridCol w:w="2902"/>
      </w:tblGrid>
      <w:tr>
        <w:trPr>
          <w:trHeight w:val="584"/>
          <w:tblHeader/>
        </w:trPr>
        <w:tc>
          <w:tcPr>
            <w:tcW w:w="4443"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单位名称</w:t>
            </w:r>
          </w:p>
        </w:tc>
        <w:tc>
          <w:tcPr>
            <w:tcW w:w="1134"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单位性质</w:t>
            </w:r>
          </w:p>
        </w:tc>
        <w:tc>
          <w:tcPr>
            <w:tcW w:w="1276"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单位规格</w:t>
            </w:r>
          </w:p>
        </w:tc>
        <w:tc>
          <w:tcPr>
            <w:tcW w:w="2902" w:type="dxa"/>
            <w:vMerge w:val="restart"/>
            <w:shd w:val="clear" w:color="auto" w:fill="auto"/>
            <w:vAlign w:val="center"/>
          </w:tcPr>
          <w:p>
            <w:pPr>
              <w:spacing w:line="584" w:lineRule="exact"/>
              <w:jc w:val="center"/>
              <w:rPr>
                <w:rFonts w:ascii="Times New Roman" w:eastAsia="仿宋_GB2312" w:cs="Times New Roman" w:hAnsi="Times New Roman"/>
                <w:b/>
                <w:szCs w:val="24"/>
              </w:rPr>
            </w:pPr>
            <w:r>
              <w:rPr>
                <w:rFonts w:ascii="Times New Roman" w:eastAsia="仿宋_GB2312" w:cs="Times New Roman" w:hAnsi="Times New Roman"/>
                <w:b/>
                <w:szCs w:val="24"/>
              </w:rPr>
              <w:t>经费保障形式</w:t>
            </w:r>
          </w:p>
        </w:tc>
      </w:tr>
      <w:tr>
        <w:trPr>
          <w:trHeight w:val="62"/>
          <w:tblHeader/>
        </w:trPr>
        <w:tc>
          <w:tcPr>
            <w:tcW w:w="4443" w:type="dxa"/>
            <w:vMerge/>
            <w:shd w:val="clear" w:color="auto" w:fill="auto"/>
            <w:vAlign w:val="center"/>
          </w:tcPr>
          <w:p/>
        </w:tc>
        <w:tc>
          <w:tcPr>
            <w:tcW w:w="1134" w:type="dxa"/>
            <w:vMerge/>
            <w:shd w:val="clear" w:color="auto" w:fill="auto"/>
            <w:vAlign w:val="center"/>
          </w:tcPr>
          <w:p/>
        </w:tc>
        <w:tc>
          <w:tcPr>
            <w:tcW w:w="1276" w:type="dxa"/>
            <w:vMerge/>
            <w:shd w:val="clear" w:color="auto" w:fill="auto"/>
            <w:vAlign w:val="center"/>
          </w:tcPr>
          <w:p/>
        </w:tc>
        <w:tc>
          <w:tcPr>
            <w:tcW w:w="2902" w:type="dxa"/>
            <w:vMerge/>
            <w:shd w:val="clear" w:color="auto" w:fill="auto"/>
            <w:vAlign w:val="center"/>
          </w:tcPr>
          <w:p/>
        </w:tc>
      </w:tr>
      <w:tr>
        <w:trPr>
          <w:trHeight w:val="227"/>
        </w:trPr>
        <w:tc>
          <w:tcPr>
            <w:tcW w:w="4443"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宋体" w:cs="Times New Roman" w:hAnsi="Times New Roman"/>
                <w:b/>
              </w:rPr>
              <w:t>大城县公安交通警察大队</w:t>
            </w:r>
          </w:p>
        </w:tc>
        <w:tc>
          <w:tcPr>
            <w:tcW w:w="1134"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宋体" w:cs="Times New Roman" w:hAnsi="Times New Roman"/>
                <w:b/>
              </w:rPr>
              <w:t>行政</w:t>
            </w:r>
          </w:p>
        </w:tc>
        <w:tc>
          <w:tcPr>
            <w:tcW w:w="1276"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宋体" w:cs="Times New Roman" w:hAnsi="Times New Roman"/>
                <w:b/>
              </w:rPr>
              <w:t>副科级</w:t>
            </w:r>
          </w:p>
        </w:tc>
        <w:tc>
          <w:tcPr>
            <w:tcW w:w="2902" w:type="dxa"/>
            <w:shd w:val="clear" w:color="auto" w:fill="auto"/>
            <w:vAlign w:val="center"/>
          </w:tcPr>
          <w:p>
            <w:pPr>
              <w:spacing w:line="584" w:lineRule="exact"/>
              <w:jc w:val="center"/>
              <w:rPr>
                <w:rFonts w:ascii="Times New Roman" w:eastAsia="仿宋_GB2312" w:cs="Times New Roman" w:hAnsi="Times New Roman"/>
                <w:b/>
              </w:rPr>
            </w:pPr>
            <w:r>
              <w:rPr>
                <w:rFonts w:ascii="Times New Roman" w:eastAsia="宋体" w:cs="Times New Roman" w:hAnsi="Times New Roman"/>
                <w:b/>
              </w:rPr>
              <w:t>财政拨款</w:t>
            </w:r>
          </w:p>
        </w:tc>
      </w:tr>
    </w:tbl>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二、部门预算安排的总体情况</w:t>
      </w:r>
    </w:p>
    <w:p>
      <w:pPr>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按照预算管理有关规定，目前我</w:t>
      </w:r>
      <w:r>
        <w:rPr>
          <w:rFonts w:ascii="Times New Roman" w:eastAsia="仿宋_GB2312" w:cs="Times New Roman" w:hAnsi="Times New Roman" w:hint="eastAsia"/>
          <w:sz w:val="32"/>
          <w:szCs w:val="32"/>
          <w:lang w:eastAsia="zh-CN"/>
        </w:rPr>
        <w:t>县</w:t>
      </w:r>
      <w:r>
        <w:rPr>
          <w:rFonts w:ascii="Times New Roman" w:eastAsia="仿宋_GB2312" w:cs="Times New Roman" w:hAnsi="Times New Roman"/>
          <w:sz w:val="32"/>
          <w:szCs w:val="32"/>
        </w:rPr>
        <w:t>部门预算的编制实行综合预算制度，即全部收入和支出都反映在预算中。</w:t>
      </w:r>
      <w:r>
        <w:rPr>
          <w:rFonts w:ascii="Times New Roman" w:eastAsia="仿宋_GB2312" w:cs="Times New Roman" w:hAnsi="Times New Roman" w:hint="eastAsia"/>
          <w:sz w:val="32"/>
          <w:szCs w:val="32"/>
          <w:lang w:eastAsia="zh-CN"/>
        </w:rPr>
        <w:t>大城县</w:t>
      </w:r>
      <w:r>
        <w:rPr>
          <w:rFonts w:ascii="Times New Roman" w:eastAsia="宋体" w:cs="Times New Roman" w:hAnsi="Times New Roman"/>
          <w:sz w:val="32"/>
          <w:szCs w:val="32"/>
          <w:lang w:val="en-US" w:eastAsia="zh-CN"/>
        </w:rPr>
        <w:t>公安交通警察大队</w:t>
      </w:r>
      <w:r>
        <w:rPr>
          <w:rFonts w:ascii="Times New Roman" w:eastAsia="仿宋_GB2312" w:cs="Times New Roman" w:hAnsi="Times New Roman"/>
          <w:sz w:val="32"/>
          <w:szCs w:val="32"/>
        </w:rPr>
        <w:t>的收支包含在部门预算中。</w:t>
      </w:r>
    </w:p>
    <w:p>
      <w:pPr>
        <w:spacing w:line="584" w:lineRule="exact"/>
        <w:ind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1、收入说明</w:t>
      </w:r>
    </w:p>
    <w:p>
      <w:pPr>
        <w:spacing w:line="584" w:lineRule="exact"/>
        <w:ind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反映本部门当年全部收入。20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年预算收入</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万元，其中：一般公共预算收入</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万元，基金预算收入0万元，财政专户核拨收入0万元，其他来源收入0万元</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上年结转0</w:t>
      </w:r>
      <w:r>
        <w:rPr>
          <w:rFonts w:ascii="Times New Roman" w:eastAsia="仿宋_GB2312" w:cs="Times New Roman" w:hAnsi="Times New Roman" w:hint="eastAsia"/>
          <w:sz w:val="32"/>
          <w:szCs w:val="32"/>
        </w:rPr>
        <w:t>万元</w:t>
      </w:r>
      <w:r>
        <w:rPr>
          <w:rFonts w:ascii="Times New Roman" w:eastAsia="仿宋_GB2312" w:cs="Times New Roman" w:hAnsi="Times New Roman"/>
          <w:sz w:val="32"/>
          <w:szCs w:val="32"/>
        </w:rPr>
        <w:t>。</w:t>
      </w:r>
    </w:p>
    <w:p>
      <w:pPr>
        <w:spacing w:line="584" w:lineRule="exact"/>
        <w:ind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2、支出说明</w:t>
      </w:r>
    </w:p>
    <w:p>
      <w:pPr>
        <w:spacing w:line="584" w:lineRule="exact"/>
        <w:ind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收支预算总表支出栏、基本支出表、项目支出表按经济分类和支出功能分类科目编制，反映</w:t>
      </w:r>
      <w:r>
        <w:rPr>
          <w:rFonts w:ascii="Times New Roman" w:eastAsia="仿宋_GB2312" w:cs="Times New Roman" w:hAnsi="Times New Roman" w:hint="eastAsia"/>
          <w:sz w:val="32"/>
          <w:szCs w:val="32"/>
          <w:lang w:eastAsia="zh-CN"/>
        </w:rPr>
        <w:t>我</w:t>
      </w:r>
      <w:r>
        <w:rPr>
          <w:rFonts w:ascii="Times New Roman" w:eastAsia="宋体" w:cs="Times New Roman" w:hAnsi="Times New Roman"/>
          <w:sz w:val="32"/>
          <w:szCs w:val="32"/>
          <w:lang w:eastAsia="zh-CN"/>
        </w:rPr>
        <w:t>大队</w:t>
      </w:r>
      <w:r>
        <w:rPr>
          <w:rFonts w:ascii="Times New Roman" w:eastAsia="仿宋_GB2312" w:cs="Times New Roman" w:hAnsi="Times New Roman" w:hint="eastAsia"/>
          <w:sz w:val="32"/>
          <w:szCs w:val="32"/>
          <w:lang w:val="en-US" w:eastAsia="zh-CN"/>
        </w:rPr>
        <w:t>2021</w:t>
      </w:r>
      <w:r>
        <w:rPr>
          <w:rFonts w:ascii="Times New Roman" w:eastAsia="仿宋_GB2312" w:cs="Times New Roman" w:hAnsi="Times New Roman"/>
          <w:sz w:val="32"/>
          <w:szCs w:val="32"/>
        </w:rPr>
        <w:t>年度部门预算中支出预算的总体情况。20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年支出预算</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万元，其中基本支出</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万元，包括人员类项目经费</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万元和</w:t>
      </w:r>
      <w:r>
        <w:rPr>
          <w:rFonts w:ascii="Times New Roman" w:eastAsia="仿宋_GB2312" w:cs="Times New Roman" w:hAnsi="Times New Roman" w:hint="eastAsia"/>
          <w:sz w:val="32"/>
          <w:szCs w:val="32"/>
        </w:rPr>
        <w:t>运转类</w:t>
      </w:r>
      <w:r>
        <w:rPr>
          <w:rFonts w:ascii="Times New Roman" w:eastAsia="仿宋_GB2312" w:cs="Times New Roman" w:hAnsi="Times New Roman"/>
          <w:sz w:val="32"/>
          <w:szCs w:val="32"/>
        </w:rPr>
        <w:t>公用项目经费</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万元；运转类其他及特定目标类项目支出</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万元，包括本级支出，主要为</w:t>
      </w:r>
      <w:r>
        <w:rPr>
          <w:rFonts w:ascii="Times New Roman" w:eastAsia="宋体" w:cs="Times New Roman" w:hAnsi="Times New Roman"/>
          <w:sz w:val="32"/>
          <w:szCs w:val="32"/>
        </w:rPr>
        <w:t>人员专项支出０万元、项目支出０万元及中央政法纪检监察转移支付资金０万元。</w:t>
      </w:r>
    </w:p>
    <w:p>
      <w:pPr>
        <w:spacing w:line="584" w:lineRule="exact"/>
        <w:ind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3、比上年增减情况</w:t>
      </w:r>
    </w:p>
    <w:p>
      <w:pPr>
        <w:spacing w:line="584" w:lineRule="exact"/>
        <w:ind w:left="0"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年预算收支安排</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万元，较20</w:t>
      </w:r>
      <w:r>
        <w:rPr>
          <w:rFonts w:ascii="Times New Roman" w:eastAsia="仿宋_GB2312" w:cs="Times New Roman" w:hAnsi="Times New Roman" w:hint="eastAsia"/>
          <w:sz w:val="32"/>
          <w:szCs w:val="32"/>
        </w:rPr>
        <w:t>20</w:t>
      </w:r>
      <w:r>
        <w:rPr>
          <w:rFonts w:ascii="Times New Roman" w:eastAsia="仿宋_GB2312" w:cs="Times New Roman" w:hAnsi="Times New Roman"/>
          <w:sz w:val="32"/>
          <w:szCs w:val="32"/>
        </w:rPr>
        <w:t>年预算</w:t>
      </w:r>
      <w:r>
        <w:rPr>
          <w:rFonts w:ascii="Times New Roman" w:eastAsia="宋体" w:cs="Times New Roman" w:hAnsi="Times New Roman"/>
          <w:sz w:val="32"/>
          <w:szCs w:val="32"/>
        </w:rPr>
        <w:t>减少０</w:t>
      </w:r>
      <w:r>
        <w:rPr>
          <w:rFonts w:ascii="Times New Roman" w:eastAsia="仿宋_GB2312" w:cs="Times New Roman" w:hAnsi="Times New Roman"/>
          <w:sz w:val="32"/>
          <w:szCs w:val="32"/>
        </w:rPr>
        <w:t>万元，其中：基本支出增加</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万元，主要为</w:t>
      </w:r>
      <w:r>
        <w:rPr>
          <w:rFonts w:ascii="Times New Roman" w:eastAsia="宋体" w:cs="Times New Roman" w:hAnsi="Times New Roman"/>
          <w:sz w:val="32"/>
          <w:szCs w:val="32"/>
        </w:rPr>
        <w:t>人员类项目经费增加０万元，</w:t>
      </w:r>
      <w:r>
        <w:rPr>
          <w:rFonts w:ascii="Times New Roman" w:eastAsia="仿宋_GB2312" w:cs="Times New Roman" w:hAnsi="Times New Roman" w:hint="eastAsia"/>
          <w:sz w:val="32"/>
          <w:szCs w:val="32"/>
        </w:rPr>
        <w:t>运转类</w:t>
      </w:r>
      <w:r>
        <w:rPr>
          <w:rFonts w:ascii="Times New Roman" w:eastAsia="仿宋_GB2312" w:cs="Times New Roman" w:hAnsi="Times New Roman"/>
          <w:sz w:val="32"/>
          <w:szCs w:val="32"/>
        </w:rPr>
        <w:t>公用项目经费</w:t>
      </w:r>
      <w:r>
        <w:rPr>
          <w:rFonts w:ascii="Times New Roman" w:eastAsia="宋体" w:cs="Times New Roman" w:hAnsi="Times New Roman"/>
          <w:sz w:val="32"/>
          <w:szCs w:val="32"/>
        </w:rPr>
        <w:t>增加０万元。</w:t>
      </w:r>
      <w:r>
        <w:rPr>
          <w:rFonts w:ascii="Times New Roman" w:eastAsia="仿宋_GB2312" w:cs="Times New Roman" w:hAnsi="Times New Roman"/>
          <w:sz w:val="32"/>
          <w:szCs w:val="32"/>
        </w:rPr>
        <w:t>项目支出</w:t>
      </w:r>
      <w:r>
        <w:rPr>
          <w:rFonts w:ascii="Times New Roman" w:eastAsia="宋体" w:cs="Times New Roman" w:hAnsi="Times New Roman"/>
          <w:sz w:val="32"/>
          <w:szCs w:val="32"/>
        </w:rPr>
        <w:t>减少 ０</w:t>
      </w:r>
      <w:r>
        <w:rPr>
          <w:rFonts w:ascii="Times New Roman" w:eastAsia="仿宋_GB2312" w:cs="Times New Roman" w:hAnsi="Times New Roman"/>
          <w:sz w:val="32"/>
          <w:szCs w:val="32"/>
        </w:rPr>
        <w:t>万元</w:t>
      </w:r>
      <w:r>
        <w:rPr>
          <w:rFonts w:ascii="Times New Roman" w:eastAsia="宋体" w:cs="Times New Roman" w:hAnsi="Times New Roman"/>
          <w:sz w:val="32"/>
          <w:szCs w:val="32"/>
        </w:rPr>
        <w:t>。</w:t>
      </w:r>
    </w:p>
    <w:p>
      <w:pPr>
        <w:spacing w:line="584" w:lineRule="exact"/>
        <w:ind w:left="0"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三、机关运行经费安排情况</w:t>
      </w:r>
    </w:p>
    <w:p>
      <w:pPr>
        <w:autoSpaceDE w:val="0"/>
        <w:autoSpaceDN w:val="0"/>
        <w:adjustRightInd w:val="0"/>
        <w:spacing w:line="584" w:lineRule="exact"/>
        <w:ind w:left="141" w:firstLine="550"/>
        <w:jc w:val="left"/>
        <w:rPr>
          <w:rFonts w:ascii="Times New Roman" w:eastAsia="仿宋_GB2312" w:cs="Times New Roman" w:hAnsi="Times New Roman"/>
          <w:sz w:val="32"/>
          <w:szCs w:val="32"/>
        </w:rPr>
      </w:pPr>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年，我</w:t>
      </w:r>
      <w:r>
        <w:rPr>
          <w:rFonts w:ascii="Times New Roman" w:eastAsia="宋体" w:cs="Times New Roman" w:hAnsi="Times New Roman"/>
          <w:sz w:val="32"/>
          <w:szCs w:val="32"/>
        </w:rPr>
        <w:t>大队</w:t>
      </w:r>
      <w:r>
        <w:rPr>
          <w:rFonts w:ascii="Times New Roman" w:eastAsia="仿宋_GB2312" w:cs="Times New Roman" w:hAnsi="Times New Roman"/>
          <w:sz w:val="32"/>
          <w:szCs w:val="32"/>
        </w:rPr>
        <w:t>机关运行经费共计安排</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w:t>
      </w:r>
      <w:r>
        <w:rPr>
          <w:rFonts w:ascii="Times New Roman" w:eastAsia="宋体" w:cs="Times New Roman" w:hAnsi="Times New Roman"/>
          <w:sz w:val="32"/>
          <w:szCs w:val="32"/>
        </w:rPr>
        <w:t>。</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四、财政拨款“三公”经费预算情况及增减变化原因</w:t>
      </w:r>
    </w:p>
    <w:p>
      <w:pPr>
        <w:autoSpaceDE w:val="0"/>
        <w:autoSpaceDN w:val="0"/>
        <w:adjustRightInd w:val="0"/>
        <w:spacing w:line="584" w:lineRule="exact"/>
        <w:ind w:left="107" w:firstLineChars="150" w:firstLine="480"/>
        <w:jc w:val="left"/>
        <w:rPr>
          <w:rFonts w:ascii="Times New Roman" w:eastAsia="仿宋_GB2312" w:cs="Times New Roman" w:hAnsi="Times New Roman"/>
          <w:sz w:val="32"/>
          <w:szCs w:val="32"/>
        </w:rPr>
      </w:pPr>
      <w:bookmarkStart w:id="0" w:name="_GoBack"/>
      <w:bookmarkEnd w:id="0"/>
      <w:r>
        <w:rPr>
          <w:rFonts w:ascii="Times New Roman" w:eastAsia="仿宋_GB2312" w:cs="Times New Roman" w:hAnsi="Times New Roman"/>
          <w:sz w:val="32"/>
          <w:szCs w:val="32"/>
        </w:rPr>
        <w:t>20</w:t>
      </w:r>
      <w:r>
        <w:rPr>
          <w:rFonts w:ascii="Times New Roman" w:eastAsia="仿宋_GB2312" w:cs="Times New Roman" w:hAnsi="Times New Roman" w:hint="eastAsia"/>
          <w:sz w:val="32"/>
          <w:szCs w:val="32"/>
        </w:rPr>
        <w:t>21</w:t>
      </w:r>
      <w:r>
        <w:rPr>
          <w:rFonts w:ascii="Times New Roman" w:eastAsia="仿宋_GB2312" w:cs="Times New Roman" w:hAnsi="Times New Roman"/>
          <w:sz w:val="32"/>
          <w:szCs w:val="32"/>
        </w:rPr>
        <w:t>年，我</w:t>
      </w:r>
      <w:r>
        <w:rPr>
          <w:rFonts w:ascii="Times New Roman" w:eastAsia="宋体" w:cs="Times New Roman" w:hAnsi="Times New Roman"/>
          <w:sz w:val="32"/>
          <w:szCs w:val="32"/>
        </w:rPr>
        <w:t>大队</w:t>
      </w:r>
      <w:r>
        <w:rPr>
          <w:rFonts w:ascii="Times New Roman" w:eastAsia="仿宋_GB2312" w:cs="Times New Roman" w:hAnsi="Times New Roman"/>
          <w:sz w:val="32"/>
          <w:szCs w:val="32"/>
        </w:rPr>
        <w:t>财政拨款“三公”经费预算安排</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其中</w:t>
      </w:r>
      <w:r>
        <w:rPr>
          <w:rFonts w:ascii="Times New Roman" w:eastAsia="仿宋_GB2312" w:cs="Times New Roman" w:hAnsi="Times New Roman" w:hint="eastAsia"/>
          <w:sz w:val="32"/>
          <w:szCs w:val="32"/>
        </w:rPr>
        <w:t>，</w:t>
      </w:r>
      <w:r>
        <w:rPr>
          <w:rFonts w:ascii="Times New Roman" w:eastAsia="仿宋_GB2312" w:cs="Times New Roman" w:hAnsi="Times New Roman"/>
          <w:sz w:val="32"/>
          <w:szCs w:val="32"/>
        </w:rPr>
        <w:t>因公出国（境）费0万元；公务用车购置及运维费</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万元（其中：公务用车购置费为</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万元，公务用车运维费</w:t>
      </w:r>
      <w:r>
        <w:rPr>
          <w:rFonts w:ascii="Times New Roman" w:eastAsia="宋体" w:cs="Times New Roman" w:hAnsi="Times New Roman"/>
          <w:sz w:val="32"/>
          <w:szCs w:val="32"/>
        </w:rPr>
        <w:t>０</w:t>
      </w:r>
      <w:r>
        <w:rPr>
          <w:rFonts w:ascii="Times New Roman" w:eastAsia="仿宋_GB2312" w:cs="Times New Roman" w:hAnsi="Times New Roman"/>
          <w:sz w:val="32"/>
          <w:szCs w:val="32"/>
        </w:rPr>
        <w:t>万元)；公务接待费0万元。与20</w:t>
      </w:r>
      <w:r>
        <w:rPr>
          <w:rFonts w:ascii="Times New Roman" w:eastAsia="仿宋_GB2312" w:cs="Times New Roman" w:hAnsi="Times New Roman" w:hint="eastAsia"/>
          <w:sz w:val="32"/>
          <w:szCs w:val="32"/>
        </w:rPr>
        <w:t>20</w:t>
      </w:r>
      <w:r>
        <w:rPr>
          <w:rFonts w:ascii="Times New Roman" w:eastAsia="仿宋_GB2312" w:cs="Times New Roman" w:hAnsi="Times New Roman"/>
          <w:sz w:val="32"/>
          <w:szCs w:val="32"/>
        </w:rPr>
        <w:t>年</w:t>
      </w:r>
      <w:r>
        <w:rPr>
          <w:rFonts w:ascii="Times New Roman" w:eastAsia="仿宋_GB2312" w:cs="Times New Roman" w:hAnsi="Times New Roman" w:hint="eastAsia"/>
          <w:sz w:val="32"/>
          <w:szCs w:val="32"/>
        </w:rPr>
        <w:t>相比</w:t>
      </w:r>
      <w:r>
        <w:rPr>
          <w:rFonts w:ascii="Times New Roman" w:eastAsia="宋体" w:cs="Times New Roman" w:hAnsi="Times New Roman"/>
          <w:sz w:val="32"/>
          <w:szCs w:val="32"/>
        </w:rPr>
        <w:t>增加０</w:t>
      </w:r>
      <w:r>
        <w:rPr>
          <w:rFonts w:ascii="Times New Roman" w:eastAsia="仿宋_GB2312" w:cs="Times New Roman" w:hAnsi="Times New Roman"/>
          <w:sz w:val="32"/>
          <w:szCs w:val="32"/>
        </w:rPr>
        <w:t>万元，</w:t>
      </w:r>
      <w:r>
        <w:rPr>
          <w:rFonts w:ascii="Times New Roman" w:eastAsia="仿宋_GB2312" w:cs="Times New Roman" w:hAnsi="Times New Roman" w:hint="eastAsia"/>
          <w:sz w:val="32"/>
          <w:szCs w:val="32"/>
        </w:rPr>
        <w:t>其中，</w:t>
      </w:r>
      <w:r>
        <w:rPr>
          <w:rFonts w:ascii="Times New Roman" w:eastAsia="仿宋_GB2312" w:cs="Times New Roman" w:hAnsi="Times New Roman"/>
          <w:sz w:val="32"/>
          <w:szCs w:val="32"/>
        </w:rPr>
        <w:t>公务用车购置及运维费</w:t>
      </w:r>
      <w:r>
        <w:rPr>
          <w:rFonts w:ascii="Times New Roman" w:eastAsia="宋体" w:cs="Times New Roman" w:hAnsi="Times New Roman"/>
          <w:sz w:val="32"/>
          <w:szCs w:val="32"/>
        </w:rPr>
        <w:t>增加０</w:t>
      </w:r>
      <w:r>
        <w:rPr>
          <w:rFonts w:ascii="Times New Roman" w:eastAsia="仿宋_GB2312" w:cs="Times New Roman" w:hAnsi="Times New Roman"/>
          <w:sz w:val="32"/>
          <w:szCs w:val="32"/>
        </w:rPr>
        <w:t>万元（其中：公务用车购置费</w:t>
      </w:r>
      <w:r>
        <w:rPr>
          <w:rFonts w:ascii="Times New Roman" w:eastAsia="宋体" w:cs="Times New Roman" w:hAnsi="Times New Roman"/>
          <w:sz w:val="32"/>
          <w:szCs w:val="32"/>
        </w:rPr>
        <w:t>增加０万元</w:t>
      </w:r>
      <w:r>
        <w:rPr>
          <w:rFonts w:ascii="Times New Roman" w:eastAsia="仿宋_GB2312" w:cs="Times New Roman" w:hAnsi="Times New Roman"/>
          <w:sz w:val="32"/>
          <w:szCs w:val="32"/>
        </w:rPr>
        <w:t>，公务用车运维费</w:t>
      </w:r>
      <w:r>
        <w:rPr>
          <w:rFonts w:ascii="Times New Roman" w:eastAsia="宋体" w:cs="Times New Roman" w:hAnsi="Times New Roman"/>
          <w:sz w:val="32"/>
          <w:szCs w:val="32"/>
        </w:rPr>
        <w:t>增加０万元。</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sz w:val="32"/>
          <w:szCs w:val="32"/>
        </w:rPr>
        <w:t>五、绩效预算信息</w:t>
      </w:r>
    </w:p>
    <w:p>
      <w:pPr>
        <w:spacing w:line="584" w:lineRule="exact"/>
        <w:ind w:firstLineChars="200" w:firstLine="640"/>
        <w:rPr>
          <w:rFonts w:ascii="Times New Roman" w:eastAsia="黑体" w:cs="Times New Roman" w:hAnsi="Times New Roman"/>
          <w:sz w:val="32"/>
          <w:szCs w:val="32"/>
        </w:rPr>
      </w:pPr>
      <w:r>
        <w:rPr>
          <w:rFonts w:ascii="Times New Roman" w:eastAsia="黑体" w:cs="Times New Roman" w:hAnsi="Times New Roman" w:hint="eastAsia"/>
          <w:sz w:val="32"/>
          <w:szCs w:val="32"/>
        </w:rPr>
        <w:t>第一部分 部门整体绩效目标</w:t>
      </w:r>
    </w:p>
    <w:p>
      <w:pPr>
        <w:numPr>
          <w:ilvl w:val="0"/>
          <w:numId w:val="1"/>
        </w:numPr>
        <w:spacing w:line="584" w:lineRule="exact"/>
        <w:rPr>
          <w:rFonts w:ascii="楷体_GB2312" w:eastAsia="楷体_GB2312" w:cs="Times New Roman"/>
          <w:b/>
          <w:sz w:val="32"/>
          <w:szCs w:val="32"/>
        </w:rPr>
      </w:pPr>
      <w:r>
        <w:rPr>
          <w:rFonts w:ascii="楷体_GB2312" w:eastAsia="楷体_GB2312" w:cs="Times New Roman" w:hint="eastAsia"/>
          <w:b/>
          <w:sz w:val="32"/>
          <w:szCs w:val="32"/>
        </w:rPr>
        <w:t>总体绩效目标</w:t>
      </w:r>
    </w:p>
    <w:p>
      <w:pPr>
        <w:spacing w:line="584" w:lineRule="exact"/>
        <w:ind w:firstLineChars="200" w:firstLine="640"/>
        <w:jc w:val="left"/>
        <w:rPr>
          <w:rFonts w:ascii="仿宋_GB2312" w:eastAsia="仿宋_GB2312" w:cs="仿宋_GB2312" w:hint="eastAsia"/>
          <w:sz w:val="32"/>
          <w:szCs w:val="32"/>
          <w:lang w:bidi="ar-SA"/>
        </w:rPr>
      </w:pPr>
      <w:r>
        <w:rPr>
          <w:rFonts w:ascii="仿宋_GB2312" w:eastAsia="仿宋_GB2312" w:cs="仿宋_GB2312" w:hint="eastAsia"/>
          <w:bCs/>
          <w:sz w:val="32"/>
          <w:szCs w:val="32"/>
          <w:lang w:bidi="ar-SA"/>
        </w:rPr>
        <w:t>大城县公安交通警察大队执行国家有关道路交通安全、交通秩序的法律、法规、政策，在</w:t>
      </w:r>
      <w:r>
        <w:rPr>
          <w:rFonts w:ascii="Times New Roman" w:eastAsia="宋体" w:cs="仿宋_GB2312" w:hAnsi="Times New Roman"/>
          <w:bCs/>
          <w:sz w:val="32"/>
          <w:szCs w:val="32"/>
          <w:lang w:bidi="ar-SA"/>
        </w:rPr>
        <w:t>2021</w:t>
      </w:r>
      <w:r>
        <w:rPr>
          <w:rFonts w:ascii="仿宋_GB2312" w:eastAsia="仿宋_GB2312" w:cs="仿宋_GB2312" w:hint="eastAsia"/>
          <w:bCs/>
          <w:sz w:val="32"/>
          <w:szCs w:val="32"/>
          <w:lang w:bidi="ar-SA"/>
        </w:rPr>
        <w:t>年</w:t>
      </w:r>
      <w:r>
        <w:rPr>
          <w:rFonts w:ascii="仿宋_GB2312" w:eastAsia="仿宋_GB2312" w:cs="仿宋_GB2312" w:hint="eastAsia"/>
          <w:sz w:val="32"/>
          <w:szCs w:val="32"/>
          <w:lang w:bidi="ar-SA"/>
        </w:rPr>
        <w:t>加大道路交通秩序的维护和道路交通安全设施的管理，交通事故的预防和调处工作降低事故发生率。依法打击破坏道路交通安全设施等违法犯罪活动，保障各项保卫活动的正常运行。保障道路交通安全、畅通、有序，为全省经济社会发展提供良好的道路交通环境。车辆管理所对全县机动车辆和非机动车辆道路交通管理和机动车安全技术性能的检测，全县机动车辆的证和驾驶证的发放及驾驶员管理的有关工作。规范机动车登记行为，保护公民、法人和其他组织的合法权益，促进经济、社会发展，保障道路交通安全；促进提高机动车驾驶人安全文明驾驶素质，全力预防和减少重特大道路交通事故。指导基层交通安全组织的建设，开展交通安全宣传教育活动。 利用监控系统对机动车、驾驶人业务进行监管，降低违章发生率。按有关规定，组织对全县交警系统预算收入和罚没款、物的管理和审核。</w:t>
      </w:r>
    </w:p>
    <w:p>
      <w:pPr>
        <w:spacing w:line="584" w:lineRule="exact"/>
        <w:ind w:left="0" w:firstLineChars="150" w:firstLine="480"/>
        <w:rPr>
          <w:rFonts w:ascii="楷体_GB2312" w:eastAsia="楷体_GB2312" w:cs="Times New Roman"/>
          <w:b/>
          <w:sz w:val="32"/>
          <w:szCs w:val="32"/>
        </w:rPr>
      </w:pPr>
      <w:r>
        <w:rPr>
          <w:rFonts w:ascii="楷体_GB2312" w:eastAsia="楷体_GB2312" w:cs="Times New Roman" w:hint="eastAsia"/>
          <w:b/>
          <w:sz w:val="32"/>
          <w:szCs w:val="32"/>
        </w:rPr>
        <w:t>（二）分项绩效目标</w:t>
      </w:r>
    </w:p>
    <w:p>
      <w:pPr>
        <w:pStyle w:val="23"/>
        <w:widowControl w:val="0"/>
        <w:ind w:firstLineChars="250" w:firstLine="800"/>
        <w:rPr>
          <w:rFonts w:ascii="仿宋_GB2312" w:eastAsia="仿宋_GB2312" w:cs="仿宋_GB2312" w:hint="eastAsia"/>
          <w:kern w:val="2"/>
          <w:sz w:val="32"/>
          <w:szCs w:val="32"/>
        </w:rPr>
      </w:pPr>
      <w:r>
        <w:rPr>
          <w:rFonts w:ascii="Times New Roman" w:eastAsia="仿宋_GB2312" w:cs="仿宋_GB2312" w:hAnsi="Times New Roman"/>
          <w:bCs/>
          <w:kern w:val="2"/>
          <w:sz w:val="32"/>
          <w:szCs w:val="32"/>
          <w:lang w:bidi="ar-SA"/>
        </w:rPr>
        <w:t>1</w:t>
      </w:r>
      <w:r>
        <w:rPr>
          <w:rFonts w:ascii="仿宋_GB2312" w:eastAsia="仿宋_GB2312" w:cs="仿宋_GB2312" w:hint="eastAsia"/>
          <w:bCs/>
          <w:kern w:val="2"/>
          <w:sz w:val="32"/>
          <w:szCs w:val="32"/>
          <w:lang w:bidi="ar-SA"/>
        </w:rPr>
        <w:t>.</w:t>
      </w:r>
      <w:r>
        <w:rPr>
          <w:rFonts w:ascii="仿宋_GB2312" w:eastAsia="仿宋_GB2312" w:cs="仿宋_GB2312" w:hint="eastAsia"/>
          <w:kern w:val="2"/>
          <w:sz w:val="32"/>
          <w:szCs w:val="32"/>
        </w:rPr>
        <w:t>贯彻落实国家各项法律法规</w:t>
      </w:r>
    </w:p>
    <w:p>
      <w:pPr>
        <w:pStyle w:val="23"/>
        <w:widowControl w:val="0"/>
        <w:rPr>
          <w:rFonts w:ascii="仿宋_GB2312" w:eastAsia="仿宋_GB2312" w:cs="仿宋_GB2312" w:hint="eastAsia"/>
          <w:bCs/>
          <w:kern w:val="2"/>
          <w:sz w:val="32"/>
          <w:szCs w:val="32"/>
        </w:rPr>
      </w:pPr>
      <w:r>
        <w:rPr>
          <w:rFonts w:ascii="仿宋_GB2312" w:eastAsia="仿宋_GB2312" w:cs="仿宋_GB2312" w:hint="eastAsia"/>
          <w:kern w:val="2"/>
          <w:sz w:val="32"/>
          <w:szCs w:val="32"/>
        </w:rPr>
        <w:t xml:space="preserve">    绩效目标：大城县公安交通警</w:t>
      </w:r>
      <w:r>
        <w:rPr>
          <w:rFonts w:ascii="仿宋_GB2312" w:eastAsia="仿宋_GB2312" w:cs="仿宋_GB2312" w:hint="eastAsia"/>
          <w:bCs/>
          <w:kern w:val="2"/>
          <w:sz w:val="32"/>
          <w:szCs w:val="32"/>
        </w:rPr>
        <w:t>察大队贯彻执行国家有关道路安全、交通秩序的法律、法规、政策，参与制定全市道路交通安全、秩序的地方性法规、规章、政策。参与研究城市建设、道路交通和安全设施的规划。</w:t>
      </w:r>
    </w:p>
    <w:p>
      <w:pPr>
        <w:pStyle w:val="23"/>
        <w:widowControl w:val="0"/>
        <w:rPr>
          <w:rFonts w:ascii="仿宋_GB2312" w:eastAsia="仿宋_GB2312" w:cs="仿宋_GB2312" w:hint="eastAsia"/>
          <w:bCs/>
          <w:kern w:val="2"/>
          <w:sz w:val="32"/>
          <w:szCs w:val="32"/>
        </w:rPr>
      </w:pPr>
      <w:r>
        <w:rPr>
          <w:rFonts w:ascii="仿宋_GB2312" w:eastAsia="仿宋_GB2312" w:cs="仿宋_GB2312" w:hint="eastAsia"/>
          <w:bCs/>
          <w:kern w:val="2"/>
          <w:sz w:val="32"/>
          <w:szCs w:val="32"/>
        </w:rPr>
        <w:t xml:space="preserve">    绩效指标：保障道路交通安全、畅通、有序,为全省经济社会发展提供良好的道路交通环境。更好的净化我县交通环境。维护全县良好的道路交通秩序,缓解城市交通拥堵,提高道路通行能力;加强公路巡警中队建设,提升道路交通秩序管理水平。</w:t>
      </w:r>
    </w:p>
    <w:p>
      <w:pPr>
        <w:pStyle w:val="23"/>
        <w:widowControl w:val="0"/>
        <w:ind w:left="0" w:firstLineChars="218" w:firstLine="698"/>
        <w:rPr>
          <w:rFonts w:ascii="仿宋_GB2312" w:eastAsia="仿宋_GB2312" w:cs="仿宋_GB2312" w:hint="eastAsia"/>
          <w:bCs/>
          <w:kern w:val="2"/>
          <w:sz w:val="32"/>
          <w:szCs w:val="32"/>
        </w:rPr>
      </w:pPr>
      <w:r>
        <w:rPr>
          <w:rFonts w:ascii="Times New Roman" w:eastAsia="仿宋_GB2312" w:cs="仿宋_GB2312" w:hAnsi="Times New Roman"/>
          <w:bCs/>
          <w:kern w:val="2"/>
          <w:sz w:val="32"/>
          <w:szCs w:val="32"/>
        </w:rPr>
        <w:t>2</w:t>
      </w:r>
      <w:r>
        <w:rPr>
          <w:rFonts w:ascii="仿宋_GB2312" w:eastAsia="仿宋_GB2312" w:cs="仿宋_GB2312" w:hint="eastAsia"/>
          <w:bCs/>
          <w:kern w:val="2"/>
          <w:sz w:val="32"/>
          <w:szCs w:val="32"/>
        </w:rPr>
        <w:t>.维护道路交通秩序、保障道路交通安全</w:t>
      </w:r>
    </w:p>
    <w:p>
      <w:pPr>
        <w:pStyle w:val="23"/>
        <w:widowControl w:val="0"/>
        <w:rPr>
          <w:rFonts w:ascii="仿宋_GB2312" w:eastAsia="仿宋_GB2312" w:cs="仿宋_GB2312" w:hint="eastAsia"/>
          <w:bCs/>
          <w:kern w:val="2"/>
          <w:sz w:val="32"/>
          <w:szCs w:val="32"/>
        </w:rPr>
      </w:pPr>
      <w:r>
        <w:rPr>
          <w:rFonts w:ascii="仿宋_GB2312" w:eastAsia="仿宋_GB2312" w:cs="仿宋_GB2312" w:hint="eastAsia"/>
          <w:bCs/>
          <w:kern w:val="2"/>
          <w:sz w:val="32"/>
          <w:szCs w:val="32"/>
        </w:rPr>
        <w:t xml:space="preserve">    绩效目标：规范机动车登记行为,保护公民、法人和其他组织的合法权益,促进经济社会发展,保障道路交通安全;促进提高机动车驾驶人安全文明驾驶素质，全力预防和减少重特大道路交通事故。加强全县机动车辆和非机动车辆道路交通管理和机动车安全技术性能的检测,降低事故发生率。</w:t>
      </w:r>
    </w:p>
    <w:p>
      <w:pPr>
        <w:pStyle w:val="23"/>
        <w:widowControl w:val="0"/>
        <w:rPr>
          <w:rFonts w:ascii="仿宋_GB2312" w:eastAsia="仿宋_GB2312" w:cs="仿宋_GB2312" w:hint="eastAsia"/>
          <w:bCs/>
          <w:kern w:val="2"/>
          <w:sz w:val="32"/>
          <w:szCs w:val="32"/>
        </w:rPr>
      </w:pPr>
      <w:r>
        <w:rPr>
          <w:rFonts w:ascii="仿宋_GB2312" w:eastAsia="仿宋_GB2312" w:cs="仿宋_GB2312" w:hint="eastAsia"/>
          <w:bCs/>
          <w:kern w:val="2"/>
          <w:sz w:val="32"/>
          <w:szCs w:val="32"/>
        </w:rPr>
        <w:t xml:space="preserve">    绩效指标：加强交通法制建设与安全宣传力度;强化交警的宗旨意识,提高执法水平和管理服务社会能力,为交管事业健康发展提供各项有力保障;合理、正确发放道路交通事故社会救助基金。2019年加大基层交通安全组织建设,开展交通安全宣传教育活动,普及交通安全知识,使全县广大群众遵守交通规则，安全出行。</w:t>
      </w:r>
    </w:p>
    <w:p>
      <w:pPr>
        <w:spacing w:line="584" w:lineRule="exact"/>
        <w:ind w:left="0" w:firstLineChars="150" w:firstLine="480"/>
        <w:rPr>
          <w:rFonts w:ascii="楷体_GB2312" w:eastAsia="楷体_GB2312" w:cs="Times New Roman"/>
          <w:b/>
          <w:sz w:val="32"/>
          <w:szCs w:val="32"/>
        </w:rPr>
      </w:pPr>
      <w:r>
        <w:rPr>
          <w:rFonts w:ascii="楷体_GB2312" w:eastAsia="楷体_GB2312" w:cs="Times New Roman" w:hint="eastAsia"/>
          <w:b/>
          <w:sz w:val="32"/>
          <w:szCs w:val="32"/>
        </w:rPr>
        <w:t>（三）工作保障措施</w:t>
      </w:r>
    </w:p>
    <w:p>
      <w:pPr>
        <w:tabs>
          <w:tab w:val="left" w:pos="1335"/>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s>
        <w:spacing w:before="4" w:line="235" w:lineRule="auto"/>
        <w:ind w:left="0" w:right="213" w:firstLineChars="200" w:firstLine="640"/>
        <w:jc w:val="both"/>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1.</w:t>
      </w:r>
      <w:r>
        <w:rPr>
          <w:rFonts w:ascii="Times New Roman" w:eastAsia="仿宋_GB2312" w:cs="Times New Roman" w:hAnsi="Times New Roman" w:hint="eastAsia"/>
          <w:bCs/>
          <w:sz w:val="32"/>
          <w:szCs w:val="32"/>
          <w:lang w:bidi="ar-SA"/>
        </w:rPr>
        <w:t>完善制度建设</w:t>
      </w:r>
    </w:p>
    <w:p>
      <w:pPr>
        <w:tabs>
          <w:tab w:val="left" w:pos="839"/>
          <w:tab w:val="left" w:pos="1259"/>
          <w:tab w:val="left" w:pos="1680"/>
          <w:tab w:val="left" w:pos="2100"/>
          <w:tab w:val="left" w:pos="2520"/>
          <w:tab w:val="left" w:pos="2939"/>
          <w:tab w:val="left" w:pos="3360"/>
          <w:tab w:val="left" w:pos="3780"/>
          <w:tab w:val="left" w:pos="4200"/>
          <w:tab w:val="left" w:pos="4620"/>
          <w:tab w:val="left" w:pos="5040"/>
          <w:tab w:val="left" w:pos="5460"/>
          <w:tab w:val="left" w:pos="5880"/>
        </w:tabs>
        <w:spacing w:before="4" w:line="235" w:lineRule="auto"/>
        <w:ind w:left="7" w:right="213"/>
        <w:jc w:val="both"/>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包括制定完善预算绩效管理制度、资金管理办法、工作保障制度等，为全年预算绩效目标的实现奠定制度基础。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left="0" w:right="271" w:firstLineChars="200" w:firstLine="640"/>
        <w:jc w:val="both"/>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2 .</w:t>
      </w:r>
      <w:r>
        <w:rPr>
          <w:rFonts w:ascii="Times New Roman" w:eastAsia="仿宋_GB2312" w:cs="Times New Roman" w:hAnsi="Times New Roman" w:hint="eastAsia"/>
          <w:bCs/>
          <w:sz w:val="32"/>
          <w:szCs w:val="32"/>
          <w:lang w:bidi="ar-SA"/>
        </w:rPr>
        <w:t>加强支出管理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firstLine="540"/>
        <w:jc w:val="both"/>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通过优化支出结构、编细编实预算、加快履行政府采购手续、尽快启动项目、及时支付资金、6 月底前细化代编预算、按规定及时下达资金等多种措施，确保支出进度达标。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left="0" w:right="212" w:firstLineChars="200" w:firstLine="640"/>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rPr>
        <w:t>3</w:t>
      </w:r>
      <w:r>
        <w:rPr>
          <w:rFonts w:ascii="Times New Roman" w:eastAsia="仿宋_GB2312" w:cs="Times New Roman" w:hAnsi="Times New Roman" w:hint="eastAsia"/>
          <w:bCs/>
          <w:sz w:val="32"/>
          <w:szCs w:val="32"/>
          <w:lang w:bidi="ar-SA"/>
        </w:rPr>
        <w:t>.加强绩效运行监控</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left="0" w:right="212" w:firstLineChars="200" w:firstLine="640"/>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left="0" w:right="114" w:firstLineChars="200" w:firstLine="640"/>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lang w:bidi="ar-SA"/>
        </w:rPr>
        <w:t>4.做好绩效自评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ind w:right="114" w:firstLineChars="195" w:firstLine="624"/>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按要求开展上年度部门预算绩效自评和重点评价工作，对评价中发现的问题及时整改，调整优化支出结构， 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 xml:space="preserve">   </w:t>
      </w:r>
      <w:r>
        <w:rPr>
          <w:rFonts w:ascii="Times New Roman" w:eastAsia="仿宋_GB2312" w:cs="Times New Roman" w:hAnsi="Times New Roman" w:hint="eastAsia"/>
          <w:bCs/>
          <w:sz w:val="32"/>
          <w:szCs w:val="32"/>
          <w:lang w:bidi="ar-SA"/>
        </w:rPr>
        <w:t xml:space="preserve"> 5. 规范财务资产管理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Chars="200" w:firstLine="640"/>
        <w:jc w:val="left"/>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left="0" w:right="114" w:firstLineChars="200" w:firstLine="640"/>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lang w:bidi="ar-SA"/>
        </w:rPr>
        <w:t>6.加强内部监督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114" w:firstLineChars="215" w:firstLine="688"/>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8" w:line="235" w:lineRule="auto"/>
        <w:ind w:left="0" w:right="271" w:firstLineChars="200" w:firstLine="640"/>
        <w:jc w:val="both"/>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lang w:bidi="ar-SA"/>
        </w:rPr>
        <w:t>7.加强宣传培训调研等</w:t>
      </w:r>
    </w:p>
    <w:p>
      <w:pPr>
        <w:tabs>
          <w:tab w:val="left" w:pos="3"/>
          <w:tab w:val="left" w:pos="419"/>
          <w:tab w:val="left" w:pos="839"/>
          <w:tab w:val="left" w:pos="1259"/>
          <w:tab w:val="left" w:pos="1680"/>
          <w:tab w:val="left" w:pos="2100"/>
          <w:tab w:val="left" w:pos="2520"/>
          <w:tab w:val="left" w:pos="2939"/>
          <w:tab w:val="left" w:pos="3360"/>
          <w:tab w:val="left" w:pos="3780"/>
          <w:tab w:val="left" w:pos="4200"/>
          <w:tab w:val="left" w:pos="4620"/>
          <w:tab w:val="left" w:pos="5040"/>
          <w:tab w:val="left" w:pos="5460"/>
        </w:tabs>
        <w:spacing w:before="8" w:line="235" w:lineRule="auto"/>
        <w:ind w:left="12" w:right="271" w:firstLineChars="200" w:firstLine="640"/>
        <w:jc w:val="both"/>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加强人员培训，提高本部门职工业务素质；加强调研，提出优化财政资金配置、提高资金使用效益的意见；加大宣传力度，强化预算绩效管理意识，促进预算绩 效管理水平进一步提升。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Chars="200" w:firstLine="640"/>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lang w:bidi="ar-SA"/>
        </w:rPr>
        <w:t>8.保障道路交通安全有序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Chars="200" w:firstLine="640"/>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保障道路交通安全有序,为全省经济社会发展提供良好的道路交通环境。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Chars="200" w:firstLine="640"/>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lang w:bidi="ar-SA"/>
        </w:rPr>
        <w:t>9.维护道路交通秩序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Times New Roman" w:eastAsia="仿宋_GB2312" w:cs="Times New Roman" w:hAnsi="Times New Roman" w:hint="eastAsia"/>
          <w:sz w:val="32"/>
          <w:szCs w:val="32"/>
          <w:lang w:bidi="ar-SA"/>
        </w:rPr>
      </w:pPr>
      <w:r>
        <w:rPr>
          <w:rFonts w:ascii="Times New Roman" w:eastAsia="仿宋_GB2312" w:cs="Times New Roman" w:hAnsi="Times New Roman" w:hint="eastAsia"/>
          <w:sz w:val="32"/>
          <w:szCs w:val="32"/>
          <w:lang w:bidi="ar-SA"/>
        </w:rPr>
        <w:t>维护全省良好的道路交通秩序,缓解城市交通拥堵,提高道路通行能力;加强公路巡警中队建设,提升道路交通秩序管理水平。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Chars="200" w:firstLine="640"/>
        <w:rPr>
          <w:rFonts w:ascii="Times New Roman" w:eastAsia="仿宋_GB2312" w:cs="Times New Roman" w:hAnsi="Times New Roman" w:hint="eastAsia"/>
          <w:bCs/>
          <w:sz w:val="32"/>
          <w:szCs w:val="32"/>
          <w:lang w:bidi="ar-SA"/>
        </w:rPr>
      </w:pPr>
      <w:r>
        <w:rPr>
          <w:rFonts w:ascii="Times New Roman" w:eastAsia="仿宋_GB2312" w:cs="Times New Roman" w:hAnsi="Times New Roman" w:hint="eastAsia"/>
          <w:bCs/>
          <w:sz w:val="32"/>
          <w:szCs w:val="32"/>
          <w:lang w:bidi="ar-SA"/>
        </w:rPr>
        <w:t>10.提高群众的满意度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0" w:firstLine="9"/>
        <w:rPr>
          <w:rFonts w:ascii="Times New Roman" w:eastAsia="仿宋_GB2312" w:cs="Times New Roman" w:hAnsi="Times New Roman" w:hint="eastAsia"/>
          <w:sz w:val="32"/>
          <w:szCs w:val="32"/>
          <w:lang w:bidi="ar-SA"/>
        </w:rPr>
        <w:sectPr>
          <w:pgSz w:w="16840" w:h="11910" w:orient="landscape"/>
          <w:pgMar w:top="1580" w:right="1200" w:bottom="1720" w:left="1400" w:header="720" w:footer="720" w:gutter="0"/>
          <w:pgNumType w:start="1"/>
          <w:docGrid w:linePitch="435" w:charSpace="0"/>
        </w:sectPr>
      </w:pPr>
      <w:r>
        <w:rPr>
          <w:rFonts w:ascii="Times New Roman" w:eastAsia="仿宋_GB2312" w:cs="Times New Roman" w:hAnsi="Times New Roman" w:hint="eastAsia"/>
          <w:sz w:val="32"/>
          <w:szCs w:val="32"/>
          <w:lang w:bidi="ar-SA"/>
        </w:rPr>
        <w:t>通过故处理工作规范化、科学化水平,让群众在每起案件中都感受到公平正义,努力实现“事故少、秩序好、道路畅通、群众满意”的总体工作目标。</w:t>
      </w:r>
    </w:p>
    <w:p>
      <w:pPr>
        <w:autoSpaceDE w:val="0"/>
        <w:autoSpaceDN w:val="0"/>
        <w:adjustRightInd w:val="0"/>
        <w:spacing w:line="584" w:lineRule="exact"/>
        <w:ind w:left="0"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六、政府采购预算情况</w:t>
      </w:r>
    </w:p>
    <w:p>
      <w:pPr>
        <w:spacing w:line="584" w:lineRule="exact"/>
        <w:ind w:firstLineChars="200" w:firstLine="640"/>
        <w:outlineLvl w:val="0"/>
        <w:rPr>
          <w:rFonts w:ascii="Times New Roman" w:eastAsia="仿宋_GB2312" w:cs="Times New Roman" w:hAnsi="Times New Roman"/>
          <w:sz w:val="32"/>
          <w:szCs w:val="24"/>
        </w:rPr>
      </w:pPr>
      <w:bookmarkStart w:id="1" w:name="_Toc471398468"/>
      <w:r>
        <w:rPr>
          <w:rFonts w:ascii="Times New Roman" w:eastAsia="仿宋_GB2312" w:cs="Times New Roman" w:hAnsi="Times New Roman"/>
          <w:sz w:val="32"/>
          <w:szCs w:val="24"/>
        </w:rPr>
        <w:t>20</w:t>
      </w:r>
      <w:r>
        <w:rPr>
          <w:rFonts w:ascii="Times New Roman" w:eastAsia="仿宋_GB2312" w:cs="Times New Roman" w:hAnsi="Times New Roman" w:hint="eastAsia"/>
          <w:sz w:val="32"/>
          <w:szCs w:val="24"/>
        </w:rPr>
        <w:t>21</w:t>
      </w:r>
      <w:r>
        <w:rPr>
          <w:rFonts w:ascii="Times New Roman" w:eastAsia="仿宋_GB2312" w:cs="Times New Roman" w:hAnsi="Times New Roman"/>
          <w:sz w:val="32"/>
          <w:szCs w:val="24"/>
        </w:rPr>
        <w:t>年，我部门安排政府采购预算0万元。</w:t>
      </w:r>
    </w:p>
    <w:p>
      <w:pPr>
        <w:spacing w:line="584" w:lineRule="exact"/>
        <w:ind w:left="0" w:firstLineChars="200" w:firstLine="640"/>
        <w:jc w:val="left"/>
        <w:outlineLvl w:val="0"/>
        <w:rPr>
          <w:rFonts w:ascii="Times New Roman" w:eastAsia="黑体" w:cs="Times New Roman" w:hAnsi="Times New Roman"/>
          <w:sz w:val="32"/>
          <w:szCs w:val="32"/>
        </w:rPr>
      </w:pPr>
      <w:bookmarkEnd w:id="1"/>
      <w:r>
        <w:rPr>
          <w:rFonts w:ascii="Times New Roman" w:eastAsia="黑体" w:cs="Times New Roman" w:hAnsi="Times New Roman"/>
          <w:sz w:val="32"/>
          <w:szCs w:val="32"/>
        </w:rPr>
        <w:t>七、国有资产信息</w:t>
      </w:r>
    </w:p>
    <w:p>
      <w:pPr>
        <w:spacing w:line="584" w:lineRule="exact"/>
        <w:ind w:firstLine="640"/>
        <w:rPr>
          <w:rFonts w:ascii="Times New Roman" w:eastAsia="仿宋_GB2312" w:cs="Times New Roman" w:hAnsi="Times New Roman"/>
          <w:sz w:val="32"/>
          <w:szCs w:val="32"/>
        </w:rPr>
      </w:pPr>
      <w:r>
        <w:rPr>
          <w:rFonts w:ascii="Times New Roman" w:eastAsia="仿宋_GB2312" w:cs="Times New Roman" w:hAnsi="Times New Roman" w:hint="eastAsia"/>
          <w:sz w:val="32"/>
          <w:szCs w:val="32"/>
          <w:lang w:eastAsia="zh-CN"/>
        </w:rPr>
        <w:t>我</w:t>
      </w:r>
      <w:r>
        <w:rPr>
          <w:rFonts w:ascii="Times New Roman" w:eastAsia="宋体" w:cs="Times New Roman" w:hAnsi="Times New Roman"/>
          <w:sz w:val="32"/>
          <w:szCs w:val="32"/>
          <w:lang w:eastAsia="zh-CN"/>
        </w:rPr>
        <w:t>大队</w:t>
      </w:r>
      <w:r>
        <w:rPr>
          <w:rFonts w:ascii="Times New Roman" w:eastAsia="仿宋_GB2312" w:cs="Times New Roman" w:hAnsi="Times New Roman"/>
          <w:sz w:val="32"/>
          <w:szCs w:val="32"/>
        </w:rPr>
        <w:t>上年末固定资产金额为 1323.23万元</w:t>
      </w:r>
      <w:r>
        <w:rPr>
          <w:rFonts w:ascii="Times New Roman" w:eastAsia="仿宋_GB2312" w:cs="Times New Roman" w:hAnsi="Times New Roman" w:hint="eastAsia"/>
          <w:sz w:val="32"/>
          <w:szCs w:val="32"/>
        </w:rPr>
        <w:t>（详见下表）</w:t>
      </w:r>
      <w:r>
        <w:rPr>
          <w:rFonts w:ascii="Times New Roman" w:eastAsia="仿宋_GB2312" w:cs="Times New Roman" w:hAnsi="Times New Roman"/>
          <w:sz w:val="32"/>
          <w:szCs w:val="32"/>
        </w:rPr>
        <w:t>，本年度我部门拟购置固定资产</w:t>
      </w:r>
      <w:r>
        <w:rPr>
          <w:rFonts w:ascii="Times New Roman" w:eastAsia="仿宋_GB2312" w:cs="Times New Roman" w:hAnsi="Times New Roman" w:hint="eastAsia"/>
          <w:sz w:val="32"/>
          <w:szCs w:val="32"/>
        </w:rPr>
        <w:t>总额为</w:t>
      </w:r>
      <w:r>
        <w:rPr>
          <w:rFonts w:ascii="Times New Roman" w:eastAsia="仿宋_GB2312" w:cs="Times New Roman" w:hAnsi="Times New Roman"/>
          <w:sz w:val="32"/>
          <w:szCs w:val="32"/>
        </w:rPr>
        <w:t>0</w:t>
      </w:r>
      <w:r>
        <w:rPr>
          <w:rFonts w:ascii="Times New Roman" w:eastAsia="仿宋_GB2312" w:cs="Times New Roman" w:hAnsi="Times New Roman" w:hint="eastAsia"/>
          <w:sz w:val="32"/>
          <w:szCs w:val="32"/>
        </w:rPr>
        <w:t>万元</w:t>
      </w:r>
      <w:r>
        <w:rPr>
          <w:rFonts w:ascii="Times New Roman" w:eastAsia="宋体" w:cs="Times New Roman" w:hAnsi="Times New Roman"/>
          <w:sz w:val="32"/>
          <w:szCs w:val="32"/>
        </w:rPr>
        <w:t>。　</w:t>
      </w:r>
    </w:p>
    <w:tbl>
      <w:tblPr>
        <w:jc w:val="left"/>
        <w:tblInd w:w="93" w:type="dxa"/>
        <w:tblW w:w="1332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5224"/>
        <w:gridCol w:w="3155"/>
        <w:gridCol w:w="5103"/>
      </w:tblGrid>
      <w:tr>
        <w:trPr>
          <w:trHeight w:val="705"/>
        </w:trPr>
        <w:tc>
          <w:tcPr>
            <w:tcW w:w="13482" w:type="dxa"/>
            <w:gridSpan w:val="3"/>
            <w:tcBorders>
              <w:top w:val="nil"/>
              <w:left w:val="nil"/>
              <w:bottom w:val="nil"/>
              <w:right w:val="nil"/>
            </w:tcBorders>
            <w:shd w:val="clear" w:color="auto" w:fill="auto"/>
            <w:noWrap/>
            <w:vAlign w:val="center"/>
          </w:tcPr>
          <w:p>
            <w:pPr>
              <w:widowControl/>
              <w:spacing w:line="584" w:lineRule="exact"/>
              <w:ind w:firstLineChars="1350" w:firstLine="4320"/>
              <w:rPr>
                <w:rFonts w:ascii="Times New Roman" w:eastAsia="仿宋_GB2312" w:cs="Times New Roman" w:hAnsi="Times New Roman"/>
                <w:b/>
                <w:bCs/>
                <w:kern w:val="0"/>
                <w:sz w:val="32"/>
                <w:szCs w:val="32"/>
              </w:rPr>
            </w:pPr>
            <w:r>
              <w:rPr>
                <w:rFonts w:ascii="Times New Roman" w:eastAsia="仿宋_GB2312" w:cs="Times New Roman" w:hAnsi="Times New Roman" w:hint="eastAsia"/>
                <w:b/>
                <w:bCs/>
                <w:kern w:val="0"/>
                <w:sz w:val="32"/>
                <w:szCs w:val="32"/>
                <w:lang w:eastAsia="zh-CN"/>
              </w:rPr>
              <w:t>大城县部</w:t>
            </w:r>
            <w:r>
              <w:rPr>
                <w:rFonts w:ascii="Times New Roman" w:eastAsia="仿宋_GB2312" w:cs="Times New Roman" w:hAnsi="Times New Roman"/>
                <w:b/>
                <w:bCs/>
                <w:kern w:val="0"/>
                <w:sz w:val="32"/>
                <w:szCs w:val="32"/>
              </w:rPr>
              <w:t>门固定资产占用情况表</w:t>
            </w:r>
          </w:p>
        </w:tc>
      </w:tr>
      <w:tr>
        <w:trPr>
          <w:trHeight w:val="510"/>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eastAsia="仿宋_GB2312" w:cs="Times New Roman" w:hAnsi="Times New Roman"/>
                <w:kern w:val="0"/>
                <w:sz w:val="22"/>
              </w:rPr>
            </w:pPr>
            <w:r>
              <w:rPr>
                <w:rFonts w:ascii="Times New Roman" w:eastAsia="仿宋_GB2312" w:cs="Times New Roman" w:hAnsi="Times New Roman"/>
                <w:kern w:val="0"/>
                <w:sz w:val="22"/>
              </w:rPr>
              <w:t>编制部门：</w:t>
            </w:r>
            <w:r>
              <w:rPr>
                <w:rFonts w:ascii="Times New Roman" w:eastAsia="仿宋_GB2312" w:cs="Times New Roman" w:hAnsi="Times New Roman" w:hint="eastAsia"/>
                <w:kern w:val="0"/>
                <w:sz w:val="22"/>
                <w:lang w:eastAsia="zh-CN"/>
              </w:rPr>
              <w:t>大城县</w:t>
            </w:r>
            <w:r>
              <w:rPr>
                <w:rFonts w:ascii="Times New Roman" w:eastAsia="宋体" w:cs="Times New Roman" w:hAnsi="Times New Roman"/>
                <w:kern w:val="0"/>
                <w:sz w:val="22"/>
              </w:rPr>
              <w:t>公安交通警察大队</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eastAsia="仿宋_GB2312" w:cs="Times New Roman" w:hAnsi="Times New Roman"/>
                <w:kern w:val="0"/>
                <w:sz w:val="22"/>
              </w:rPr>
            </w:pPr>
            <w:r>
              <w:rPr>
                <w:rFonts w:ascii="Times New Roman" w:eastAsia="仿宋_GB2312" w:cs="Times New Roman" w:hAnsi="Times New Roman"/>
                <w:kern w:val="0"/>
                <w:sz w:val="22"/>
              </w:rPr>
              <w:t>截止时间：20</w:t>
            </w:r>
            <w:r>
              <w:rPr>
                <w:rFonts w:ascii="Times New Roman" w:eastAsia="仿宋_GB2312" w:cs="Times New Roman" w:hAnsi="Times New Roman" w:hint="eastAsia"/>
                <w:kern w:val="0"/>
                <w:sz w:val="22"/>
              </w:rPr>
              <w:t>20</w:t>
            </w:r>
            <w:r>
              <w:rPr>
                <w:rFonts w:ascii="Times New Roman" w:eastAsia="仿宋_GB2312" w:cs="Times New Roman" w:hAnsi="Times New Roman"/>
                <w:kern w:val="0"/>
                <w:sz w:val="22"/>
              </w:rPr>
              <w:t xml:space="preserve">年12月31日  </w:t>
            </w:r>
          </w:p>
        </w:tc>
      </w:tr>
      <w:tr>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b/>
                <w:bCs/>
                <w:kern w:val="0"/>
                <w:sz w:val="22"/>
              </w:rPr>
            </w:pPr>
            <w:r>
              <w:rPr>
                <w:rFonts w:ascii="Times New Roman" w:eastAsia="仿宋_GB2312" w:cs="Times New Roman" w:hAnsi="Times New Roman"/>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b/>
                <w:bCs/>
                <w:kern w:val="0"/>
                <w:sz w:val="22"/>
              </w:rPr>
            </w:pPr>
            <w:r>
              <w:rPr>
                <w:rFonts w:ascii="Times New Roman" w:eastAsia="仿宋_GB2312" w:cs="Times New Roman" w:hAnsi="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b/>
                <w:bCs/>
                <w:kern w:val="0"/>
                <w:sz w:val="22"/>
              </w:rPr>
            </w:pPr>
            <w:r>
              <w:rPr>
                <w:rFonts w:ascii="Times New Roman" w:eastAsia="仿宋_GB2312" w:cs="Times New Roman" w:hAnsi="Times New Roman"/>
                <w:b/>
                <w:bCs/>
                <w:kern w:val="0"/>
                <w:sz w:val="22"/>
              </w:rPr>
              <w:t>价值（金额单位：万元）</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1323.23</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13391</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685.42</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13391</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685.42</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19</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263.14</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0</w:t>
            </w:r>
          </w:p>
        </w:tc>
      </w:tr>
      <w:tr>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pPr>
              <w:widowControl/>
              <w:spacing w:line="584" w:lineRule="exact"/>
              <w:jc w:val="center"/>
              <w:rPr>
                <w:rFonts w:ascii="Times New Roman" w:eastAsia="仿宋_GB2312" w:cs="Times New Roman" w:hAnsi="Times New Roman"/>
                <w:kern w:val="0"/>
                <w:sz w:val="22"/>
              </w:rPr>
            </w:pPr>
            <w:r>
              <w:rPr>
                <w:rFonts w:ascii="Times New Roman" w:eastAsia="仿宋_GB2312" w:cs="Times New Roman" w:hAnsi="Times New Roman"/>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宋体" w:cs="Times New Roman" w:hAnsi="Times New Roman"/>
                <w:sz w:val="22"/>
              </w:rPr>
              <w:t>206</w:t>
            </w:r>
          </w:p>
        </w:tc>
        <w:tc>
          <w:tcPr>
            <w:tcW w:w="5103" w:type="dxa"/>
            <w:tcBorders>
              <w:top w:val="nil"/>
              <w:left w:val="nil"/>
              <w:bottom w:val="single" w:sz="4" w:space="0" w:color="auto"/>
              <w:right w:val="single" w:sz="4" w:space="0" w:color="auto"/>
            </w:tcBorders>
            <w:shd w:val="clear" w:color="auto" w:fill="auto"/>
            <w:noWrap/>
            <w:vAlign w:val="center"/>
          </w:tcPr>
          <w:p>
            <w:pPr>
              <w:spacing w:line="584" w:lineRule="exact"/>
              <w:jc w:val="center"/>
              <w:rPr>
                <w:rFonts w:ascii="Times New Roman" w:eastAsia="仿宋_GB2312" w:cs="Times New Roman" w:hAnsi="Times New Roman"/>
                <w:sz w:val="22"/>
              </w:rPr>
            </w:pPr>
            <w:r>
              <w:rPr>
                <w:rFonts w:ascii="Times New Roman" w:eastAsia="仿宋_GB2312" w:cs="Times New Roman" w:hAnsi="Times New Roman"/>
                <w:sz w:val="22"/>
              </w:rPr>
              <w:t>374.67</w:t>
            </w:r>
          </w:p>
        </w:tc>
      </w:tr>
    </w:tbl>
    <w:p>
      <w:pPr>
        <w:autoSpaceDE w:val="0"/>
        <w:autoSpaceDN w:val="0"/>
        <w:adjustRightInd w:val="0"/>
        <w:spacing w:line="584" w:lineRule="exact"/>
        <w:ind w:left="0"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八、名词解释</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1、一般公共预算拨款收入：</w:t>
      </w:r>
      <w:r>
        <w:rPr>
          <w:rFonts w:ascii="Times New Roman" w:eastAsia="仿宋_GB2312" w:cs="Times New Roman" w:hAnsi="Times New Roman"/>
          <w:sz w:val="32"/>
          <w:szCs w:val="32"/>
        </w:rPr>
        <w:t>指省级财政当年拨付的资金。</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2、事业收入：</w:t>
      </w:r>
      <w:r>
        <w:rPr>
          <w:rFonts w:ascii="Times New Roman" w:eastAsia="仿宋_GB2312" w:cs="Times New Roman" w:hAnsi="Times New Roman"/>
          <w:sz w:val="32"/>
          <w:szCs w:val="32"/>
        </w:rPr>
        <w:t>指事业单位开展专业业务活动及辅助活动所取得的收入。</w:t>
      </w:r>
    </w:p>
    <w:p>
      <w:pPr>
        <w:tabs>
          <w:tab w:val="left" w:pos="11490"/>
        </w:tabs>
        <w:spacing w:line="584" w:lineRule="exact"/>
        <w:ind w:firstLineChars="200" w:firstLine="640"/>
        <w:rPr>
          <w:rFonts w:ascii="Times New Roman" w:eastAsia="仿宋_GB2312" w:cs="Times New Roman" w:hAnsi="Times New Roman"/>
          <w:b/>
          <w:sz w:val="32"/>
          <w:szCs w:val="32"/>
        </w:rPr>
      </w:pPr>
      <w:r>
        <w:rPr>
          <w:rFonts w:ascii="Times New Roman" w:eastAsia="仿宋_GB2312" w:cs="Times New Roman" w:hAnsi="Times New Roman"/>
          <w:b/>
          <w:sz w:val="32"/>
          <w:szCs w:val="32"/>
        </w:rPr>
        <w:t>3、其他收入：</w:t>
      </w:r>
      <w:r>
        <w:rPr>
          <w:rFonts w:ascii="Times New Roman" w:eastAsia="仿宋_GB2312" w:cs="Times New Roman" w:hAnsi="Times New Roman"/>
          <w:sz w:val="32"/>
          <w:szCs w:val="32"/>
        </w:rPr>
        <w:t>指除“一般公共预算拨款收入”、“事业收入”等以外的收入。主要是按规定动用的租房收入、存款利息收入等。</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4、基本支出：</w:t>
      </w:r>
      <w:r>
        <w:rPr>
          <w:rFonts w:ascii="Times New Roman" w:eastAsia="仿宋_GB2312" w:cs="Times New Roman" w:hAnsi="Times New Roman"/>
          <w:sz w:val="32"/>
          <w:szCs w:val="32"/>
        </w:rPr>
        <w:t>指为保障机构正常运转、完成日常工作任务而发生的人员支出和公用支出。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5、项目支出：</w:t>
      </w:r>
      <w:r>
        <w:rPr>
          <w:rFonts w:ascii="Times New Roman" w:eastAsia="仿宋_GB2312" w:cs="Times New Roman" w:hAnsi="Times New Roman"/>
          <w:sz w:val="32"/>
          <w:szCs w:val="32"/>
        </w:rPr>
        <w:t>指在基本支出之外为完成特定行政任务和事业发展目标所发生的支出。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6、上缴上级支出：</w:t>
      </w:r>
      <w:r>
        <w:rPr>
          <w:rFonts w:ascii="Times New Roman" w:eastAsia="仿宋_GB2312" w:cs="Times New Roman" w:hAnsi="Times New Roman"/>
          <w:sz w:val="32"/>
          <w:szCs w:val="32"/>
        </w:rPr>
        <w:t>指下级单位上缴上级的支出。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7、“三公”经费：</w:t>
      </w:r>
      <w:r>
        <w:rPr>
          <w:rFonts w:ascii="Times New Roman" w:eastAsia="仿宋_GB2312" w:cs="Times New Roman" w:hAnsi="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8、机关运行费：</w:t>
      </w:r>
      <w:r>
        <w:rPr>
          <w:rFonts w:ascii="Times New Roman" w:eastAsia="仿宋_GB2312" w:cs="Times New Roman" w:hAnsi="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9、上年结转：</w:t>
      </w:r>
      <w:r>
        <w:rPr>
          <w:rFonts w:ascii="Times New Roman" w:eastAsia="仿宋_GB2312" w:cs="Times New Roman" w:hAnsi="Times New Roman"/>
          <w:sz w:val="32"/>
          <w:szCs w:val="32"/>
        </w:rPr>
        <w:t>指以前年度尚未完成、结转到本年仍按原规定用途继续使用的资金。</w:t>
      </w:r>
    </w:p>
    <w:p>
      <w:pPr>
        <w:tabs>
          <w:tab w:val="left" w:pos="11490"/>
        </w:tabs>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b/>
          <w:sz w:val="32"/>
          <w:szCs w:val="32"/>
        </w:rPr>
        <w:t>10、事业单位经营支出：</w:t>
      </w:r>
      <w:r>
        <w:rPr>
          <w:rFonts w:ascii="Times New Roman" w:eastAsia="仿宋_GB2312" w:cs="Times New Roman" w:hAnsi="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Chars="200" w:firstLine="640"/>
        <w:jc w:val="left"/>
        <w:rPr>
          <w:rFonts w:ascii="Times New Roman" w:eastAsia="黑体" w:cs="Times New Roman" w:hAnsi="Times New Roman"/>
          <w:sz w:val="32"/>
          <w:szCs w:val="32"/>
        </w:rPr>
      </w:pPr>
      <w:r>
        <w:rPr>
          <w:rFonts w:ascii="Times New Roman" w:eastAsia="黑体" w:cs="Times New Roman" w:hAnsi="Times New Roman"/>
          <w:sz w:val="32"/>
          <w:szCs w:val="32"/>
        </w:rPr>
        <w:t>九、其他需要说明的事项</w:t>
      </w:r>
    </w:p>
    <w:p>
      <w:pPr>
        <w:spacing w:line="584" w:lineRule="exact"/>
        <w:ind w:firstLineChars="200" w:firstLine="640"/>
        <w:rPr>
          <w:rFonts w:ascii="Times New Roman" w:eastAsia="仿宋_GB2312" w:cs="Times New Roman" w:hAnsi="Times New Roman"/>
          <w:sz w:val="32"/>
          <w:szCs w:val="32"/>
        </w:rPr>
      </w:pPr>
      <w:r>
        <w:rPr>
          <w:rFonts w:ascii="Times New Roman" w:eastAsia="仿宋_GB2312" w:cs="Times New Roman" w:hAnsi="Times New Roman"/>
          <w:sz w:val="32"/>
          <w:szCs w:val="32"/>
        </w:rPr>
        <w:t>我部门无其他需要说明的事项。</w:t>
      </w:r>
    </w:p>
    <w:sectPr>
      <w:footerReference w:type="default" r:id="rId2"/>
      <w:pgSz w:w="16838" w:h="11906" w:orient="landscape"/>
      <w:pgMar w:top="1800" w:right="1440" w:bottom="1800" w:left="1440" w:header="851" w:footer="992" w:gutter="0"/>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仿宋_GB2312">
    <w:altName w:val="永中仿宋"/>
    <w:panose1 w:val="02010609030101010101"/>
    <w:charset w:val="86"/>
    <w:family w:val="modern"/>
    <w:pitch w:val="variable"/>
    <w:sig w:usb0="00000001" w:usb1="080E0000" w:usb2="00000000" w:usb3="00000000" w:csb0="00040000" w:csb1="00000000"/>
  </w:font>
  <w:font w:name="方正小标宋简体">
    <w:altName w:val="宋体"/>
    <w:panose1 w:val="03000509000000000000"/>
    <w:charset w:val="86"/>
    <w:family w:val="auto"/>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黑体">
    <w:altName w:val="宋体"/>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variable"/>
    <w:sig w:usb0="00000000" w:usb1="00000000" w:usb2="00000000" w:usb3="00000000" w:csb0="00040000" w:csb1="00000000"/>
  </w:font>
  <w:font w:name="Calibri">
    <w:altName w:val="Lucida Sans Unicode"/>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jc w:val="center"/>
    </w:pPr>
    <w:r>
      <w:rPr>
        <w:rFonts w:hint="eastAsia"/>
      </w:rPr>
      <w:t>-</w:t>
    </w:r>
    <w:r>
      <w:fldChar w:fldCharType="begin"/>
    </w:r>
    <w:r>
      <w:instrText>PAGE   \* MERGEFORMAT</w:instrText>
    </w:r>
    <w:r>
      <w:fldChar w:fldCharType="separate"/>
    </w:r>
    <w:r>
      <w:rPr>
        <w:lang w:val="zh-CN"/>
      </w:rPr>
      <w:t>4</w:t>
    </w:r>
    <w:r>
      <w:rPr>
        <w:lang w:val="zh-CN"/>
      </w:rPr>
      <w:fldChar w:fldCharType="end"/>
    </w:r>
    <w:r>
      <w:rPr>
        <w:rFonts w:hint="eastAsia"/>
      </w:rPr>
      <w:t>-</w:t>
    </w:r>
  </w:p>
  <w:p>
    <w:pPr>
      <w:pStyle w:val="16"/>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F2752ED"/>
    <w:multiLevelType w:val="multilevel"/>
    <w:tmpl w:val="3F2752ED"/>
    <w:lvl w:ilvl="0">
      <w:start w:val="1"/>
      <w:numFmt w:val="chineseCountingThousand"/>
      <w:lvlRestart w:val="0"/>
      <w:lvlText w:val="（%1）"/>
      <w:lvlJc w:val="left"/>
      <w:pPr>
        <w:tabs>
          <w:tab w:val="num" w:pos="0"/>
        </w:tabs>
        <w:ind w:left="1619" w:hanging="979"/>
      </w:pPr>
    </w:lvl>
    <w:lvl w:ilvl="1">
      <w:start w:val="1"/>
      <w:numFmt w:val="lowerLetter"/>
      <w:lvlText w:val="%2)"/>
      <w:lvlJc w:val="left"/>
      <w:pPr>
        <w:tabs>
          <w:tab w:val="num" w:pos="0"/>
        </w:tabs>
        <w:ind w:left="1480" w:hanging="420"/>
      </w:pPr>
    </w:lvl>
    <w:lvl w:ilvl="2">
      <w:start w:val="1"/>
      <w:numFmt w:val="lowerRoman"/>
      <w:lvlText w:val="%3."/>
      <w:lvlJc w:val="right"/>
      <w:pPr>
        <w:tabs>
          <w:tab w:val="num" w:pos="0"/>
        </w:tabs>
        <w:ind w:left="1900" w:hanging="420"/>
      </w:pPr>
    </w:lvl>
    <w:lvl w:ilvl="3">
      <w:start w:val="1"/>
      <w:numFmt w:val="decimal"/>
      <w:lvlText w:val="%4."/>
      <w:lvlJc w:val="left"/>
      <w:pPr>
        <w:tabs>
          <w:tab w:val="num" w:pos="0"/>
        </w:tabs>
        <w:ind w:left="2320" w:hanging="420"/>
      </w:pPr>
    </w:lvl>
    <w:lvl w:ilvl="4">
      <w:start w:val="1"/>
      <w:numFmt w:val="lowerLetter"/>
      <w:lvlText w:val="%5)"/>
      <w:lvlJc w:val="left"/>
      <w:pPr>
        <w:tabs>
          <w:tab w:val="num" w:pos="0"/>
        </w:tabs>
        <w:ind w:left="2740" w:hanging="420"/>
      </w:pPr>
    </w:lvl>
    <w:lvl w:ilvl="5">
      <w:start w:val="1"/>
      <w:numFmt w:val="lowerRoman"/>
      <w:lvlText w:val="%6."/>
      <w:lvlJc w:val="right"/>
      <w:pPr>
        <w:tabs>
          <w:tab w:val="num" w:pos="0"/>
        </w:tabs>
        <w:ind w:left="3160" w:hanging="420"/>
      </w:pPr>
    </w:lvl>
    <w:lvl w:ilvl="6">
      <w:start w:val="1"/>
      <w:numFmt w:val="decimal"/>
      <w:lvlText w:val="%7."/>
      <w:lvlJc w:val="left"/>
      <w:pPr>
        <w:tabs>
          <w:tab w:val="num" w:pos="0"/>
        </w:tabs>
        <w:ind w:left="3580" w:hanging="420"/>
      </w:pPr>
    </w:lvl>
    <w:lvl w:ilvl="7">
      <w:start w:val="1"/>
      <w:numFmt w:val="lowerLetter"/>
      <w:lvlText w:val="%8)"/>
      <w:lvlJc w:val="left"/>
      <w:pPr>
        <w:tabs>
          <w:tab w:val="num" w:pos="0"/>
        </w:tabs>
        <w:ind w:left="4000" w:hanging="420"/>
      </w:pPr>
    </w:lvl>
    <w:lvl w:ilvl="8">
      <w:start w:val="1"/>
      <w:numFmt w:val="lowerRoman"/>
      <w:lvlText w:val="%9."/>
      <w:lvlJc w:val="right"/>
      <w:pPr>
        <w:tabs>
          <w:tab w:val="num" w:pos="0"/>
        </w:tabs>
        <w:ind w:left="4420" w:hanging="420"/>
      </w:p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rFonts w:ascii="Times New Roman" w:cs="Times New Roman" w:hAnsi="Times New Roman"/>
      <w:sz w:val="18"/>
      <w:szCs w:val="18"/>
    </w:rPr>
  </w:style>
  <w:style w:type="paragraph" w:styleId="17">
    <w:name w:val="header"/>
    <w:basedOn w:val="0"/>
    <w:pPr>
      <w:pBdr>
        <w:bottom w:val="single" w:sz="6" w:space="1" w:color="auto"/>
      </w:pBdr>
      <w:tabs>
        <w:tab w:val="center" w:pos="4153"/>
        <w:tab w:val="right" w:pos="8306"/>
      </w:tabs>
      <w:snapToGrid w:val="0"/>
      <w:jc w:val="center"/>
    </w:pPr>
    <w:rPr>
      <w:rFonts w:ascii="Times New Roman" w:cs="Times New Roman" w:hAnsi="Times New Roman"/>
      <w:sz w:val="18"/>
      <w:szCs w:val="18"/>
    </w:rPr>
  </w:style>
  <w:style w:type="paragraph" w:styleId="18">
    <w:name w:val="toc 1"/>
    <w:basedOn w:val="0"/>
    <w:next w:val="0"/>
    <w:rPr>
      <w:rFonts w:ascii="Times New Roman" w:cs="Times New Roman" w:hAnsi="Times New Roman"/>
      <w:szCs w:val="24"/>
    </w:rPr>
  </w:style>
  <w:style w:type="paragraph" w:styleId="19">
    <w:name w:val="footnote text"/>
    <w:basedOn w:val="0"/>
    <w:pPr>
      <w:snapToGrid w:val="0"/>
      <w:jc w:val="left"/>
    </w:pPr>
    <w:rPr>
      <w:rFonts w:cs="Times New Roman"/>
      <w:sz w:val="18"/>
      <w:szCs w:val="18"/>
    </w:rPr>
  </w:style>
  <w:style w:type="paragraph" w:styleId="20">
    <w:name w:val="toc 2"/>
    <w:basedOn w:val="0"/>
    <w:next w:val="0"/>
    <w:pPr>
      <w:ind w:leftChars="200" w:left="200"/>
    </w:pPr>
    <w:rPr>
      <w:rFonts w:ascii="Times New Roman" w:cs="Times New Roman" w:hAnsi="Times New Roman"/>
      <w:szCs w:val="24"/>
    </w:rPr>
  </w:style>
  <w:style w:type="character" w:styleId="21">
    <w:name w:val="footnote reference"/>
    <w:rPr>
      <w:vertAlign w:val="superscript"/>
    </w:rPr>
  </w:style>
  <w:style w:type="paragraph" w:customStyle="1" w:styleId="22">
    <w:name w:val="Default"/>
    <w:pPr>
      <w:widowControl w:val="0"/>
      <w:autoSpaceDE w:val="0"/>
      <w:autoSpaceDN w:val="0"/>
      <w:adjustRightInd w:val="0"/>
    </w:pPr>
    <w:rPr>
      <w:rFonts w:ascii="Times New Roman" w:eastAsia="宋体" w:cs="Times New Roman" w:hAnsi="Times New Roman"/>
      <w:color w:val="000000"/>
      <w:sz w:val="24"/>
      <w:szCs w:val="24"/>
      <w:lang w:val="en-US" w:eastAsia="zh-CN" w:bidi="ar-SA"/>
    </w:rPr>
  </w:style>
  <w:style w:type="paragraph" w:customStyle="1" w:styleId="23">
    <w:name w:val="p.MsoNormal"/>
    <w:next w:val="17"/>
    <w:pPr>
      <w:widowControl/>
      <w:jc w:val="both"/>
    </w:pPr>
    <w:rPr>
      <w:rFonts w:ascii="Calibri" w:eastAsia="Calibri" w:cs="Times New Roman" w:hAnsi="Calibri"/>
      <w:color w:val="auto"/>
      <w:position w:val="0"/>
      <w:sz w:val="21"/>
      <w:u w:val="none"/>
      <w:shd w:val="clear" w:color="auto" w:fill="auto"/>
      <w:lang w:val="en-US" w:eastAsia="en-US" w:bidi="ar-SA"/>
    </w:rPr>
  </w:style>
  <w:style w:type="paragraph" w:customStyle="1" w:styleId="24">
    <w:name w:val="[Normal]"/>
    <w:next w:val="16"/>
    <w:rPr>
      <w:rFonts w:ascii="宋体" w:eastAsia="宋体" w:cs="Times New Roman"/>
      <w:color w:val="auto"/>
      <w:position w:val="0"/>
      <w:sz w:val="24"/>
      <w:u w:val="none"/>
      <w:shd w:val="clear" w:color="auto" w:fill="au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9748</TotalTime>
  <Application>Yozo_Office</Application>
  <Pages>9</Pages>
  <Words>3495</Words>
  <Characters>3598</Characters>
  <Lines>151</Lines>
  <Paragraphs>100</Paragraphs>
  <CharactersWithSpaces>3633</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guest</dc:creator>
  <cp:lastModifiedBy>微软用户</cp:lastModifiedBy>
  <cp:revision>79</cp:revision>
  <cp:lastPrinted>2018-01-30T06:12:00Z</cp:lastPrinted>
  <dcterms:created xsi:type="dcterms:W3CDTF">2020-01-13T03:27:00Z</dcterms:created>
  <dcterms:modified xsi:type="dcterms:W3CDTF">2021-06-23T08:09:08Z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ies>
</file>