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年十一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年十一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大城县应急管理局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根据《大城县安全生产监督管理局主要职责、内设机构和人员编制规定》的通知，河北省大城县应急管理局的主要职责是：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承担县安全生产委员会的日常工作。具体职责是：组织实施国家和省、市有关安全生产的法律、法规和重大重大方针政策，落实县安委会有关抓好安全生产的各项措施；监督检查、指导协调县政府有关部门和各乡镇（区）人民政府（管委会）的安全生产工作；组织政府安全生产大检查和专项督查；参与研究有关部门在产业政策、资金投入、科技发展等工作中涉及安全生产的相关工作；负责组织县政府重大事故调查处理和办理结案工作；组织协调重特大事故应急救援工作；指导协调全县安全生产行政执法工作；承办县安委会召开的会议和重要活动，督促、检查安委会会议决定事项的贯彻落实情况；承办县安委会交办的其他事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综合管理全县安全生产工作。组织起草贯彻执行国家、省、市安全生产方面法律法规的地方性文件，研究拟订安全生产工作方针政策的实施办法，组织实施工矿商贸行业安全生产标准及有关综合性安全生产规章规程。</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3、依法行使县安全生产综合监督管理职权，指导、协调和监督有关部门安全生产监督管理工作；制定全县安全生产发展规划；定期分析和预测全县安全生产形势，研究、协调和解决安全生产中的重大问题。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负责发布全县安全生产信息，综合管理全县生产安全伤亡事故调度统计和安全生产行政执法分析工作；已发组织、协调重大事故的调差处理工作，参与特大事故的调查处理工作，并监督事故查处的落实情况；组织、指挥和协调安全生产应急救援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5、负责综合监督管理危险化学品和非煤矿山安全生产工作。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指导、协调全县安全生产检测检验工作；组织实施对工矿商贸企业安全生产条件和有关设备（特种设备除外，特种设备包括锅炉、压力容器、压力管道、电梯、游乐设施、客运索道等，下同）进行检测检验、安全评价、安全培训、安全咨询等社会中介组织的资质管理工作，并进行监督检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组织、指导全县安全生产宣传教育工作，负责安全生产监督管理人员的培训、考核工作，依法组织、指导并监督特种作业人员（特种设备作业人员除外）的考核工作和生产经营单位主要经营管理者、安全管理人员的安全资格考核工作；监督检查生产经营单位安全培训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8、负责监督管理县管理的工矿商贸企业安全生产工作，依法监督工矿商贸企业贯彻执行安全生产法律、法规情况及其安全生产条件和有关设备（特种设备除外）、材料、劳动防护用品的安全管理工作。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依法监督检查新建、改建、扩建工程项目的安全设施与主体工程同时设计、同时施工、同时投产与使用情况；依法监督检查生产经营单位作业城所职业卫生情况和重大危险源监控、重大事故隐患的整改工作，依法查处不具备安全生产条件的生产经营单位。</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10、拟订安全生产科技规划，组织、指导安全生产重大科学技术研究和技术示范工作。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11、组织实施注册安全工程师执业资格制度，监督和指导注册安全工程师执业资格考试和注册工作。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12、组织开展安全生产方面的交流与合作。</w:t>
      </w:r>
    </w:p>
    <w:p>
      <w:pPr>
        <w:ind w:firstLine="640" w:firstLineChars="200"/>
        <w:rPr>
          <w:rFonts w:hint="eastAsia" w:ascii="楷体_GB2312" w:hAnsi="楷体_GB2312" w:eastAsia="楷体_GB2312" w:cs="楷体_GB2312"/>
          <w:b/>
          <w:sz w:val="32"/>
          <w:szCs w:val="32"/>
          <w:highlight w:val="red"/>
        </w:rPr>
      </w:pPr>
      <w:r>
        <w:rPr>
          <w:rFonts w:hint="eastAsia" w:ascii="仿宋_GB2312" w:hAnsi="仿宋_GB2312" w:eastAsia="仿宋_GB2312" w:cs="仿宋_GB2312"/>
          <w:sz w:val="32"/>
          <w:szCs w:val="32"/>
        </w:rPr>
        <w:t>13、承办县政府交办的其他事项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大城县应急管理局</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本部门2019年度收支总计（含结转和结余）</w:t>
      </w:r>
      <w:r>
        <w:rPr>
          <w:rFonts w:hint="default" w:ascii="Times New Roman" w:hAnsi="Times New Roman" w:eastAsia="Times New Roman"/>
          <w:sz w:val="32"/>
        </w:rPr>
        <w:t>894.95</w:t>
      </w:r>
      <w:r>
        <w:rPr>
          <w:rFonts w:hint="eastAsia" w:ascii="仿宋_GB2312" w:hAnsi="Times New Roman" w:eastAsia="仿宋_GB2312" w:cs="DengXian-Regular"/>
          <w:sz w:val="32"/>
          <w:szCs w:val="32"/>
        </w:rPr>
        <w:t>万元。与2018年度决算相比，收支各增加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160.16</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21.8%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人员经费支出</w:t>
      </w:r>
      <w:r>
        <w:rPr>
          <w:rFonts w:hint="eastAsia" w:ascii="仿宋_GB2312" w:hAnsi="Times New Roman" w:eastAsia="仿宋_GB2312" w:cs="DengXian-Regular"/>
          <w:sz w:val="32"/>
          <w:szCs w:val="32"/>
          <w:lang w:val="en-US" w:eastAsia="zh-CN"/>
        </w:rPr>
        <w:t>增加.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本部门2019年度本年收入合计</w:t>
      </w:r>
      <w:r>
        <w:rPr>
          <w:rFonts w:hint="default" w:ascii="Times New Roman" w:hAnsi="Times New Roman" w:eastAsia="Times New Roman"/>
          <w:sz w:val="32"/>
        </w:rPr>
        <w:t>894.95</w:t>
      </w:r>
      <w:r>
        <w:rPr>
          <w:rFonts w:hint="eastAsia" w:ascii="仿宋_GB2312" w:hAnsi="Times New Roman" w:eastAsia="仿宋_GB2312" w:cs="DengXian-Regular"/>
          <w:sz w:val="32"/>
          <w:szCs w:val="32"/>
        </w:rPr>
        <w:t>万元，其中：财政拨款收入</w:t>
      </w:r>
      <w:r>
        <w:rPr>
          <w:rFonts w:hint="default" w:ascii="Times New Roman" w:hAnsi="Times New Roman" w:eastAsia="Times New Roman"/>
          <w:sz w:val="32"/>
        </w:rPr>
        <w:t>894.95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default" w:ascii="Times New Roman" w:hAnsi="Times New Roman" w:eastAsia="Times New Roman"/>
          <w:sz w:val="32"/>
        </w:rPr>
        <w:t>863.52</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508.29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58.86</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355.23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41.14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994185216" behindDoc="1" locked="0" layoutInCell="1" allowOverlap="1">
            <wp:simplePos x="0" y="0"/>
            <wp:positionH relativeFrom="column">
              <wp:posOffset>252095</wp:posOffset>
            </wp:positionH>
            <wp:positionV relativeFrom="paragraph">
              <wp:posOffset>172085</wp:posOffset>
            </wp:positionV>
            <wp:extent cx="5080000" cy="2679700"/>
            <wp:effectExtent l="0" t="0" r="6350" b="6350"/>
            <wp:wrapThrough wrapText="bothSides">
              <wp:wrapPolygon>
                <wp:start x="0" y="0"/>
                <wp:lineTo x="0" y="21498"/>
                <wp:lineTo x="21546" y="21498"/>
                <wp:lineTo x="21546" y="0"/>
                <wp:lineTo x="0" y="0"/>
              </wp:wrapPolygon>
            </wp:wrapThrough>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outlineLvl w:val="1"/>
        <w:rPr>
          <w:rFonts w:hint="eastAsia" w:ascii="黑体" w:hAnsi="Calibri" w:eastAsia="黑体" w:cs="Times New Roman"/>
          <w:sz w:val="32"/>
          <w:szCs w:val="32"/>
        </w:rPr>
      </w:pPr>
    </w:p>
    <w:p>
      <w:pPr>
        <w:keepNext/>
        <w:keepLines/>
        <w:snapToGrid w:val="0"/>
        <w:spacing w:line="580" w:lineRule="exact"/>
        <w:outlineLvl w:val="1"/>
        <w:rPr>
          <w:rFonts w:hint="eastAsia" w:ascii="黑体" w:hAnsi="Calibri" w:eastAsia="黑体" w:cs="Times New Roman"/>
          <w:sz w:val="32"/>
          <w:szCs w:val="32"/>
        </w:rPr>
      </w:pPr>
    </w:p>
    <w:p>
      <w:pPr>
        <w:keepNext/>
        <w:keepLines/>
        <w:snapToGrid w:val="0"/>
        <w:spacing w:line="580" w:lineRule="exact"/>
        <w:outlineLvl w:val="1"/>
        <w:rPr>
          <w:rFonts w:hint="eastAsia" w:ascii="黑体" w:hAnsi="Calibri" w:eastAsia="黑体" w:cs="Times New Roman"/>
          <w:sz w:val="32"/>
          <w:szCs w:val="32"/>
        </w:rPr>
      </w:pPr>
    </w:p>
    <w:p>
      <w:pPr>
        <w:keepNext/>
        <w:keepLines/>
        <w:snapToGrid w:val="0"/>
        <w:spacing w:line="580" w:lineRule="exact"/>
        <w:outlineLvl w:val="1"/>
        <w:rPr>
          <w:rFonts w:hint="eastAsia" w:ascii="黑体" w:hAnsi="Calibri" w:eastAsia="黑体" w:cs="Times New Roman"/>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图</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：支出构成情况（按支出性质）</w:t>
      </w:r>
    </w:p>
    <w:p>
      <w:pPr>
        <w:keepNext/>
        <w:keepLines/>
        <w:snapToGrid w:val="0"/>
        <w:spacing w:line="580" w:lineRule="exact"/>
        <w:outlineLvl w:val="1"/>
        <w:rPr>
          <w:rFonts w:hint="eastAsia" w:ascii="黑体" w:hAnsi="Calibri" w:eastAsia="黑体" w:cs="Times New Roman"/>
          <w:sz w:val="32"/>
          <w:szCs w:val="32"/>
        </w:rPr>
      </w:pPr>
    </w:p>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321" w:firstLineChars="1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hint="eastAsia" w:ascii="楷体_GB2312" w:hAnsi="Times New Roman" w:eastAsia="楷体_GB2312" w:cs="DengXian-Bold"/>
          <w:b w:val="0"/>
          <w:bCs w:val="0"/>
          <w:sz w:val="32"/>
          <w:szCs w:val="32"/>
          <w:lang w:eastAsia="zh-CN"/>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default" w:ascii="Times New Roman" w:hAnsi="Times New Roman" w:eastAsia="Times New Roman"/>
          <w:sz w:val="32"/>
        </w:rPr>
        <w:t>894.95</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160.16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人员经费支出</w:t>
      </w:r>
      <w:r>
        <w:rPr>
          <w:rFonts w:hint="eastAsia" w:ascii="仿宋_GB2312" w:hAnsi="Times New Roman" w:eastAsia="仿宋_GB2312" w:cs="DengXian-Regular"/>
          <w:sz w:val="32"/>
          <w:szCs w:val="32"/>
          <w:lang w:val="en-US" w:eastAsia="zh-CN"/>
        </w:rPr>
        <w:t>增加</w:t>
      </w:r>
      <w:r>
        <w:rPr>
          <w:rFonts w:hint="eastAsia" w:ascii="仿宋_GB2312" w:hAnsi="Times New Roman" w:eastAsia="仿宋_GB2312" w:cs="DengXian-Regular"/>
          <w:sz w:val="32"/>
          <w:szCs w:val="32"/>
        </w:rPr>
        <w:t>；本年支出</w:t>
      </w:r>
      <w:r>
        <w:rPr>
          <w:rFonts w:hint="default" w:ascii="Times New Roman" w:hAnsi="Times New Roman" w:eastAsia="Times New Roman"/>
          <w:sz w:val="32"/>
        </w:rPr>
        <w:t>863.52</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186.2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人员经费支出</w:t>
      </w:r>
      <w:r>
        <w:rPr>
          <w:rFonts w:hint="eastAsia" w:ascii="仿宋_GB2312" w:hAnsi="Times New Roman" w:eastAsia="仿宋_GB2312" w:cs="DengXian-Regular"/>
          <w:sz w:val="32"/>
          <w:szCs w:val="32"/>
          <w:lang w:val="en-US" w:eastAsia="zh-CN"/>
        </w:rPr>
        <w:t>增加</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（如图</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lang w:eastAsia="zh-CN"/>
        </w:rPr>
        <w:t>）</w:t>
      </w:r>
    </w:p>
    <w:p>
      <w:pPr>
        <w:snapToGrid w:val="0"/>
        <w:spacing w:line="580" w:lineRule="exact"/>
        <w:ind w:firstLine="960" w:firstLineChars="300"/>
        <w:rPr>
          <w:rFonts w:hint="eastAsia" w:ascii="楷体_GB2312" w:hAnsi="Times New Roman" w:eastAsia="楷体_GB2312" w:cs="DengXian-Bold"/>
          <w:b w:val="0"/>
          <w:bCs w:val="0"/>
          <w:sz w:val="32"/>
          <w:szCs w:val="32"/>
          <w:lang w:eastAsia="zh-CN"/>
        </w:rPr>
      </w:pPr>
      <w:r>
        <w:rPr>
          <w:rFonts w:hint="eastAsia" w:ascii="仿宋_GB2312" w:eastAsia="仿宋_GB2312" w:cs="DengXian-Regular"/>
          <w:sz w:val="32"/>
          <w:szCs w:val="32"/>
          <w:highlight w:val="yellow"/>
        </w:rPr>
        <w:drawing>
          <wp:anchor distT="0" distB="0" distL="114300" distR="114300" simplePos="0" relativeHeight="437287936" behindDoc="0" locked="0" layoutInCell="1" allowOverlap="1">
            <wp:simplePos x="0" y="0"/>
            <wp:positionH relativeFrom="column">
              <wp:posOffset>297815</wp:posOffset>
            </wp:positionH>
            <wp:positionV relativeFrom="paragraph">
              <wp:posOffset>207645</wp:posOffset>
            </wp:positionV>
            <wp:extent cx="4972685" cy="2846705"/>
            <wp:effectExtent l="4445" t="4445" r="13970" b="6350"/>
            <wp:wrapNone/>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1280" w:firstLineChars="400"/>
        <w:rPr>
          <w:rFonts w:hint="eastAsia" w:ascii="楷体_GB2312" w:hAnsi="Times New Roman" w:eastAsia="楷体_GB2312" w:cs="DengXian-Bold"/>
          <w:b w:val="0"/>
          <w:bCs w:val="0"/>
          <w:sz w:val="32"/>
          <w:szCs w:val="32"/>
        </w:rPr>
      </w:pPr>
      <w:r>
        <w:rPr>
          <w:rFonts w:hint="eastAsia" w:ascii="楷体_GB2312" w:hAnsi="Times New Roman" w:eastAsia="楷体_GB2312" w:cs="DengXian-Bold"/>
          <w:b w:val="0"/>
          <w:bCs w:val="0"/>
          <w:sz w:val="32"/>
          <w:szCs w:val="32"/>
          <w:lang w:eastAsia="zh-CN"/>
        </w:rPr>
        <w:t>图</w:t>
      </w:r>
      <w:r>
        <w:rPr>
          <w:rFonts w:hint="eastAsia" w:ascii="楷体_GB2312" w:hAnsi="Times New Roman" w:eastAsia="楷体_GB2312" w:cs="DengXian-Bold"/>
          <w:b w:val="0"/>
          <w:bCs w:val="0"/>
          <w:sz w:val="32"/>
          <w:szCs w:val="32"/>
          <w:lang w:val="en-US" w:eastAsia="zh-CN"/>
        </w:rPr>
        <w:t>2：</w:t>
      </w:r>
      <w:r>
        <w:rPr>
          <w:rFonts w:hint="eastAsia" w:ascii="楷体_GB2312" w:hAnsi="Times New Roman" w:eastAsia="楷体_GB2312" w:cs="DengXian-Bold"/>
          <w:b w:val="0"/>
          <w:bCs w:val="0"/>
          <w:sz w:val="32"/>
          <w:szCs w:val="32"/>
        </w:rPr>
        <w:t>财政拨款收支与2018 年度决算对比情况</w:t>
      </w: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hint="eastAsia" w:ascii="楷体_GB2312" w:hAnsi="Times New Roman" w:eastAsia="楷体_GB2312" w:cs="DengXian-Bold"/>
          <w:b/>
          <w:bCs/>
          <w:sz w:val="32"/>
          <w:szCs w:val="32"/>
          <w:lang w:eastAsia="zh-CN"/>
        </w:rPr>
      </w:pPr>
    </w:p>
    <w:p>
      <w:pPr>
        <w:snapToGrid w:val="0"/>
        <w:spacing w:line="580" w:lineRule="exact"/>
        <w:ind w:firstLine="643" w:firstLineChars="200"/>
        <w:rPr>
          <w:rFonts w:hint="eastAsia"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960" w:firstLineChars="3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w:t>
      </w:r>
      <w:r>
        <w:rPr>
          <w:rFonts w:hint="default" w:ascii="Times New Roman" w:hAnsi="Times New Roman" w:eastAsia="Times New Roman"/>
          <w:sz w:val="32"/>
        </w:rPr>
        <w:t>894.95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114.7</w:t>
      </w:r>
      <w:r>
        <w:rPr>
          <w:rFonts w:hint="eastAsia" w:ascii="仿宋_GB2312" w:hAnsi="Times New Roman" w:eastAsia="仿宋_GB2312" w:cs="DengXian-Regular"/>
          <w:sz w:val="32"/>
          <w:szCs w:val="32"/>
        </w:rPr>
        <w:t>%（如图</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114.99</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人员经费增加</w:t>
      </w:r>
      <w:r>
        <w:rPr>
          <w:rFonts w:hint="eastAsia" w:ascii="仿宋_GB2312" w:hAnsi="Times New Roman" w:eastAsia="仿宋_GB2312" w:cs="DengXian-Regular"/>
          <w:sz w:val="32"/>
          <w:szCs w:val="32"/>
        </w:rPr>
        <w:t>；本年支出</w:t>
      </w:r>
      <w:r>
        <w:rPr>
          <w:rFonts w:hint="default" w:ascii="Times New Roman" w:hAnsi="Times New Roman" w:eastAsia="Times New Roman"/>
          <w:sz w:val="32"/>
        </w:rPr>
        <w:t>863.52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110.7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83.56</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人员经费增加</w:t>
      </w:r>
      <w:r>
        <w:rPr>
          <w:rFonts w:hint="eastAsia" w:ascii="仿宋_GB2312" w:hAnsi="Times New Roman" w:eastAsia="仿宋_GB2312" w:cs="DengXian-Regular"/>
          <w:sz w:val="32"/>
          <w:szCs w:val="32"/>
        </w:rPr>
        <w:t>。</w:t>
      </w:r>
    </w:p>
    <w:p>
      <w:pPr>
        <w:adjustRightInd w:val="0"/>
        <w:snapToGrid w:val="0"/>
        <w:spacing w:after="0" w:line="580" w:lineRule="exact"/>
        <w:jc w:val="both"/>
        <w:rPr>
          <w:rFonts w:hint="eastAsia" w:eastAsia="仿宋_GB2312"/>
          <w:sz w:val="32"/>
          <w:szCs w:val="32"/>
        </w:rPr>
      </w:pPr>
      <w:r>
        <w:rPr>
          <w:rFonts w:hint="eastAsia" w:ascii="仿宋_GB2312" w:eastAsia="仿宋_GB2312" w:cs="DengXian-Regular"/>
          <w:sz w:val="32"/>
          <w:szCs w:val="32"/>
          <w:highlight w:val="yellow"/>
        </w:rPr>
        <w:drawing>
          <wp:anchor distT="0" distB="0" distL="114300" distR="114300" simplePos="0" relativeHeight="622918656" behindDoc="0" locked="0" layoutInCell="1" allowOverlap="1">
            <wp:simplePos x="0" y="0"/>
            <wp:positionH relativeFrom="column">
              <wp:posOffset>306070</wp:posOffset>
            </wp:positionH>
            <wp:positionV relativeFrom="paragraph">
              <wp:posOffset>261620</wp:posOffset>
            </wp:positionV>
            <wp:extent cx="4982210" cy="2914650"/>
            <wp:effectExtent l="4445" t="4445" r="23495" b="14605"/>
            <wp:wrapNone/>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after="0" w:line="580" w:lineRule="exact"/>
        <w:ind w:firstLine="2240" w:firstLineChars="700"/>
        <w:jc w:val="both"/>
        <w:rPr>
          <w:rFonts w:hint="eastAsia" w:eastAsia="仿宋_GB2312"/>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after="0" w:line="580" w:lineRule="exact"/>
        <w:ind w:firstLine="1920" w:firstLineChars="600"/>
        <w:jc w:val="both"/>
        <w:rPr>
          <w:rFonts w:ascii="仿宋_GB2312" w:eastAsia="仿宋_GB2312" w:cs="DengXian-Regular"/>
          <w:sz w:val="24"/>
        </w:rPr>
      </w:pPr>
      <w:r>
        <w:rPr>
          <w:rFonts w:hint="eastAsia" w:eastAsia="仿宋_GB2312"/>
          <w:sz w:val="32"/>
          <w:szCs w:val="32"/>
        </w:rPr>
        <w:t>图</w:t>
      </w:r>
      <w:r>
        <w:rPr>
          <w:rFonts w:hint="eastAsia" w:eastAsia="仿宋_GB2312"/>
          <w:sz w:val="32"/>
          <w:szCs w:val="32"/>
          <w:lang w:val="en-US" w:eastAsia="zh-CN"/>
        </w:rPr>
        <w:t>3</w:t>
      </w:r>
      <w:r>
        <w:rPr>
          <w:rFonts w:hint="eastAsia" w:eastAsia="仿宋_GB2312"/>
          <w:sz w:val="32"/>
          <w:szCs w:val="32"/>
        </w:rPr>
        <w:t>：财政拨款收支预决算对比情况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863.52</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社会保障和就业支出20.59万元，占</w:t>
      </w:r>
      <w:r>
        <w:rPr>
          <w:rFonts w:hint="eastAsia" w:ascii="仿宋_GB2312" w:hAnsi="Times New Roman" w:eastAsia="仿宋_GB2312" w:cs="DengXian-Regular"/>
          <w:sz w:val="32"/>
          <w:szCs w:val="32"/>
          <w:lang w:val="en-US" w:eastAsia="zh-CN"/>
        </w:rPr>
        <w:t>2.38</w:t>
      </w:r>
      <w:r>
        <w:rPr>
          <w:rFonts w:hint="eastAsia" w:ascii="仿宋_GB2312" w:hAnsi="Times New Roman" w:eastAsia="仿宋_GB2312" w:cs="DengXian-Regular"/>
          <w:sz w:val="32"/>
          <w:szCs w:val="32"/>
        </w:rPr>
        <w:t>%；卫生健康支出14.06万元，占</w:t>
      </w:r>
      <w:r>
        <w:rPr>
          <w:rFonts w:hint="eastAsia" w:ascii="仿宋_GB2312" w:hAnsi="Times New Roman" w:eastAsia="仿宋_GB2312" w:cs="DengXian-Regular"/>
          <w:sz w:val="32"/>
          <w:szCs w:val="32"/>
          <w:lang w:val="en-US" w:eastAsia="zh-CN"/>
        </w:rPr>
        <w:t>1.63</w:t>
      </w:r>
      <w:r>
        <w:rPr>
          <w:rFonts w:hint="eastAsia" w:ascii="仿宋_GB2312" w:hAnsi="Times New Roman" w:eastAsia="仿宋_GB2312" w:cs="DengXian-Regular"/>
          <w:sz w:val="32"/>
          <w:szCs w:val="32"/>
        </w:rPr>
        <w:t>%；农林水支出5.6</w:t>
      </w:r>
      <w:r>
        <w:rPr>
          <w:rFonts w:hint="eastAsia" w:ascii="仿宋_GB2312" w:hAnsi="Times New Roman" w:eastAsia="仿宋_GB2312" w:cs="DengXian-Regular"/>
          <w:sz w:val="32"/>
          <w:szCs w:val="32"/>
          <w:lang w:eastAsia="zh-CN"/>
        </w:rPr>
        <w:t>万元，占</w:t>
      </w:r>
      <w:r>
        <w:rPr>
          <w:rFonts w:hint="eastAsia" w:ascii="仿宋_GB2312" w:hAnsi="Times New Roman" w:eastAsia="仿宋_GB2312" w:cs="DengXian-Regular"/>
          <w:sz w:val="32"/>
          <w:szCs w:val="32"/>
          <w:lang w:val="en-US" w:eastAsia="zh-CN"/>
        </w:rPr>
        <w:t>0.65%；</w:t>
      </w:r>
      <w:r>
        <w:rPr>
          <w:rFonts w:hint="eastAsia" w:ascii="仿宋_GB2312" w:hAnsi="Times New Roman" w:eastAsia="仿宋_GB2312" w:cs="DengXian-Regular"/>
          <w:sz w:val="32"/>
          <w:szCs w:val="32"/>
          <w:lang w:eastAsia="zh-CN"/>
        </w:rPr>
        <w:t>住房保障支出1.21万元，占</w:t>
      </w:r>
      <w:r>
        <w:rPr>
          <w:rFonts w:hint="eastAsia" w:ascii="仿宋_GB2312" w:hAnsi="Times New Roman" w:eastAsia="仿宋_GB2312" w:cs="DengXian-Regular"/>
          <w:sz w:val="32"/>
          <w:szCs w:val="32"/>
          <w:lang w:val="en-US" w:eastAsia="zh-CN"/>
        </w:rPr>
        <w:t>0.14%；</w:t>
      </w:r>
      <w:r>
        <w:rPr>
          <w:rFonts w:hint="eastAsia" w:ascii="仿宋_GB2312" w:hAnsi="Times New Roman" w:eastAsia="仿宋_GB2312" w:cs="DengXian-Regular"/>
          <w:sz w:val="32"/>
          <w:szCs w:val="32"/>
        </w:rPr>
        <w:t>灾害防治及应急管理支出822.06万元，占</w:t>
      </w:r>
      <w:r>
        <w:rPr>
          <w:rFonts w:hint="eastAsia" w:ascii="仿宋_GB2312" w:hAnsi="Times New Roman" w:eastAsia="仿宋_GB2312" w:cs="DengXian-Regular"/>
          <w:sz w:val="32"/>
          <w:szCs w:val="32"/>
          <w:lang w:val="en-US" w:eastAsia="zh-CN"/>
        </w:rPr>
        <w:t>95.2</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adjustRightInd w:val="0"/>
        <w:snapToGrid w:val="0"/>
        <w:spacing w:line="580" w:lineRule="exact"/>
        <w:rPr>
          <w:rFonts w:hint="eastAsia" w:ascii="楷体_GB2312" w:hAnsi="Times New Roman" w:eastAsia="楷体_GB2312" w:cs="DengXian-Bold"/>
          <w:b/>
          <w:bCs/>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p>
    <w:p>
      <w:pPr>
        <w:adjustRightInd w:val="0"/>
        <w:snapToGrid w:val="0"/>
        <w:spacing w:line="580" w:lineRule="exact"/>
        <w:ind w:firstLine="960" w:firstLineChars="3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994186240" behindDoc="0" locked="0" layoutInCell="1" allowOverlap="1">
            <wp:simplePos x="0" y="0"/>
            <wp:positionH relativeFrom="column">
              <wp:posOffset>614045</wp:posOffset>
            </wp:positionH>
            <wp:positionV relativeFrom="paragraph">
              <wp:posOffset>-2920365</wp:posOffset>
            </wp:positionV>
            <wp:extent cx="4536440" cy="3200400"/>
            <wp:effectExtent l="4445" t="4445" r="12065" b="14605"/>
            <wp:wrapSquare wrapText="bothSides"/>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pPr>
        <w:adjustRightInd w:val="0"/>
        <w:snapToGrid w:val="0"/>
        <w:spacing w:line="580" w:lineRule="exact"/>
        <w:ind w:firstLine="960" w:firstLineChars="3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图</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财政拨款支出决算结构（按功能分类）</w: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hint="eastAsia" w:ascii="楷体_GB2312" w:hAnsi="Times New Roman" w:eastAsia="楷体_GB2312" w:cs="DengXian-Bold"/>
          <w:b/>
          <w:bCs/>
          <w:sz w:val="32"/>
          <w:szCs w:val="32"/>
          <w:lang w:eastAsia="zh-CN"/>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508.29</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470.33</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37.97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default" w:ascii="仿宋_GB2312" w:hAnsi="Times New Roman" w:eastAsia="仿宋_GB2312" w:cs="DengXian-Regular"/>
          <w:sz w:val="32"/>
          <w:szCs w:val="32"/>
          <w:lang w:val="en-US" w:eastAsia="zh-CN"/>
        </w:rPr>
        <w:t>3.5</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较2018年度增加</w:t>
      </w:r>
      <w:r>
        <w:rPr>
          <w:rFonts w:hint="default"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default"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是与</w:t>
      </w:r>
      <w:r>
        <w:rPr>
          <w:rFonts w:hint="eastAsia" w:ascii="仿宋_GB2312" w:hAnsi="Times New Roman" w:eastAsia="仿宋_GB2312" w:cs="DengXian-Regular"/>
          <w:sz w:val="32"/>
          <w:szCs w:val="32"/>
          <w:lang w:val="en-US" w:eastAsia="zh-CN"/>
        </w:rPr>
        <w:t>2018年决算支出持平</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4"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 w:hAnsi="仿宋" w:eastAsia="仿宋" w:cs="仿宋"/>
          <w:sz w:val="32"/>
          <w:szCs w:val="32"/>
        </w:rPr>
        <w:t>本部门201</w:t>
      </w:r>
      <w:r>
        <w:rPr>
          <w:rFonts w:hint="eastAsia" w:ascii="仿宋" w:hAnsi="仿宋" w:eastAsia="仿宋" w:cs="仿宋"/>
          <w:sz w:val="32"/>
          <w:szCs w:val="32"/>
          <w:lang w:val="en-US" w:eastAsia="zh-CN"/>
        </w:rPr>
        <w:t>9</w:t>
      </w:r>
      <w:r>
        <w:rPr>
          <w:rFonts w:hint="eastAsia" w:ascii="仿宋" w:hAnsi="仿宋" w:eastAsia="仿宋" w:cs="仿宋"/>
          <w:sz w:val="32"/>
          <w:szCs w:val="32"/>
        </w:rPr>
        <w:t>年度因公出国（境）团组0个、共0人/参加其他单位组织的因公出国（境）团组0个、共0人/无本单位组织的出国（境）团组。因公出国（境）费支出</w:t>
      </w:r>
      <w:r>
        <w:rPr>
          <w:rFonts w:hint="eastAsia" w:ascii="仿宋" w:hAnsi="仿宋" w:eastAsia="仿宋" w:cs="仿宋"/>
          <w:sz w:val="32"/>
          <w:szCs w:val="32"/>
          <w:lang w:eastAsia="zh-CN"/>
        </w:rPr>
        <w:t>较</w:t>
      </w:r>
      <w:r>
        <w:rPr>
          <w:rFonts w:hint="eastAsia" w:ascii="仿宋" w:hAnsi="仿宋" w:eastAsia="仿宋" w:cs="仿宋"/>
          <w:sz w:val="32"/>
          <w:szCs w:val="32"/>
        </w:rPr>
        <w:t>预算</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0万元，增长0%，主要是与年初预算</w:t>
      </w:r>
      <w:r>
        <w:rPr>
          <w:rFonts w:hint="eastAsia" w:ascii="仿宋" w:hAnsi="仿宋" w:eastAsia="仿宋" w:cs="仿宋"/>
          <w:sz w:val="32"/>
          <w:szCs w:val="32"/>
        </w:rPr>
        <w:t>持平</w:t>
      </w:r>
      <w:r>
        <w:rPr>
          <w:rFonts w:hint="eastAsia" w:ascii="仿宋" w:hAnsi="仿宋" w:eastAsia="仿宋" w:cs="仿宋"/>
          <w:sz w:val="32"/>
          <w:szCs w:val="32"/>
          <w:lang w:eastAsia="zh-CN"/>
        </w:rPr>
        <w:t>；较上年增加</w:t>
      </w:r>
      <w:r>
        <w:rPr>
          <w:rFonts w:hint="eastAsia" w:ascii="仿宋" w:hAnsi="仿宋" w:eastAsia="仿宋" w:cs="仿宋"/>
          <w:sz w:val="32"/>
          <w:szCs w:val="32"/>
          <w:lang w:val="en-US" w:eastAsia="zh-CN"/>
        </w:rPr>
        <w:t>0万元，增长0%，主要是与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年度决算持平。</w:t>
      </w:r>
    </w:p>
    <w:p>
      <w:pPr>
        <w:numPr>
          <w:ilvl w:val="0"/>
          <w:numId w:val="2"/>
        </w:numPr>
        <w:adjustRightInd w:val="0"/>
        <w:snapToGrid w:val="0"/>
        <w:spacing w:line="580" w:lineRule="exact"/>
        <w:ind w:left="0" w:leftChars="0"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公务用车购置及运行维护费支出</w:t>
      </w:r>
      <w:r>
        <w:rPr>
          <w:rFonts w:hint="default" w:ascii="楷体_GB2312" w:hAnsi="Times New Roman" w:eastAsia="楷体_GB2312" w:cs="DengXian-Bold"/>
          <w:b/>
          <w:bCs/>
          <w:sz w:val="32"/>
          <w:szCs w:val="32"/>
          <w:lang w:val="en-US" w:eastAsia="zh-CN"/>
        </w:rPr>
        <w:t>3.5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0万元，降低0%，主要是</w:t>
      </w:r>
      <w:r>
        <w:rPr>
          <w:rFonts w:hint="eastAsia" w:ascii="仿宋" w:hAnsi="仿宋" w:eastAsia="仿宋" w:cs="仿宋"/>
          <w:sz w:val="32"/>
          <w:szCs w:val="32"/>
          <w:lang w:val="en-US" w:eastAsia="zh-CN"/>
        </w:rPr>
        <w:t>与年初预算</w:t>
      </w:r>
      <w:r>
        <w:rPr>
          <w:rFonts w:hint="eastAsia" w:ascii="仿宋" w:hAnsi="仿宋" w:eastAsia="仿宋" w:cs="仿宋"/>
          <w:sz w:val="32"/>
          <w:szCs w:val="32"/>
        </w:rPr>
        <w:t>持平</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减少</w:t>
      </w:r>
      <w:r>
        <w:rPr>
          <w:rFonts w:hint="default"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default"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是与</w:t>
      </w:r>
      <w:r>
        <w:rPr>
          <w:rFonts w:hint="eastAsia" w:ascii="仿宋_GB2312" w:hAnsi="Times New Roman" w:eastAsia="仿宋_GB2312" w:cs="DengXian-Regular"/>
          <w:sz w:val="32"/>
          <w:szCs w:val="32"/>
          <w:lang w:val="en-US" w:eastAsia="zh-CN"/>
        </w:rPr>
        <w:t>2018年决算支出持平。</w:t>
      </w:r>
    </w:p>
    <w:p>
      <w:pPr>
        <w:numPr>
          <w:numId w:val="0"/>
        </w:numPr>
        <w:adjustRightInd w:val="0"/>
        <w:snapToGrid w:val="0"/>
        <w:spacing w:line="580" w:lineRule="exact"/>
        <w:ind w:left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其中：</w:t>
      </w:r>
    </w:p>
    <w:p>
      <w:pPr>
        <w:numPr>
          <w:ilvl w:val="0"/>
          <w:numId w:val="0"/>
        </w:numPr>
        <w:adjustRightInd w:val="0"/>
        <w:snapToGrid w:val="0"/>
        <w:spacing w:line="584"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0万元，增长0%，主要是</w:t>
      </w:r>
      <w:r>
        <w:rPr>
          <w:rFonts w:hint="eastAsia" w:ascii="仿宋" w:hAnsi="仿宋" w:eastAsia="仿宋" w:cs="仿宋"/>
          <w:sz w:val="32"/>
          <w:szCs w:val="32"/>
          <w:lang w:val="en-US" w:eastAsia="zh-CN"/>
        </w:rPr>
        <w:t>与年初预算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0%，主要是</w:t>
      </w:r>
      <w:r>
        <w:rPr>
          <w:rFonts w:hint="eastAsia" w:ascii="仿宋" w:hAnsi="仿宋" w:eastAsia="仿宋" w:cs="仿宋"/>
          <w:sz w:val="32"/>
          <w:szCs w:val="32"/>
          <w:lang w:eastAsia="zh-CN"/>
        </w:rPr>
        <w:t>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年度决算持平</w:t>
      </w:r>
      <w:r>
        <w:rPr>
          <w:rFonts w:hint="eastAsia" w:ascii="仿宋" w:hAnsi="仿宋" w:eastAsia="仿宋" w:cs="仿宋"/>
          <w:sz w:val="32"/>
          <w:szCs w:val="32"/>
          <w:lang w:eastAsia="zh-CN"/>
        </w:rPr>
        <w:t>。</w:t>
      </w:r>
    </w:p>
    <w:p>
      <w:pPr>
        <w:numPr>
          <w:numId w:val="0"/>
        </w:numPr>
        <w:adjustRightInd w:val="0"/>
        <w:snapToGrid w:val="0"/>
        <w:spacing w:line="584"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0万元，增长0%，主要是</w:t>
      </w:r>
      <w:r>
        <w:rPr>
          <w:rFonts w:hint="eastAsia" w:ascii="仿宋" w:hAnsi="仿宋" w:eastAsia="仿宋" w:cs="仿宋"/>
          <w:sz w:val="32"/>
          <w:szCs w:val="32"/>
          <w:lang w:val="en-US" w:eastAsia="zh-CN"/>
        </w:rPr>
        <w:t>与年初预算</w:t>
      </w:r>
      <w:r>
        <w:rPr>
          <w:rFonts w:hint="eastAsia" w:ascii="仿宋" w:hAnsi="仿宋" w:eastAsia="仿宋" w:cs="仿宋"/>
          <w:sz w:val="32"/>
          <w:szCs w:val="32"/>
        </w:rPr>
        <w:t>持平</w:t>
      </w:r>
      <w:r>
        <w:rPr>
          <w:rFonts w:hint="eastAsia" w:ascii="仿宋" w:hAnsi="仿宋" w:eastAsia="仿宋" w:cs="仿宋"/>
          <w:sz w:val="32"/>
          <w:szCs w:val="32"/>
          <w:lang w:eastAsia="zh-CN"/>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bookmarkStart w:id="0" w:name="_GoBack"/>
      <w:bookmarkEnd w:id="0"/>
      <w:r>
        <w:rPr>
          <w:rFonts w:hint="eastAsia" w:ascii="仿宋_GB2312" w:hAnsi="Times New Roman" w:eastAsia="仿宋_GB2312" w:cs="DengXian-Regular"/>
          <w:sz w:val="32"/>
          <w:szCs w:val="32"/>
          <w:lang w:val="en-US" w:eastAsia="zh-CN"/>
        </w:rPr>
        <w:t>0%，主要是</w:t>
      </w:r>
      <w:r>
        <w:rPr>
          <w:rFonts w:hint="eastAsia" w:ascii="仿宋" w:hAnsi="仿宋" w:eastAsia="仿宋" w:cs="仿宋"/>
          <w:sz w:val="32"/>
          <w:szCs w:val="32"/>
          <w:lang w:eastAsia="zh-CN"/>
        </w:rPr>
        <w:t>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年度决算持平</w:t>
      </w:r>
      <w:r>
        <w:rPr>
          <w:rFonts w:hint="eastAsia" w:ascii="仿宋" w:hAnsi="仿宋" w:eastAsia="仿宋" w:cs="仿宋"/>
          <w:sz w:val="32"/>
          <w:szCs w:val="32"/>
          <w:lang w:eastAsia="zh-CN"/>
        </w:rPr>
        <w:t>。</w:t>
      </w:r>
    </w:p>
    <w:p>
      <w:pPr>
        <w:numPr>
          <w:ilvl w:val="0"/>
          <w:numId w:val="0"/>
        </w:numPr>
        <w:adjustRightInd w:val="0"/>
        <w:snapToGrid w:val="0"/>
        <w:spacing w:line="580" w:lineRule="exact"/>
        <w:ind w:left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w:t>
      </w:r>
      <w:r>
        <w:rPr>
          <w:rFonts w:hint="eastAsia" w:ascii="楷体_GB2312" w:hAnsi="Times New Roman" w:eastAsia="楷体_GB2312" w:cs="DengXian-Bold"/>
          <w:b/>
          <w:bCs/>
          <w:sz w:val="32"/>
          <w:szCs w:val="32"/>
          <w:lang w:eastAsia="zh-CN"/>
        </w:rPr>
        <w:t>三</w:t>
      </w:r>
      <w:r>
        <w:rPr>
          <w:rFonts w:hint="eastAsia" w:ascii="楷体_GB2312" w:hAnsi="Times New Roman" w:eastAsia="楷体_GB2312" w:cs="DengXian-Bold"/>
          <w:b/>
          <w:bCs/>
          <w:sz w:val="32"/>
          <w:szCs w:val="32"/>
        </w:rPr>
        <w:t>）公务接待费支出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p>
    <w:p>
      <w:pPr>
        <w:numPr>
          <w:numId w:val="0"/>
        </w:numPr>
        <w:adjustRightInd w:val="0"/>
        <w:snapToGrid w:val="0"/>
        <w:spacing w:line="584" w:lineRule="exact"/>
        <w:ind w:firstLine="640" w:firstLineChars="200"/>
        <w:rPr>
          <w:rFonts w:hint="default" w:ascii="仿宋" w:hAnsi="仿宋" w:eastAsia="仿宋" w:cs="仿宋"/>
          <w:sz w:val="32"/>
          <w:szCs w:val="32"/>
          <w:highlight w:val="yellow"/>
          <w:lang w:val="en-US" w:eastAsia="zh-CN"/>
        </w:rPr>
      </w:pPr>
      <w:r>
        <w:rPr>
          <w:rFonts w:hint="eastAsia" w:ascii="仿宋" w:hAnsi="仿宋" w:eastAsia="仿宋" w:cs="仿宋"/>
          <w:sz w:val="32"/>
          <w:szCs w:val="32"/>
        </w:rPr>
        <w:t>本部门</w:t>
      </w:r>
      <w:r>
        <w:rPr>
          <w:rFonts w:hint="eastAsia" w:ascii="仿宋" w:hAnsi="仿宋" w:eastAsia="仿宋" w:cs="仿宋"/>
          <w:sz w:val="32"/>
          <w:szCs w:val="32"/>
          <w:lang w:val="en-US" w:eastAsia="zh-CN"/>
        </w:rPr>
        <w:t>2019年度公务接待共0批次、0人次。公务接待费支出较预算减少0万元，降低0%，主要是与年初预算</w:t>
      </w:r>
      <w:r>
        <w:rPr>
          <w:rFonts w:hint="eastAsia" w:ascii="仿宋" w:hAnsi="仿宋" w:eastAsia="仿宋" w:cs="仿宋"/>
          <w:sz w:val="32"/>
          <w:szCs w:val="32"/>
        </w:rPr>
        <w:t>持平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较上年度减少0万元，降低0%，主要是与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年度决算持平</w:t>
      </w:r>
      <w:r>
        <w:rPr>
          <w:rFonts w:hint="eastAsia" w:ascii="仿宋" w:hAnsi="仿宋" w:eastAsia="仿宋" w:cs="仿宋"/>
          <w:sz w:val="32"/>
          <w:szCs w:val="32"/>
          <w:lang w:val="en-US" w:eastAsia="zh-CN"/>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spacing w:line="520" w:lineRule="exact"/>
        <w:ind w:right="210" w:rightChars="100" w:firstLine="640" w:firstLineChars="200"/>
        <w:rPr>
          <w:rFonts w:ascii="仿宋" w:hAnsi="仿宋" w:eastAsia="仿宋" w:cs="仿宋_GB2312"/>
          <w:color w:val="000000"/>
          <w:kern w:val="0"/>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个，共涉及资金</w:t>
      </w:r>
      <w:r>
        <w:rPr>
          <w:rFonts w:hint="eastAsia" w:ascii="仿宋" w:hAnsi="仿宋" w:eastAsia="仿宋" w:cs="仿宋_GB2312"/>
          <w:color w:val="000000"/>
          <w:kern w:val="0"/>
          <w:sz w:val="32"/>
          <w:szCs w:val="32"/>
        </w:rPr>
        <w:t>403.3</w:t>
      </w:r>
      <w:r>
        <w:rPr>
          <w:rFonts w:hint="eastAsia" w:ascii="仿宋" w:hAnsi="仿宋" w:eastAsia="仿宋" w:cs="仿宋_GB2312"/>
          <w:color w:val="000000"/>
          <w:kern w:val="0"/>
          <w:sz w:val="32"/>
          <w:szCs w:val="32"/>
          <w:lang w:val="en-US" w:eastAsia="zh-CN"/>
        </w:rPr>
        <w:t>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。组织对“执法业务费”“重点行业企业隐患排查资金”等</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个项目开展了部门评价，涉及一般公共预算支出</w:t>
      </w:r>
      <w:r>
        <w:rPr>
          <w:rFonts w:hint="eastAsia" w:ascii="仿宋" w:hAnsi="仿宋" w:eastAsia="仿宋" w:cs="仿宋_GB2312"/>
          <w:color w:val="000000"/>
          <w:kern w:val="0"/>
          <w:sz w:val="32"/>
          <w:szCs w:val="32"/>
        </w:rPr>
        <w:t>403.3</w:t>
      </w:r>
      <w:r>
        <w:rPr>
          <w:rFonts w:hint="eastAsia" w:ascii="仿宋" w:hAnsi="仿宋" w:eastAsia="仿宋" w:cs="仿宋_GB2312"/>
          <w:color w:val="000000"/>
          <w:kern w:val="0"/>
          <w:sz w:val="32"/>
          <w:szCs w:val="32"/>
          <w:lang w:val="en-US" w:eastAsia="zh-CN"/>
        </w:rPr>
        <w:t>1</w:t>
      </w:r>
      <w:r>
        <w:rPr>
          <w:rFonts w:hint="eastAsia" w:ascii="仿宋_GB2312" w:hAnsi="仿宋_GB2312" w:eastAsia="仿宋_GB2312" w:cs="仿宋_GB2312"/>
          <w:sz w:val="32"/>
          <w:szCs w:val="32"/>
        </w:rPr>
        <w:t>万元。从评价情况来看，</w:t>
      </w:r>
      <w:r>
        <w:rPr>
          <w:rFonts w:hint="eastAsia" w:ascii="Calibri" w:hAnsi="Calibri" w:eastAsia="仿宋_GB2312"/>
          <w:sz w:val="32"/>
          <w:szCs w:val="32"/>
        </w:rPr>
        <w:t>我单位能较好地完成项目</w:t>
      </w:r>
      <w:r>
        <w:rPr>
          <w:rFonts w:hint="eastAsia" w:ascii="Calibri" w:hAnsi="Calibri" w:eastAsia="仿宋_GB2312"/>
          <w:sz w:val="32"/>
          <w:szCs w:val="32"/>
          <w:lang w:eastAsia="zh-CN"/>
        </w:rPr>
        <w:t>，</w:t>
      </w:r>
      <w:r>
        <w:rPr>
          <w:rFonts w:hint="eastAsia" w:ascii="仿宋" w:hAnsi="仿宋" w:eastAsia="仿宋" w:cs="仿宋_GB2312"/>
          <w:color w:val="000000"/>
          <w:kern w:val="0"/>
          <w:sz w:val="32"/>
          <w:szCs w:val="32"/>
        </w:rPr>
        <w:t>本级财政预算403.3</w:t>
      </w:r>
      <w:r>
        <w:rPr>
          <w:rFonts w:hint="eastAsia" w:ascii="仿宋" w:hAnsi="仿宋" w:eastAsia="仿宋" w:cs="仿宋_GB2312"/>
          <w:color w:val="000000"/>
          <w:kern w:val="0"/>
          <w:sz w:val="32"/>
          <w:szCs w:val="32"/>
          <w:lang w:val="en-US" w:eastAsia="zh-CN"/>
        </w:rPr>
        <w:t>1</w:t>
      </w:r>
      <w:r>
        <w:rPr>
          <w:rFonts w:hint="eastAsia" w:ascii="仿宋" w:hAnsi="仿宋" w:eastAsia="仿宋" w:cs="仿宋_GB2312"/>
          <w:color w:val="000000"/>
          <w:kern w:val="0"/>
          <w:sz w:val="32"/>
          <w:szCs w:val="32"/>
        </w:rPr>
        <w:t>万元，实际执行355.2</w:t>
      </w:r>
      <w:r>
        <w:rPr>
          <w:rFonts w:hint="eastAsia" w:ascii="仿宋" w:hAnsi="仿宋" w:eastAsia="仿宋" w:cs="仿宋_GB2312"/>
          <w:color w:val="000000"/>
          <w:kern w:val="0"/>
          <w:sz w:val="32"/>
          <w:szCs w:val="32"/>
          <w:lang w:val="en-US" w:eastAsia="zh-CN"/>
        </w:rPr>
        <w:t>3</w:t>
      </w:r>
      <w:r>
        <w:rPr>
          <w:rFonts w:hint="eastAsia" w:ascii="仿宋" w:hAnsi="仿宋" w:eastAsia="仿宋" w:cs="仿宋_GB2312"/>
          <w:color w:val="000000"/>
          <w:kern w:val="0"/>
          <w:sz w:val="32"/>
          <w:szCs w:val="32"/>
        </w:rPr>
        <w:t>万元。优级项目自评17个.实际支出数控制在预算内，项目完成质量率达到90%。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本部门在今年部门决算公开中反映执法业务费项目及重点行业企业隐患排查资金项目等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执法业务费项目自评综述：根据年初设定的绩效目标，执法业务费项目绩效自评得分为</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分。全年预算数为33万元，执行数为32.999万元，完成预算的</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高危生产经营企业安全隐患排查数量</w:t>
      </w:r>
      <w:r>
        <w:rPr>
          <w:rFonts w:hint="eastAsia" w:ascii="仿宋_GB2312" w:hAnsi="仿宋_GB2312" w:eastAsia="仿宋_GB2312" w:cs="仿宋_GB2312"/>
          <w:sz w:val="32"/>
          <w:szCs w:val="32"/>
          <w:lang w:eastAsia="zh-CN"/>
        </w:rPr>
        <w:t>达到全县</w:t>
      </w:r>
      <w:r>
        <w:rPr>
          <w:rFonts w:hint="eastAsia" w:ascii="仿宋_GB2312" w:hAnsi="仿宋_GB2312" w:eastAsia="仿宋_GB2312" w:cs="仿宋_GB2312"/>
          <w:sz w:val="32"/>
          <w:szCs w:val="32"/>
        </w:rPr>
        <w:t>高危生产经营企业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95%；二是隐患</w:t>
      </w:r>
      <w:r>
        <w:rPr>
          <w:rFonts w:hint="eastAsia" w:ascii="仿宋_GB2312" w:hAnsi="仿宋_GB2312" w:eastAsia="仿宋_GB2312" w:cs="仿宋_GB2312"/>
          <w:sz w:val="32"/>
          <w:szCs w:val="32"/>
          <w:lang w:eastAsia="zh-CN"/>
        </w:rPr>
        <w:t>整改</w:t>
      </w:r>
      <w:r>
        <w:rPr>
          <w:rFonts w:hint="eastAsia" w:ascii="仿宋_GB2312" w:hAnsi="仿宋_GB2312" w:eastAsia="仿宋_GB2312" w:cs="仿宋_GB2312"/>
          <w:sz w:val="32"/>
          <w:szCs w:val="32"/>
        </w:rPr>
        <w:t>率</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存在问题、原因及下一步整改措施：</w:t>
      </w:r>
      <w:r>
        <w:rPr>
          <w:rFonts w:hint="eastAsia" w:ascii="仿宋_GB2312" w:hAnsi="仿宋_GB2312" w:eastAsia="仿宋_GB2312" w:cs="仿宋_GB2312"/>
          <w:sz w:val="32"/>
          <w:szCs w:val="32"/>
          <w:lang w:eastAsia="zh-CN"/>
        </w:rPr>
        <w:t>加强日常监管，</w:t>
      </w:r>
      <w:r>
        <w:rPr>
          <w:rFonts w:hint="eastAsia" w:ascii="仿宋_GB2312" w:hAnsi="仿宋_GB2312" w:eastAsia="仿宋_GB2312" w:cs="仿宋_GB2312"/>
          <w:sz w:val="32"/>
          <w:szCs w:val="32"/>
          <w:lang w:val="en-US" w:eastAsia="zh-CN"/>
        </w:rPr>
        <w:t>加快支出进度。</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重点行业企业隐患排查资金项目绩效自评综述：根据年初设定的绩效目标，重点行业企业隐患排查资金项目绩效自评得分为</w:t>
      </w:r>
      <w:r>
        <w:rPr>
          <w:rFonts w:hint="eastAsia" w:ascii="仿宋_GB2312" w:hAnsi="仿宋_GB2312" w:eastAsia="仿宋_GB2312" w:cs="仿宋_GB2312"/>
          <w:sz w:val="32"/>
          <w:szCs w:val="32"/>
          <w:lang w:val="en-US" w:eastAsia="zh-CN"/>
        </w:rPr>
        <w:t>99.4</w:t>
      </w:r>
      <w:r>
        <w:rPr>
          <w:rFonts w:hint="eastAsia" w:ascii="仿宋_GB2312" w:hAnsi="仿宋_GB2312" w:eastAsia="仿宋_GB2312" w:cs="仿宋_GB2312"/>
          <w:sz w:val="32"/>
          <w:szCs w:val="32"/>
        </w:rPr>
        <w:t>分。全年预算数为50万元，执行数为38.656万元，完成预算的</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。项目绩效目标完成情况：一是排查高危生产经营企业（家）安全隐患企业数量</w:t>
      </w:r>
      <w:r>
        <w:rPr>
          <w:rFonts w:hint="eastAsia" w:ascii="仿宋_GB2312" w:hAnsi="仿宋_GB2312" w:eastAsia="仿宋_GB2312" w:cs="仿宋_GB2312"/>
          <w:sz w:val="32"/>
          <w:szCs w:val="32"/>
          <w:lang w:eastAsia="zh-CN"/>
        </w:rPr>
        <w:t>达到全县的</w:t>
      </w:r>
      <w:r>
        <w:rPr>
          <w:rFonts w:hint="eastAsia" w:ascii="仿宋_GB2312" w:hAnsi="仿宋_GB2312" w:eastAsia="仿宋_GB2312" w:cs="仿宋_GB2312"/>
          <w:sz w:val="32"/>
          <w:szCs w:val="32"/>
        </w:rPr>
        <w:t>95%；二是隐患整改率≥90%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val="en-US" w:eastAsia="zh-CN"/>
        </w:rPr>
        <w:t>存在问题、原因及下一步整改措施：</w:t>
      </w:r>
      <w:r>
        <w:rPr>
          <w:rFonts w:hint="eastAsia" w:ascii="仿宋_GB2312" w:hAnsi="仿宋_GB2312" w:eastAsia="仿宋_GB2312" w:cs="仿宋_GB2312"/>
          <w:sz w:val="32"/>
          <w:szCs w:val="32"/>
          <w:lang w:eastAsia="zh-CN"/>
        </w:rPr>
        <w:t>加强日常监管，</w:t>
      </w:r>
      <w:r>
        <w:rPr>
          <w:rFonts w:hint="eastAsia" w:ascii="仿宋_GB2312" w:hAnsi="仿宋_GB2312" w:eastAsia="仿宋_GB2312" w:cs="仿宋_GB2312"/>
          <w:sz w:val="32"/>
          <w:szCs w:val="32"/>
          <w:lang w:val="en-US" w:eastAsia="zh-CN"/>
        </w:rPr>
        <w:t>加快支出进度。</w:t>
      </w:r>
    </w:p>
    <w:p>
      <w:pPr>
        <w:numPr>
          <w:ilvl w:val="0"/>
          <w:numId w:val="3"/>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组织应急预案编制及应急演练资金项目绩效自评综述：根据年初设定的绩效目标，组织应急预案编制及应急演练资金项目绩效自评得分为</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分。全年预算数为10万元，执行数为</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rPr>
        <w:t>。项目绩效目标完成情况：一是应急演练次≥1次数；二是应急预案演练完成率≥90%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val="en-US" w:eastAsia="zh-CN"/>
        </w:rPr>
        <w:t>存在问题、原因及下一步整改措施：</w:t>
      </w:r>
      <w:r>
        <w:rPr>
          <w:rFonts w:hint="eastAsia" w:ascii="仿宋_GB2312" w:hAnsi="仿宋_GB2312" w:eastAsia="仿宋_GB2312" w:cs="仿宋_GB2312"/>
          <w:sz w:val="32"/>
          <w:szCs w:val="32"/>
          <w:lang w:eastAsia="zh-CN"/>
        </w:rPr>
        <w:t>加强日常监管，</w:t>
      </w:r>
      <w:r>
        <w:rPr>
          <w:rFonts w:hint="eastAsia" w:ascii="仿宋_GB2312" w:hAnsi="仿宋_GB2312" w:eastAsia="仿宋_GB2312" w:cs="仿宋_GB2312"/>
          <w:sz w:val="32"/>
          <w:szCs w:val="32"/>
          <w:lang w:val="en-US" w:eastAsia="zh-CN"/>
        </w:rPr>
        <w:t>加快支出进度。</w:t>
      </w: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lang w:val="en-US" w:eastAsia="zh-CN"/>
        </w:rPr>
      </w:pPr>
    </w:p>
    <w:tbl>
      <w:tblPr>
        <w:tblStyle w:val="6"/>
        <w:tblW w:w="8861" w:type="dxa"/>
        <w:tblInd w:w="15"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2019年度）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执法业务费</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大城县应急管理局</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32.999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32.999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通过督导检查全县安全生产，最大限度地发现、纠正、督促企业消除各类隐患，预防和减少事故的发生，确保全县安全生产形势持续稳定好转</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通过督导检查全县安全生产，最大限度地发现、纠正、督促企业消除各类隐患，预防和减少事故的发生，确保全县安全生产形势持续稳定好转</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指标1：高危生产经营企业安全隐患排查数量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指标1：隐患排查率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指标1：完成及时性</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及时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及时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指标1：成本控制率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≤33万元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32.999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指标1：维稳程度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指标1：项目能正常运行</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能</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指标2：主管单位满意度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99.9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2019年度）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重点行业企业隐患排查资金</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大城县应急管理局</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50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38.656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94%%</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9.4</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41.2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41.2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38.656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Calibri" w:hAnsi="Calibri" w:eastAsia="仿宋_GB2312" w:cs="Times New Roman"/>
                <w:color w:val="000000"/>
                <w:szCs w:val="21"/>
              </w:rPr>
              <w:t>定期组织在全县开展安全生产督导检查活动，对重点行业和作业场所职业卫生安全生产进行督导检查，加强行政执法监察，依法对违法行为实施行政处罚</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排查重点隐患企业，对企业进行督导，监督企业对存在隐患地整改。</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排查高危生产经营企业（家）安全隐患企业数量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隐患整改率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完成及时性</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及时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及时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成本控制在预算内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38.656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维稳程度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项目能正常运行</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能</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r>
              <w:rPr>
                <w:rFonts w:hint="eastAsia" w:ascii="Times New Roman" w:hAnsi="Times New Roman" w:eastAsia="仿宋_GB2312" w:cs="Times New Roman"/>
              </w:rPr>
              <w:t>主管单位满意度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99.4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widowControl/>
        <w:jc w:val="left"/>
        <w:rPr>
          <w:rFonts w:ascii="仿宋" w:eastAsia="仿宋"/>
          <w:color w:val="000000"/>
          <w:kern w:val="0"/>
          <w:sz w:val="20"/>
          <w:szCs w:val="20"/>
        </w:rPr>
      </w:pPr>
    </w:p>
    <w:tbl>
      <w:tblPr>
        <w:tblStyle w:val="6"/>
        <w:tblW w:w="8861" w:type="dxa"/>
        <w:tblInd w:w="15"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kern w:val="0"/>
                <w:sz w:val="20"/>
                <w:szCs w:val="20"/>
              </w:rPr>
            </w:pPr>
          </w:p>
          <w:p>
            <w:pPr>
              <w:widowControl/>
              <w:jc w:val="center"/>
              <w:textAlignment w:val="center"/>
              <w:rPr>
                <w:rFonts w:ascii="仿宋" w:eastAsia="仿宋"/>
                <w:kern w:val="0"/>
                <w:sz w:val="20"/>
                <w:szCs w:val="20"/>
              </w:rPr>
            </w:pPr>
          </w:p>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2019 年度）</w:t>
            </w:r>
          </w:p>
        </w:tc>
      </w:tr>
      <w:tr>
        <w:tblPrEx>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组织应急预案编制及应急演练资金</w:t>
            </w:r>
          </w:p>
        </w:tc>
      </w:tr>
      <w:tr>
        <w:tblPrEx>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大城县应急管理局</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ascii="仿宋" w:eastAsia="仿宋"/>
                <w:kern w:val="0"/>
                <w:sz w:val="20"/>
                <w:szCs w:val="20"/>
              </w:rPr>
              <w:t>10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9.999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99.99%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9.99</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9.999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Calibri" w:hAnsi="Calibri" w:eastAsia="仿宋_GB2312" w:cs="Times New Roman"/>
                <w:color w:val="000000"/>
                <w:szCs w:val="21"/>
              </w:rPr>
              <w:t>定期组织在全县开展安全生产督导检查活动，对重点行业和作业场所职业卫生安全生产进行督导检查，加强行政执法监察，依法对违法行为实施行政处罚</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Calibri" w:hAnsi="Calibri" w:eastAsia="仿宋_GB2312" w:cs="Times New Roman"/>
                <w:color w:val="000000"/>
                <w:szCs w:val="21"/>
              </w:rPr>
              <w:t>定期组织在全县开展安全生产督导检查活动，对重点行业和作业场所职业卫生安全生产进行督导检查，加强行政执法监察，依法对违法行为实施行政处罚</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应急演练次数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应急预案演练完成率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完成及时性</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及时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及时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成本控制率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9.999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维稳程度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项目能正常运行</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能</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r>
              <w:rPr>
                <w:rFonts w:hint="eastAsia" w:ascii="Times New Roman" w:hAnsi="Times New Roman" w:eastAsia="仿宋_GB2312" w:cs="Times New Roman"/>
              </w:rPr>
              <w:t>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r>
              <w:rPr>
                <w:rFonts w:hint="eastAsia" w:ascii="Times New Roman" w:hAnsi="Times New Roman" w:eastAsia="仿宋_GB2312" w:cs="Times New Roman"/>
              </w:rPr>
              <w:t>主管单位满意度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99.99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本部门2019年度机关运行经费支出37</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96万元，比2018年度增加</w:t>
      </w:r>
      <w:r>
        <w:rPr>
          <w:rFonts w:hint="eastAsia" w:ascii="仿宋_GB2312" w:hAnsi="Times New Roman" w:eastAsia="仿宋_GB2312" w:cs="DengXian-Regular"/>
          <w:sz w:val="32"/>
          <w:szCs w:val="32"/>
          <w:lang w:val="en-US" w:eastAsia="zh-CN"/>
        </w:rPr>
        <w:t>7.76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25.7</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人员增加</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本部门2019年度政府采购支出总额47</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76万元，从采购类型来看，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Times New Roman" w:eastAsia="仿宋_GB2312" w:cs="DengXian-Regular"/>
          <w:sz w:val="32"/>
          <w:szCs w:val="32"/>
        </w:rPr>
        <w:t>47</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76</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Times New Roman" w:eastAsia="仿宋_GB2312" w:cs="DengXian-Regular"/>
          <w:sz w:val="32"/>
          <w:szCs w:val="32"/>
        </w:rPr>
        <w:t>47</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76</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新购置</w:t>
      </w:r>
      <w:r>
        <w:rPr>
          <w:rFonts w:hint="eastAsia" w:ascii="仿宋_GB2312" w:hAnsi="Times New Roman" w:eastAsia="仿宋_GB2312" w:cs="DengXian-Regular"/>
          <w:sz w:val="32"/>
          <w:szCs w:val="32"/>
          <w:lang w:val="en-US" w:eastAsia="zh-CN"/>
        </w:rPr>
        <w:t>6辆公务用车</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1. 本部门2019年度政府性基金无收支及结转结余情况，故</w:t>
      </w:r>
      <w:r>
        <w:rPr>
          <w:rFonts w:hint="eastAsia" w:ascii="仿宋_GB2312" w:hAnsi="Times New Roman" w:eastAsia="仿宋_GB2312" w:cs="DengXian-Regular"/>
          <w:sz w:val="32"/>
          <w:szCs w:val="32"/>
          <w:lang w:val="en-US" w:eastAsia="zh-CN"/>
        </w:rPr>
        <w:t>08</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 xml:space="preserve"> 本部门2019年度国有资本经营无收支及结转结余情况，故</w:t>
      </w:r>
      <w:r>
        <w:rPr>
          <w:rFonts w:hint="eastAsia" w:ascii="仿宋_GB2312" w:hAnsi="Times New Roman" w:eastAsia="仿宋_GB2312" w:cs="DengXian-Regular"/>
          <w:sz w:val="32"/>
          <w:szCs w:val="32"/>
          <w:lang w:val="en-US" w:eastAsia="zh-CN"/>
        </w:rPr>
        <w:t>09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417"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tabs>
          <w:tab w:val="left" w:pos="886"/>
        </w:tabs>
        <w:jc w:val="left"/>
      </w:pPr>
    </w:p>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247" w:right="1417" w:bottom="124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0CFFF"/>
    <w:multiLevelType w:val="singleLevel"/>
    <w:tmpl w:val="8A80CFFF"/>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34471B6"/>
    <w:rsid w:val="04343B21"/>
    <w:rsid w:val="05B00A30"/>
    <w:rsid w:val="05B709BD"/>
    <w:rsid w:val="074835EA"/>
    <w:rsid w:val="077A107B"/>
    <w:rsid w:val="09367D83"/>
    <w:rsid w:val="09ED5D09"/>
    <w:rsid w:val="0B011416"/>
    <w:rsid w:val="0C152296"/>
    <w:rsid w:val="12571170"/>
    <w:rsid w:val="1B5C025C"/>
    <w:rsid w:val="1BEA02CB"/>
    <w:rsid w:val="1C707637"/>
    <w:rsid w:val="1CD90CCB"/>
    <w:rsid w:val="22F8173F"/>
    <w:rsid w:val="2E46444C"/>
    <w:rsid w:val="31C2036A"/>
    <w:rsid w:val="320D02A5"/>
    <w:rsid w:val="33A30799"/>
    <w:rsid w:val="348E566F"/>
    <w:rsid w:val="34AC5454"/>
    <w:rsid w:val="38005D29"/>
    <w:rsid w:val="3A226944"/>
    <w:rsid w:val="3AEE6A48"/>
    <w:rsid w:val="3C1620AA"/>
    <w:rsid w:val="3D8F080F"/>
    <w:rsid w:val="3E51727B"/>
    <w:rsid w:val="420B4AE1"/>
    <w:rsid w:val="421E2378"/>
    <w:rsid w:val="429745CC"/>
    <w:rsid w:val="44CE1FA4"/>
    <w:rsid w:val="46EC5B81"/>
    <w:rsid w:val="487F73ED"/>
    <w:rsid w:val="4A347EAE"/>
    <w:rsid w:val="4B19554A"/>
    <w:rsid w:val="52600405"/>
    <w:rsid w:val="529B4319"/>
    <w:rsid w:val="57773DD6"/>
    <w:rsid w:val="578B79AB"/>
    <w:rsid w:val="59F82BD2"/>
    <w:rsid w:val="5B9264F0"/>
    <w:rsid w:val="5CCD3FD5"/>
    <w:rsid w:val="5DF208F4"/>
    <w:rsid w:val="5F716EC6"/>
    <w:rsid w:val="61FA5F9D"/>
    <w:rsid w:val="63DE68B1"/>
    <w:rsid w:val="64CD6910"/>
    <w:rsid w:val="6789158D"/>
    <w:rsid w:val="67D81BA4"/>
    <w:rsid w:val="6AAF1C96"/>
    <w:rsid w:val="6F5E1F95"/>
    <w:rsid w:val="75681757"/>
    <w:rsid w:val="75A346A8"/>
    <w:rsid w:val="75E60DF7"/>
    <w:rsid w:val="76431E72"/>
    <w:rsid w:val="76E51727"/>
    <w:rsid w:val="79B9382C"/>
    <w:rsid w:val="7B043B76"/>
    <w:rsid w:val="7C041A6A"/>
    <w:rsid w:val="7C806D7B"/>
    <w:rsid w:val="7DCE13B4"/>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chart" Target="charts/chart4.xml"/><Relationship Id="rId31" Type="http://schemas.openxmlformats.org/officeDocument/2006/relationships/chart" Target="charts/chart3.xml"/><Relationship Id="rId30" Type="http://schemas.openxmlformats.org/officeDocument/2006/relationships/chart" Target="charts/chart2.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图3：支出构成情况（按支出性质）</c:v>
                </c:pt>
              </c:strCache>
            </c:strRef>
          </c:tx>
          <c:spPr>
            <a:ln>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delete val="1"/>
          </c:dLbls>
          <c:cat>
            <c:strRef>
              <c:f>Sheet1!$A$2:$A$5</c:f>
              <c:strCache>
                <c:ptCount val="4"/>
                <c:pt idx="0">
                  <c:v>基本支出58.86%</c:v>
                </c:pt>
                <c:pt idx="1">
                  <c:v>项目支出41.14%</c:v>
                </c:pt>
                <c:pt idx="2">
                  <c:v>经营支出0%</c:v>
                </c:pt>
              </c:strCache>
            </c:strRef>
          </c:cat>
          <c:val>
            <c:numRef>
              <c:f>Sheet1!$B$2:$B$5</c:f>
              <c:numCache>
                <c:formatCode>0.00%</c:formatCode>
                <c:ptCount val="4"/>
                <c:pt idx="0">
                  <c:v>0.5886</c:v>
                </c:pt>
                <c:pt idx="1">
                  <c:v>0.4114</c:v>
                </c:pt>
                <c:pt idx="2" c:formatCode="0%">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445"/>
          <c:y val="0.468083333333333"/>
          <c:w val="0.9018"/>
          <c:h val="0.460483333333333"/>
        </c:manualLayout>
      </c:layout>
      <c:barChart>
        <c:barDir val="col"/>
        <c:grouping val="clustered"/>
        <c:varyColors val="0"/>
        <c:ser>
          <c:idx val="0"/>
          <c:order val="0"/>
          <c:tx>
            <c:strRef>
              <c:f>Sheet1!$B$1</c:f>
              <c:strCache>
                <c:ptCount val="1"/>
                <c:pt idx="0">
                  <c:v>一般公共预算</c:v>
                </c:pt>
              </c:strCache>
            </c:strRef>
          </c:tx>
          <c:spPr>
            <a:solidFill>
              <a:schemeClr val="accent1">
                <a:tint val="100000"/>
                <a:shade val="100000"/>
                <a:hueMod val="100000"/>
                <a:satMod val="100000"/>
              </a:schemeClr>
            </a:solidFill>
            <a:ln>
              <a:noFill/>
            </a:ln>
            <a:effectLst/>
          </c:spPr>
          <c:invertIfNegative val="0"/>
          <c:dLbls>
            <c:delete val="1"/>
          </c:dLbls>
          <c:cat>
            <c:strRef>
              <c:f>Sheet1!$A$2:$A$5</c:f>
              <c:strCache>
                <c:ptCount val="4"/>
                <c:pt idx="0">
                  <c:v>2018年决算收入</c:v>
                </c:pt>
                <c:pt idx="1">
                  <c:v>2019年决算收入</c:v>
                </c:pt>
                <c:pt idx="2">
                  <c:v>2018年决算支出</c:v>
                </c:pt>
                <c:pt idx="3">
                  <c:v>2019年决算支出</c:v>
                </c:pt>
              </c:strCache>
            </c:strRef>
          </c:cat>
          <c:val>
            <c:numRef>
              <c:f>Sheet1!$B$2:$B$5</c:f>
              <c:numCache>
                <c:formatCode>General</c:formatCode>
                <c:ptCount val="4"/>
                <c:pt idx="0">
                  <c:v>734.79</c:v>
                </c:pt>
                <c:pt idx="1">
                  <c:v>894.95</c:v>
                </c:pt>
                <c:pt idx="2">
                  <c:v>677.32</c:v>
                </c:pt>
                <c:pt idx="3">
                  <c:v>863.52</c:v>
                </c:pt>
              </c:numCache>
            </c:numRef>
          </c:val>
        </c:ser>
        <c:ser>
          <c:idx val="1"/>
          <c:order val="1"/>
          <c:tx>
            <c:strRef>
              <c:f>Sheet1!$C$1</c:f>
              <c:strCache>
                <c:ptCount val="1"/>
                <c:pt idx="0">
                  <c:v/>
                </c:pt>
              </c:strCache>
            </c:strRef>
          </c:tx>
          <c:spPr>
            <a:solidFill>
              <a:schemeClr val="accent2">
                <a:tint val="100000"/>
                <a:shade val="100000"/>
                <a:hueMod val="100000"/>
                <a:satMod val="100000"/>
              </a:schemeClr>
            </a:solidFill>
            <a:ln>
              <a:noFill/>
            </a:ln>
            <a:effectLst/>
          </c:spPr>
          <c:invertIfNegative val="0"/>
          <c:dLbls>
            <c:delete val="1"/>
          </c:dLbls>
          <c:cat>
            <c:strRef>
              <c:f>Sheet1!$A$2:$A$5</c:f>
              <c:strCache>
                <c:ptCount val="4"/>
                <c:pt idx="0">
                  <c:v>2018年决算收入</c:v>
                </c:pt>
                <c:pt idx="1">
                  <c:v>2019年决算收入</c:v>
                </c:pt>
                <c:pt idx="2">
                  <c:v>2018年决算支出</c:v>
                </c:pt>
                <c:pt idx="3">
                  <c:v>2019年决算支出</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Sheet1!$A$2:$A$5</c:f>
              <c:strCache>
                <c:ptCount val="4"/>
                <c:pt idx="0">
                  <c:v>2018年决算收入</c:v>
                </c:pt>
                <c:pt idx="1">
                  <c:v>2019年决算收入</c:v>
                </c:pt>
                <c:pt idx="2">
                  <c:v>2018年决算支出</c:v>
                </c:pt>
                <c:pt idx="3">
                  <c:v>2019年决算支出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8774144"/>
        <c:axId val="68780032"/>
      </c:barChart>
      <c:catAx>
        <c:axId val="68774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80032"/>
        <c:crosses val="autoZero"/>
        <c:auto val="1"/>
        <c:lblAlgn val="ctr"/>
        <c:lblOffset val="100"/>
        <c:noMultiLvlLbl val="0"/>
      </c:catAx>
      <c:valAx>
        <c:axId val="68780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7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445"/>
          <c:y val="0.468083333333333"/>
          <c:w val="0.9018"/>
          <c:h val="0.460483333333333"/>
        </c:manualLayout>
      </c:layout>
      <c:barChart>
        <c:barDir val="col"/>
        <c:grouping val="clustered"/>
        <c:varyColors val="0"/>
        <c:ser>
          <c:idx val="0"/>
          <c:order val="0"/>
          <c:tx>
            <c:strRef>
              <c:f>Sheet1!$B$1</c:f>
              <c:strCache>
                <c:ptCount val="1"/>
                <c:pt idx="0">
                  <c:v>一般公共预算</c:v>
                </c:pt>
              </c:strCache>
            </c:strRef>
          </c:tx>
          <c:spPr>
            <a:solidFill>
              <a:schemeClr val="accent1">
                <a:tint val="100000"/>
                <a:shade val="100000"/>
                <a:hueMod val="100000"/>
                <a:satMod val="100000"/>
              </a:schemeClr>
            </a:solidFill>
            <a:ln>
              <a:noFill/>
            </a:ln>
            <a:effectLst/>
          </c:spPr>
          <c:invertIfNegative val="0"/>
          <c:dLbls>
            <c:delete val="1"/>
          </c:dLbls>
          <c:cat>
            <c:strRef>
              <c:f>Sheet1!$A$2:$A$5</c:f>
              <c:strCache>
                <c:ptCount val="4"/>
                <c:pt idx="0">
                  <c:v>2019年预算收入</c:v>
                </c:pt>
                <c:pt idx="1">
                  <c:v>2019年决算收入</c:v>
                </c:pt>
                <c:pt idx="2">
                  <c:v>2019年预算支出</c:v>
                </c:pt>
                <c:pt idx="3">
                  <c:v>2019年决算支出</c:v>
                </c:pt>
              </c:strCache>
            </c:strRef>
          </c:cat>
          <c:val>
            <c:numRef>
              <c:f>Sheet1!$B$2:$B$5</c:f>
              <c:numCache>
                <c:formatCode>General</c:formatCode>
                <c:ptCount val="4"/>
                <c:pt idx="0">
                  <c:v>779.96</c:v>
                </c:pt>
                <c:pt idx="1">
                  <c:v>894.95</c:v>
                </c:pt>
                <c:pt idx="2">
                  <c:v>779.96</c:v>
                </c:pt>
                <c:pt idx="3">
                  <c:v>863.52</c:v>
                </c:pt>
              </c:numCache>
            </c:numRef>
          </c:val>
        </c:ser>
        <c:ser>
          <c:idx val="1"/>
          <c:order val="1"/>
          <c:tx>
            <c:strRef>
              <c:f>Sheet1!$C$1</c:f>
              <c:strCache>
                <c:ptCount val="1"/>
                <c:pt idx="0">
                  <c:v/>
                </c:pt>
              </c:strCache>
            </c:strRef>
          </c:tx>
          <c:spPr>
            <a:solidFill>
              <a:schemeClr val="accent2">
                <a:tint val="100000"/>
                <a:shade val="100000"/>
                <a:hueMod val="100000"/>
                <a:satMod val="100000"/>
              </a:schemeClr>
            </a:solidFill>
            <a:ln>
              <a:noFill/>
            </a:ln>
            <a:effectLst/>
          </c:spPr>
          <c:invertIfNegative val="0"/>
          <c:dLbls>
            <c:delete val="1"/>
          </c:dLbls>
          <c:cat>
            <c:strRef>
              <c:f>Sheet1!$A$2:$A$5</c:f>
              <c:strCache>
                <c:ptCount val="4"/>
                <c:pt idx="0">
                  <c:v>2019年预算收入</c:v>
                </c:pt>
                <c:pt idx="1">
                  <c:v>2019年决算收入</c:v>
                </c:pt>
                <c:pt idx="2">
                  <c:v>2019年预算支出</c:v>
                </c:pt>
                <c:pt idx="3">
                  <c:v>2019年决算支出</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Sheet1!$A$2:$A$5</c:f>
              <c:strCache>
                <c:ptCount val="4"/>
                <c:pt idx="0">
                  <c:v>2019年预算收入</c:v>
                </c:pt>
                <c:pt idx="1">
                  <c:v>2019年决算收入</c:v>
                </c:pt>
                <c:pt idx="2">
                  <c:v>2019年预算支出</c:v>
                </c:pt>
                <c:pt idx="3">
                  <c:v>2019年决算支出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8774144"/>
        <c:axId val="68780032"/>
      </c:barChart>
      <c:catAx>
        <c:axId val="68774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80032"/>
        <c:crosses val="autoZero"/>
        <c:auto val="1"/>
        <c:lblAlgn val="ctr"/>
        <c:lblOffset val="100"/>
        <c:noMultiLvlLbl val="0"/>
      </c:catAx>
      <c:valAx>
        <c:axId val="68780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7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Pt>
            <c:idx val="4"/>
            <c:bubble3D val="0"/>
            <c:spPr>
              <a:solidFill>
                <a:schemeClr val="accent5"/>
              </a:solidFill>
              <a:ln w="19050">
                <a:noFill/>
              </a:ln>
              <a:effectLst/>
            </c:spPr>
          </c:dPt>
          <c:dLbls>
            <c:delete val="1"/>
          </c:dLbls>
          <c:cat>
            <c:strRef>
              <c:f>Sheet1!$A$2:$A$6</c:f>
              <c:strCache>
                <c:ptCount val="5"/>
                <c:pt idx="0">
                  <c:v>社会保障和就业支出2.38%</c:v>
                </c:pt>
                <c:pt idx="1">
                  <c:v>卫生健康支出1.63%</c:v>
                </c:pt>
                <c:pt idx="2">
                  <c:v>农林水支出0.65%</c:v>
                </c:pt>
                <c:pt idx="3">
                  <c:v>住房保障支出0.14%</c:v>
                </c:pt>
                <c:pt idx="4">
                  <c:v>灾害防治及应急管理支出95.2%</c:v>
                </c:pt>
              </c:strCache>
            </c:strRef>
          </c:cat>
          <c:val>
            <c:numRef>
              <c:f>Sheet1!$B$2:$B$6</c:f>
              <c:numCache>
                <c:formatCode>0.00%</c:formatCode>
                <c:ptCount val="5"/>
                <c:pt idx="0">
                  <c:v>0.0238</c:v>
                </c:pt>
                <c:pt idx="1">
                  <c:v>0.0163</c:v>
                </c:pt>
                <c:pt idx="2">
                  <c:v>0.0065</c:v>
                </c:pt>
                <c:pt idx="3">
                  <c:v>0.0014</c:v>
                </c:pt>
                <c:pt idx="4">
                  <c:v>0.952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0</TotalTime>
  <ScaleCrop>false</ScaleCrop>
  <LinksUpToDate>false</LinksUpToDate>
  <CharactersWithSpaces>11119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2020-11-25T02:32:00Z</cp:lastPrinted>
  <dcterms:modified xsi:type="dcterms:W3CDTF">2021-06-02T01:55:02Z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