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rPr>
        <w:sectPr>
          <w:headerReference r:id="rId3" w:type="even"/>
          <w:pgSz w:w="11906" w:h="16838"/>
          <w:pgMar w:top="2098" w:right="1474" w:bottom="1985" w:left="1588" w:header="851" w:footer="992" w:gutter="0"/>
          <w:cols w:space="425" w:num="1"/>
          <w:docGrid w:type="lines" w:linePitch="312" w:charSpace="0"/>
        </w:sectPr>
      </w:pPr>
      <w:r>
        <w:rPr>
          <w:rFonts w:hint="eastAsia"/>
          <w:b/>
          <w:sz w:val="44"/>
          <w:szCs w:val="44"/>
        </w:rPr>
        <w:t>大城县安全生产监督管理局</w:t>
      </w: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大城县安全生产监督管理局</w:t>
      </w:r>
      <w:r>
        <w:rPr>
          <w:rFonts w:eastAsia="黑体"/>
          <w:sz w:val="32"/>
          <w:szCs w:val="32"/>
        </w:rPr>
        <w:t>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w:t>
      </w:r>
      <w:r>
        <w:rPr>
          <w:rFonts w:hint="eastAsia" w:eastAsia="黑体"/>
          <w:sz w:val="32"/>
          <w:szCs w:val="32"/>
        </w:rPr>
        <w:t>大城县安全生产监督管理局</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大城县安全生产监督管理局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贯彻执行国家、省有关安全生产法律、法规和方针政策，组织起草安全生产地方性法规和政府规章草案，拟订安全生产政策和规划；指导协调全市安全生产工作，分析和预测全市安全生产形势，发布全市安全生产信息，研究、协调和解决安全生产中的重大问题。</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 xml:space="preserve"> 2、承担全市安全生产综合监督管理责任，依法行使综合监督管理职权，指导协调、监督检查市有关部门安全生产工作，监督考核安全生产控制指标执行情况，综合管理全市生产安全伤亡事故和安全生产行政执法统计分析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 xml:space="preserve">  3、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工矿商贸企业安全生产工作。</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、承担非煤矿矿山企业和危险化学品、烟花爆竹生产企业安全生产准入管理责任，依法组织实施安全生产准入制度；负责危险化学品安全监督管理综合工作和烟花爆竹安全生产监督管理工作。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 xml:space="preserve"> 5、承担工矿商贸作业场所(煤矿作业场所除外)职业卫生监督检查责任，依法承担职业卫生安全许可证的颁发管理工作，组织调查处理职业危害事故和违法违规行为。</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 xml:space="preserve">  6、组织实施工矿商贸行业安全生产规章、标准和规程，依法监督检查重大危险源监控和重大事故隐患排查治理工作，依法查处不具备安全生产条件的工矿商贸生产经营单位。</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7、负责组织全市安全生产大检查和专项督查；负责组织指挥和协调全市安全生产应急救援工作。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8、组织指导协调和监督全市安全生产行政执法工作。</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、依法组织事故调查处理和办理结案工作，监督事故查处和责任追究落实情况；参与特别重大事故的调查处理工作。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10、负责监督检查职责范围内新建、改建、扩建工程项目的安全设施与主体工程同时设计、同时施工、同时投产使用情况。</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11、组织指导全市安全生产宣传教育工作。承担管理特种作业人员(适用《特种设备安全监察条例》的特种设备作业人员除外)的考核发证和工矿商贸生产经营单位主要负责人、安全生产管理人员的安全资格考核工作；监督检查工矿商贸生产经营单位安全生产和职业安全培训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12、指导协调全市安全生产检测检验工作，监督管理安全生产社会中介机构和安全评价工作，协助廊坊市安全生产监督管理局组织实施注册安全工程师职业资格制度，监督和指导注册安全工程师职业资格考试和注册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13、组织拟订安全生产科技规划，组织协调安全生产科学技术研究和推广工作。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、组织开展安全生产方面的国际交流与合作。</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承担大城县安全生产委员会的具体工作</w:t>
      </w:r>
      <w:r>
        <w:rPr>
          <w:rFonts w:ascii="仿宋" w:hAnsi="仿宋" w:eastAsia="仿宋"/>
          <w:sz w:val="32"/>
          <w:szCs w:val="32"/>
        </w:rPr>
        <w:t>。</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16、</w:t>
      </w:r>
      <w:r>
        <w:rPr>
          <w:rFonts w:hint="eastAsia" w:ascii="仿宋" w:hAnsi="仿宋" w:eastAsia="仿宋"/>
          <w:sz w:val="32"/>
          <w:szCs w:val="32"/>
        </w:rPr>
        <w:t>承办市委、市政府交办的其他事项。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大城县安全生产监督管理局</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eastAsia="方正书宋_GBK"/>
              </w:rPr>
              <w:t>行政</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（见附表）</w:t>
      </w:r>
    </w:p>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olor w:val="000000" w:themeColor="text1"/>
          <w:sz w:val="32"/>
          <w:szCs w:val="32"/>
        </w:rPr>
      </w:pPr>
      <w:r>
        <w:rPr>
          <w:rFonts w:hint="eastAsia" w:ascii="仿宋_GB2312" w:eastAsia="仿宋_GB2312" w:cs="DengXian-Regular"/>
          <w:sz w:val="32"/>
          <w:szCs w:val="32"/>
        </w:rPr>
        <w:t>本部门2018年度收支总计（含结转和结余）73</w:t>
      </w:r>
      <w:r>
        <w:rPr>
          <w:rFonts w:hint="eastAsia" w:ascii="宋体" w:hAnsi="宋体" w:cs="宋体"/>
          <w:sz w:val="32"/>
          <w:szCs w:val="32"/>
        </w:rPr>
        <w:t>4.79</w:t>
      </w:r>
      <w:r>
        <w:rPr>
          <w:rFonts w:hint="eastAsia" w:ascii="仿宋_GB2312" w:eastAsia="仿宋_GB2312" w:cs="DengXian-Regular"/>
          <w:sz w:val="32"/>
          <w:szCs w:val="32"/>
        </w:rPr>
        <w:t>万元。</w:t>
      </w:r>
      <w:r>
        <w:rPr>
          <w:rFonts w:hint="eastAsia" w:ascii="仿宋" w:hAnsi="仿宋" w:eastAsia="仿宋" w:cs="仿宋"/>
          <w:sz w:val="32"/>
          <w:szCs w:val="32"/>
        </w:rPr>
        <w:t>与2017年度决算相比，收入增加45.77万元，</w:t>
      </w:r>
      <w:r>
        <w:rPr>
          <w:rFonts w:hint="eastAsia" w:ascii="仿宋" w:hAnsi="仿宋" w:eastAsia="仿宋" w:cs="仿宋"/>
          <w:sz w:val="32"/>
          <w:szCs w:val="32"/>
          <w:lang w:eastAsia="zh-CN"/>
        </w:rPr>
        <w:t>增长</w:t>
      </w:r>
      <w:r>
        <w:rPr>
          <w:rFonts w:hint="eastAsia" w:ascii="仿宋" w:hAnsi="仿宋" w:eastAsia="仿宋" w:cs="仿宋"/>
          <w:sz w:val="32"/>
          <w:szCs w:val="32"/>
        </w:rPr>
        <w:t>7.32%；支出增加117.12万元，</w:t>
      </w:r>
      <w:r>
        <w:rPr>
          <w:rFonts w:hint="eastAsia" w:ascii="仿宋" w:hAnsi="仿宋" w:eastAsia="仿宋" w:cs="仿宋"/>
          <w:sz w:val="32"/>
          <w:szCs w:val="32"/>
          <w:lang w:eastAsia="zh-CN"/>
        </w:rPr>
        <w:t>增长</w:t>
      </w:r>
      <w:r>
        <w:rPr>
          <w:rFonts w:hint="eastAsia" w:ascii="仿宋" w:hAnsi="仿宋" w:eastAsia="仿宋" w:cs="仿宋"/>
          <w:sz w:val="32"/>
          <w:szCs w:val="32"/>
        </w:rPr>
        <w:t>20.91%；主要原因是</w:t>
      </w:r>
      <w:r>
        <w:rPr>
          <w:rFonts w:hint="eastAsia" w:ascii="仿宋_GB2312" w:eastAsia="仿宋_GB2312"/>
          <w:color w:val="000000" w:themeColor="text1"/>
          <w:sz w:val="32"/>
          <w:szCs w:val="32"/>
        </w:rPr>
        <w:t>人员经费增加和项目支出增加。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仿宋"/>
          <w:sz w:val="32"/>
          <w:szCs w:val="32"/>
        </w:rPr>
      </w:pPr>
      <w:r>
        <w:rPr>
          <w:rFonts w:hint="eastAsia" w:ascii="仿宋_GB2312" w:eastAsia="仿宋_GB2312" w:cs="DengXian-Regular"/>
          <w:sz w:val="32"/>
          <w:szCs w:val="32"/>
        </w:rPr>
        <w:t>本部门2018年度本年收入合计670</w:t>
      </w:r>
      <w:r>
        <w:rPr>
          <w:rFonts w:hint="eastAsia" w:ascii="宋体" w:hAnsi="宋体" w:cs="宋体"/>
          <w:sz w:val="32"/>
          <w:szCs w:val="32"/>
        </w:rPr>
        <w:t>.85</w:t>
      </w:r>
      <w:r>
        <w:rPr>
          <w:rFonts w:hint="eastAsia" w:ascii="仿宋_GB2312" w:eastAsia="仿宋_GB2312" w:cs="DengXian-Regular"/>
          <w:sz w:val="32"/>
          <w:szCs w:val="32"/>
        </w:rPr>
        <w:t>万元，其中：财政拨款收入670</w:t>
      </w:r>
      <w:r>
        <w:rPr>
          <w:rFonts w:hint="eastAsia" w:ascii="宋体" w:hAnsi="宋体" w:cs="宋体"/>
          <w:sz w:val="32"/>
          <w:szCs w:val="32"/>
        </w:rPr>
        <w:t>.85</w:t>
      </w:r>
      <w:r>
        <w:rPr>
          <w:rFonts w:hint="eastAsia" w:ascii="仿宋_GB2312" w:eastAsia="仿宋_GB2312" w:cs="DengXian-Regular"/>
          <w:sz w:val="32"/>
          <w:szCs w:val="32"/>
        </w:rPr>
        <w:t>万元，占100%。</w:t>
      </w:r>
      <w:r>
        <w:rPr>
          <w:rFonts w:hint="eastAsia" w:ascii="仿宋" w:hAnsi="仿宋" w:eastAsia="仿宋" w:cs="仿宋"/>
          <w:sz w:val="32"/>
          <w:szCs w:val="32"/>
        </w:rPr>
        <w:t>无事业收入；无经营收入；无其他收入。如图所示：</w:t>
      </w:r>
    </w:p>
    <w:p>
      <w:pPr>
        <w:adjustRightInd w:val="0"/>
        <w:snapToGrid w:val="0"/>
        <w:spacing w:after="0" w:line="580" w:lineRule="exact"/>
        <w:ind w:firstLine="640" w:firstLineChars="200"/>
        <w:rPr>
          <w:rFonts w:ascii="仿宋" w:hAnsi="仿宋" w:eastAsia="仿宋" w:cs="仿宋"/>
          <w:sz w:val="32"/>
          <w:szCs w:val="32"/>
        </w:rPr>
      </w:pPr>
      <w:r>
        <w:rPr>
          <w:rFonts w:ascii="仿宋" w:hAnsi="仿宋" w:eastAsia="仿宋" w:cs="仿宋"/>
          <w:sz w:val="32"/>
          <w:szCs w:val="32"/>
        </w:rPr>
        <w:pict>
          <v:shape id="椭圆" o:spid="_x0000_s1026" o:spt="3" type="#_x0000_t3" style="position:absolute;left:0pt;margin-left:217.5pt;margin-top:112.7pt;height:198.9pt;width:189.55pt;mso-wrap-distance-bottom:0pt;mso-wrap-distance-top:0pt;z-index:251658240;mso-width-relative:page;mso-height-relative:page;" fillcolor="#F6C782" filled="t" coordsize="21600,21600" o:gfxdata="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lppr2AAA&#10;AAoBAAAPAAAAAAAAAAEAIAAAACIAAABkcnMvZG93bnJldi54bWxQSwECFAAUAAAACACHTuJA9Hek&#10;Ex4CAAAkBAAADgAAAAAAAAABACAAAAAnAQAAZHJzL2Uyb0RvYy54bWxQSwUGAAAAAAYABgBZAQAA&#10;twUAAAAA&#10;">
            <v:path/>
            <v:fill on="t" focussize="0,0"/>
            <v:stroke joinstyle="miter"/>
            <v:imagedata o:title=""/>
            <o:lock v:ext="edit"/>
            <v:textbox>
              <w:txbxContent>
                <w:p>
                  <w:pPr>
                    <w:jc w:val="center"/>
                  </w:pPr>
                  <w:r>
                    <w:rPr>
                      <w:rFonts w:hint="eastAsia"/>
                    </w:rPr>
                    <w:t>财政拨款</w:t>
                  </w:r>
                </w:p>
                <w:p>
                  <w:pPr>
                    <w:jc w:val="center"/>
                  </w:pPr>
                </w:p>
                <w:p>
                  <w:pPr>
                    <w:jc w:val="center"/>
                  </w:pPr>
                  <w:r>
                    <w:rPr>
                      <w:rFonts w:hint="eastAsia"/>
                    </w:rPr>
                    <w:t>100%</w:t>
                  </w:r>
                </w:p>
              </w:txbxContent>
            </v:textbox>
            <w10:wrap type="topAndBottom"/>
          </v:shape>
        </w:pic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本部门2018年度本年支出合计677</w:t>
      </w:r>
      <w:r>
        <w:rPr>
          <w:rFonts w:hint="eastAsia" w:ascii="宋体" w:hAnsi="宋体" w:cs="宋体"/>
          <w:sz w:val="32"/>
          <w:szCs w:val="32"/>
        </w:rPr>
        <w:t>.32</w:t>
      </w:r>
      <w:r>
        <w:rPr>
          <w:rFonts w:hint="eastAsia" w:ascii="仿宋_GB2312" w:eastAsia="仿宋_GB2312" w:cs="DengXian-Regular"/>
          <w:sz w:val="32"/>
          <w:szCs w:val="32"/>
        </w:rPr>
        <w:t>万元，其中：基本支出</w:t>
      </w:r>
      <w:r>
        <w:rPr>
          <w:rFonts w:hint="eastAsia" w:ascii="宋体" w:hAnsi="宋体" w:cs="宋体"/>
          <w:sz w:val="32"/>
          <w:szCs w:val="32"/>
        </w:rPr>
        <w:t>465.82</w:t>
      </w:r>
      <w:r>
        <w:rPr>
          <w:rFonts w:hint="eastAsia" w:ascii="仿宋_GB2312" w:eastAsia="仿宋_GB2312" w:cs="DengXian-Regular"/>
          <w:sz w:val="32"/>
          <w:szCs w:val="32"/>
        </w:rPr>
        <w:t>万元，占68</w:t>
      </w:r>
      <w:r>
        <w:rPr>
          <w:rFonts w:hint="eastAsia" w:ascii="宋体" w:hAnsi="宋体" w:cs="宋体"/>
          <w:sz w:val="32"/>
          <w:szCs w:val="32"/>
        </w:rPr>
        <w:t>.77</w:t>
      </w:r>
      <w:r>
        <w:rPr>
          <w:rFonts w:hint="eastAsia" w:ascii="仿宋_GB2312" w:eastAsia="仿宋_GB2312" w:cs="DengXian-Regular"/>
          <w:sz w:val="32"/>
          <w:szCs w:val="32"/>
        </w:rPr>
        <w:t>%；项目支出211</w:t>
      </w:r>
      <w:r>
        <w:rPr>
          <w:rFonts w:hint="eastAsia" w:ascii="宋体" w:hAnsi="宋体" w:cs="宋体"/>
          <w:sz w:val="32"/>
          <w:szCs w:val="32"/>
        </w:rPr>
        <w:t>.5</w:t>
      </w:r>
      <w:r>
        <w:rPr>
          <w:rFonts w:hint="eastAsia" w:ascii="仿宋_GB2312" w:eastAsia="仿宋_GB2312" w:cs="DengXian-Regular"/>
          <w:sz w:val="32"/>
          <w:szCs w:val="32"/>
        </w:rPr>
        <w:t>万元，占31</w:t>
      </w:r>
      <w:r>
        <w:rPr>
          <w:rFonts w:hint="eastAsia" w:ascii="宋体" w:hAnsi="宋体" w:cs="宋体"/>
          <w:sz w:val="32"/>
          <w:szCs w:val="32"/>
        </w:rPr>
        <w:t>.23</w:t>
      </w:r>
      <w:r>
        <w:rPr>
          <w:rFonts w:hint="eastAsia" w:ascii="仿宋_GB2312" w:eastAsia="仿宋_GB2312" w:cs="DengXian-Regular"/>
          <w:sz w:val="32"/>
          <w:szCs w:val="32"/>
        </w:rPr>
        <w:t>%；无经营支出。如图所示：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146050</wp:posOffset>
            </wp:positionH>
            <wp:positionV relativeFrom="paragraph">
              <wp:posOffset>16510</wp:posOffset>
            </wp:positionV>
            <wp:extent cx="5080000" cy="3810000"/>
            <wp:effectExtent l="4445" t="4445" r="20955" b="1460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tabs>
          <w:tab w:val="left" w:pos="7401"/>
        </w:tabs>
        <w:adjustRightInd w:val="0"/>
        <w:snapToGrid w:val="0"/>
        <w:spacing w:after="0" w:line="580" w:lineRule="exact"/>
        <w:jc w:val="left"/>
        <w:rPr>
          <w:rFonts w:eastAsia="仿宋_GB2312"/>
          <w:sz w:val="32"/>
          <w:szCs w:val="32"/>
        </w:rPr>
      </w:pPr>
      <w:r>
        <w:rPr>
          <w:rFonts w:hint="eastAsia" w:eastAsia="仿宋_GB2312"/>
          <w:sz w:val="32"/>
          <w:szCs w:val="32"/>
        </w:rPr>
        <w:tab/>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ind w:firstLine="640" w:firstLineChars="200"/>
        <w:rPr>
          <w:rFonts w:eastAsia="仿宋_GB2312"/>
          <w:color w:val="000000" w:themeColor="text1"/>
          <w:sz w:val="32"/>
          <w:szCs w:val="32"/>
        </w:rPr>
      </w:pPr>
      <w:r>
        <w:rPr>
          <w:rFonts w:hint="eastAsia" w:ascii="仿宋_GB2312" w:eastAsia="仿宋_GB2312" w:cs="DengXian-Regular"/>
          <w:sz w:val="32"/>
          <w:szCs w:val="32"/>
        </w:rPr>
        <w:t>本部门2018年度财政拨款本年收入670</w:t>
      </w:r>
      <w:r>
        <w:rPr>
          <w:rFonts w:hint="eastAsia" w:ascii="宋体" w:hAnsi="宋体" w:cs="宋体"/>
          <w:sz w:val="32"/>
          <w:szCs w:val="32"/>
        </w:rPr>
        <w:t>.85</w:t>
      </w:r>
      <w:r>
        <w:rPr>
          <w:rFonts w:hint="eastAsia" w:ascii="仿宋_GB2312" w:eastAsia="仿宋_GB2312" w:cs="DengXian-Regular"/>
          <w:sz w:val="32"/>
          <w:szCs w:val="32"/>
        </w:rPr>
        <w:t>万元,比2017年度增加</w:t>
      </w:r>
      <w:r>
        <w:rPr>
          <w:rFonts w:hint="eastAsia" w:ascii="宋体" w:hAnsi="宋体" w:cs="宋体"/>
          <w:sz w:val="32"/>
          <w:szCs w:val="32"/>
        </w:rPr>
        <w:t>45.77</w:t>
      </w:r>
      <w:r>
        <w:rPr>
          <w:rFonts w:hint="eastAsia" w:ascii="仿宋_GB2312" w:eastAsia="仿宋_GB2312" w:cs="DengXian-Regular"/>
          <w:sz w:val="32"/>
          <w:szCs w:val="32"/>
        </w:rPr>
        <w:t>万元，增长7</w:t>
      </w:r>
      <w:r>
        <w:rPr>
          <w:rFonts w:hint="eastAsia" w:ascii="宋体" w:hAnsi="宋体" w:cs="宋体"/>
          <w:sz w:val="32"/>
          <w:szCs w:val="32"/>
        </w:rPr>
        <w:t>.32</w:t>
      </w:r>
      <w:r>
        <w:rPr>
          <w:rFonts w:hint="eastAsia" w:ascii="仿宋_GB2312" w:eastAsia="仿宋_GB2312" w:cs="DengXian-Regular"/>
          <w:sz w:val="32"/>
          <w:szCs w:val="32"/>
        </w:rPr>
        <w:t>%，主要是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；本年支出677</w:t>
      </w:r>
      <w:r>
        <w:rPr>
          <w:rFonts w:hint="eastAsia" w:ascii="宋体" w:hAnsi="宋体" w:cs="宋体"/>
          <w:sz w:val="32"/>
          <w:szCs w:val="32"/>
        </w:rPr>
        <w:t>.32</w:t>
      </w:r>
      <w:r>
        <w:rPr>
          <w:rFonts w:hint="eastAsia" w:ascii="仿宋_GB2312" w:eastAsia="仿宋_GB2312" w:cs="DengXian-Regular"/>
          <w:sz w:val="32"/>
          <w:szCs w:val="32"/>
        </w:rPr>
        <w:t>万元，增加117</w:t>
      </w:r>
      <w:r>
        <w:rPr>
          <w:rFonts w:hint="eastAsia" w:ascii="宋体" w:hAnsi="宋体" w:cs="宋体"/>
          <w:sz w:val="32"/>
          <w:szCs w:val="32"/>
        </w:rPr>
        <w:t>.12</w:t>
      </w:r>
      <w:r>
        <w:rPr>
          <w:rFonts w:hint="eastAsia" w:ascii="仿宋_GB2312" w:eastAsia="仿宋_GB2312" w:cs="DengXian-Regular"/>
          <w:sz w:val="32"/>
          <w:szCs w:val="32"/>
        </w:rPr>
        <w:t>万元，增长20</w:t>
      </w:r>
      <w:r>
        <w:rPr>
          <w:rFonts w:hint="eastAsia" w:ascii="宋体" w:hAnsi="宋体" w:cs="宋体"/>
          <w:sz w:val="32"/>
          <w:szCs w:val="32"/>
        </w:rPr>
        <w:t>.91</w:t>
      </w:r>
      <w:r>
        <w:rPr>
          <w:rFonts w:hint="eastAsia" w:ascii="仿宋_GB2312" w:eastAsia="仿宋_GB2312" w:cs="DengXian-Regular"/>
          <w:sz w:val="32"/>
          <w:szCs w:val="32"/>
        </w:rPr>
        <w:t>%，主要是</w:t>
      </w:r>
      <w:r>
        <w:rPr>
          <w:rFonts w:hint="eastAsia" w:ascii="仿宋_GB2312" w:eastAsia="仿宋_GB2312"/>
          <w:color w:val="000000" w:themeColor="text1"/>
          <w:sz w:val="32"/>
          <w:szCs w:val="32"/>
        </w:rPr>
        <w:t>人员经费增加和项目支出增加。</w:t>
      </w:r>
    </w:p>
    <w:p>
      <w:pPr>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其中：一般公共预算财政拨款本年收入66</w:t>
      </w:r>
      <w:r>
        <w:rPr>
          <w:rFonts w:hint="eastAsia" w:ascii="宋体" w:hAnsi="宋体" w:cs="宋体"/>
          <w:sz w:val="32"/>
          <w:szCs w:val="32"/>
        </w:rPr>
        <w:t>9.32</w:t>
      </w:r>
      <w:r>
        <w:rPr>
          <w:rFonts w:hint="eastAsia" w:ascii="仿宋_GB2312" w:eastAsia="仿宋_GB2312" w:cs="DengXian-Regular"/>
          <w:sz w:val="32"/>
          <w:szCs w:val="32"/>
        </w:rPr>
        <w:t>万元，比2017年度增加</w:t>
      </w:r>
      <w:r>
        <w:rPr>
          <w:rFonts w:hint="eastAsia" w:ascii="宋体" w:hAnsi="宋体" w:cs="宋体"/>
          <w:sz w:val="32"/>
          <w:szCs w:val="32"/>
        </w:rPr>
        <w:t>44.24</w:t>
      </w:r>
      <w:r>
        <w:rPr>
          <w:rFonts w:hint="eastAsia" w:ascii="仿宋_GB2312" w:eastAsia="仿宋_GB2312" w:cs="DengXian-Regular"/>
          <w:sz w:val="32"/>
          <w:szCs w:val="32"/>
        </w:rPr>
        <w:t>万元，增长7.08%，主要是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；本年支出</w:t>
      </w:r>
      <w:r>
        <w:rPr>
          <w:rFonts w:hint="eastAsia" w:ascii="宋体" w:hAnsi="宋体" w:cs="宋体"/>
          <w:sz w:val="32"/>
          <w:szCs w:val="32"/>
        </w:rPr>
        <w:t>675.79</w:t>
      </w:r>
      <w:r>
        <w:rPr>
          <w:rFonts w:hint="eastAsia" w:ascii="仿宋_GB2312" w:eastAsia="仿宋_GB2312" w:cs="DengXian-Regular"/>
          <w:sz w:val="32"/>
          <w:szCs w:val="32"/>
        </w:rPr>
        <w:t>万元，比2017年度增加115</w:t>
      </w:r>
      <w:r>
        <w:rPr>
          <w:rFonts w:hint="eastAsia" w:ascii="宋体" w:hAnsi="宋体" w:cs="宋体"/>
          <w:sz w:val="32"/>
          <w:szCs w:val="32"/>
        </w:rPr>
        <w:t>.59</w:t>
      </w:r>
      <w:r>
        <w:rPr>
          <w:rFonts w:hint="eastAsia" w:ascii="仿宋_GB2312" w:eastAsia="仿宋_GB2312" w:cs="DengXian-Regular"/>
          <w:sz w:val="32"/>
          <w:szCs w:val="32"/>
        </w:rPr>
        <w:t>万元，增长20</w:t>
      </w:r>
      <w:r>
        <w:rPr>
          <w:rFonts w:hint="eastAsia" w:ascii="宋体" w:hAnsi="宋体" w:cs="宋体"/>
          <w:sz w:val="32"/>
          <w:szCs w:val="32"/>
        </w:rPr>
        <w:t>.63</w:t>
      </w:r>
      <w:r>
        <w:rPr>
          <w:rFonts w:hint="eastAsia" w:ascii="仿宋_GB2312" w:eastAsia="仿宋_GB2312" w:cs="DengXian-Regular"/>
          <w:sz w:val="32"/>
          <w:szCs w:val="32"/>
        </w:rPr>
        <w:t>%，主要是</w:t>
      </w:r>
      <w:r>
        <w:rPr>
          <w:rFonts w:hint="eastAsia" w:ascii="仿宋_GB2312" w:eastAsia="仿宋_GB2312"/>
          <w:color w:val="000000" w:themeColor="text1"/>
          <w:sz w:val="32"/>
          <w:szCs w:val="32"/>
        </w:rPr>
        <w:t>人员经费增加和项目支出增加。</w:t>
      </w:r>
    </w:p>
    <w:p>
      <w:pPr>
        <w:ind w:firstLine="640" w:firstLineChars="200"/>
        <w:rPr>
          <w:rFonts w:eastAsia="仿宋_GB2312"/>
          <w:color w:val="000000" w:themeColor="text1"/>
          <w:sz w:val="32"/>
          <w:szCs w:val="32"/>
        </w:rPr>
      </w:pPr>
      <w:r>
        <w:rPr>
          <w:rFonts w:hint="eastAsia" w:ascii="仿宋_GB2312" w:eastAsia="仿宋_GB2312" w:cs="DengXian-Regular"/>
          <w:sz w:val="32"/>
          <w:szCs w:val="32"/>
        </w:rPr>
        <w:t>政府性基金预算财政拨款本年收入1</w:t>
      </w:r>
      <w:r>
        <w:rPr>
          <w:rFonts w:hint="eastAsia" w:ascii="宋体" w:hAnsi="宋体" w:cs="宋体"/>
          <w:sz w:val="32"/>
          <w:szCs w:val="32"/>
        </w:rPr>
        <w:t>.53</w:t>
      </w:r>
      <w:r>
        <w:rPr>
          <w:rFonts w:hint="eastAsia" w:ascii="仿宋_GB2312" w:eastAsia="仿宋_GB2312" w:cs="DengXian-Regular"/>
          <w:sz w:val="32"/>
          <w:szCs w:val="32"/>
        </w:rPr>
        <w:t>万元，比2017年度增加1</w:t>
      </w:r>
      <w:r>
        <w:rPr>
          <w:rFonts w:hint="eastAsia" w:ascii="宋体" w:hAnsi="宋体" w:cs="宋体"/>
          <w:sz w:val="32"/>
          <w:szCs w:val="32"/>
        </w:rPr>
        <w:t>.53</w:t>
      </w:r>
      <w:r>
        <w:rPr>
          <w:rFonts w:hint="eastAsia" w:ascii="仿宋_GB2312" w:eastAsia="仿宋_GB2312" w:cs="DengXian-Regular"/>
          <w:sz w:val="32"/>
          <w:szCs w:val="32"/>
        </w:rPr>
        <w:t>万元，增长100%，主要是新增创建园林项目；本年支出1</w:t>
      </w:r>
      <w:r>
        <w:rPr>
          <w:rFonts w:hint="eastAsia" w:ascii="宋体" w:hAnsi="宋体" w:cs="宋体"/>
          <w:sz w:val="32"/>
          <w:szCs w:val="32"/>
        </w:rPr>
        <w:t>.53</w:t>
      </w:r>
      <w:r>
        <w:rPr>
          <w:rFonts w:hint="eastAsia" w:ascii="仿宋_GB2312" w:eastAsia="仿宋_GB2312" w:cs="DengXian-Regular"/>
          <w:sz w:val="32"/>
          <w:szCs w:val="32"/>
        </w:rPr>
        <w:t>万元，比2017年度增加1</w:t>
      </w:r>
      <w:r>
        <w:rPr>
          <w:rFonts w:hint="eastAsia" w:ascii="宋体" w:hAnsi="宋体" w:cs="宋体"/>
          <w:sz w:val="32"/>
          <w:szCs w:val="32"/>
        </w:rPr>
        <w:t>.53</w:t>
      </w:r>
      <w:r>
        <w:rPr>
          <w:rFonts w:hint="eastAsia" w:ascii="仿宋_GB2312" w:eastAsia="仿宋_GB2312" w:cs="DengXian-Regular"/>
          <w:sz w:val="32"/>
          <w:szCs w:val="32"/>
        </w:rPr>
        <w:t>万元，增长100%，主要是新增创建园林项目。</w:t>
      </w:r>
    </w:p>
    <w:p>
      <w:pPr>
        <w:adjustRightInd w:val="0"/>
        <w:snapToGrid w:val="0"/>
        <w:spacing w:after="0" w:line="580" w:lineRule="exact"/>
        <w:jc w:val="center"/>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61312" behindDoc="0" locked="0" layoutInCell="1" allowOverlap="1">
            <wp:simplePos x="0" y="0"/>
            <wp:positionH relativeFrom="column">
              <wp:posOffset>936625</wp:posOffset>
            </wp:positionH>
            <wp:positionV relativeFrom="paragraph">
              <wp:posOffset>13335</wp:posOffset>
            </wp:positionV>
            <wp:extent cx="5080000" cy="3810000"/>
            <wp:effectExtent l="4445" t="4445" r="20955" b="1460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本部门2018年度财政拨款本年收入670</w:t>
      </w:r>
      <w:r>
        <w:rPr>
          <w:rFonts w:hint="eastAsia" w:ascii="宋体" w:hAnsi="宋体" w:cs="宋体"/>
          <w:sz w:val="32"/>
          <w:szCs w:val="32"/>
        </w:rPr>
        <w:t>.85</w:t>
      </w:r>
      <w:r>
        <w:rPr>
          <w:rFonts w:hint="eastAsia" w:ascii="仿宋_GB2312" w:eastAsia="仿宋_GB2312" w:cs="DengXian-Regular"/>
          <w:sz w:val="32"/>
          <w:szCs w:val="32"/>
        </w:rPr>
        <w:t>万元，完成年初预算的1</w:t>
      </w:r>
      <w:r>
        <w:rPr>
          <w:rFonts w:hint="eastAsia" w:ascii="仿宋_GB2312" w:eastAsia="仿宋_GB2312" w:cs="DengXian-Regular"/>
          <w:sz w:val="32"/>
          <w:szCs w:val="32"/>
          <w:lang w:val="en-US" w:eastAsia="zh-CN"/>
        </w:rPr>
        <w:t>27.45</w:t>
      </w:r>
      <w:r>
        <w:rPr>
          <w:rFonts w:hint="eastAsia" w:ascii="仿宋_GB2312" w:eastAsia="仿宋_GB2312" w:cs="DengXian-Regular"/>
          <w:sz w:val="32"/>
          <w:szCs w:val="32"/>
        </w:rPr>
        <w:t>%,比年初预算增加1</w:t>
      </w:r>
      <w:r>
        <w:rPr>
          <w:rFonts w:hint="eastAsia" w:ascii="宋体" w:hAnsi="宋体" w:cs="宋体"/>
          <w:sz w:val="32"/>
          <w:szCs w:val="32"/>
        </w:rPr>
        <w:t>44.49</w:t>
      </w:r>
      <w:r>
        <w:rPr>
          <w:rFonts w:hint="eastAsia" w:ascii="仿宋_GB2312" w:eastAsia="仿宋_GB2312" w:cs="DengXian-Regular"/>
          <w:sz w:val="32"/>
          <w:szCs w:val="32"/>
        </w:rPr>
        <w:t>万元，决算数大于预算数,主要是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；本年支出677</w:t>
      </w:r>
      <w:r>
        <w:rPr>
          <w:rFonts w:hint="eastAsia" w:ascii="宋体" w:hAnsi="宋体" w:cs="宋体"/>
          <w:sz w:val="32"/>
          <w:szCs w:val="32"/>
        </w:rPr>
        <w:t>.32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128.68</w:t>
      </w:r>
      <w:r>
        <w:rPr>
          <w:rFonts w:hint="eastAsia" w:ascii="仿宋_GB2312" w:eastAsia="仿宋_GB2312" w:cs="DengXian-Regular"/>
          <w:sz w:val="32"/>
          <w:szCs w:val="32"/>
        </w:rPr>
        <w:t>%,比年初预算增加150</w:t>
      </w:r>
      <w:r>
        <w:rPr>
          <w:rFonts w:hint="eastAsia" w:ascii="宋体" w:hAnsi="宋体" w:cs="宋体"/>
          <w:sz w:val="32"/>
          <w:szCs w:val="32"/>
        </w:rPr>
        <w:t>.96</w:t>
      </w:r>
      <w:r>
        <w:rPr>
          <w:rFonts w:hint="eastAsia" w:ascii="仿宋_GB2312" w:eastAsia="仿宋_GB2312" w:cs="DengXian-Regular"/>
          <w:sz w:val="32"/>
          <w:szCs w:val="32"/>
        </w:rPr>
        <w:t>万元，决算数大于预算数主要是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127</w:t>
      </w:r>
      <w:r>
        <w:rPr>
          <w:rFonts w:hint="eastAsia" w:ascii="仿宋_GB2312" w:eastAsia="仿宋_GB2312" w:cs="DengXian-Regular"/>
          <w:sz w:val="32"/>
          <w:szCs w:val="32"/>
        </w:rPr>
        <w:t>%，比年初预算增加1</w:t>
      </w:r>
      <w:r>
        <w:rPr>
          <w:rFonts w:hint="eastAsia" w:ascii="宋体" w:hAnsi="宋体" w:cs="宋体"/>
          <w:sz w:val="32"/>
          <w:szCs w:val="32"/>
        </w:rPr>
        <w:t>42.96</w:t>
      </w:r>
      <w:r>
        <w:rPr>
          <w:rFonts w:hint="eastAsia" w:ascii="仿宋_GB2312" w:eastAsia="仿宋_GB2312" w:cs="DengXian-Regular"/>
          <w:sz w:val="32"/>
          <w:szCs w:val="32"/>
        </w:rPr>
        <w:t>万元，决算数大于预算数,主要是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128.39</w:t>
      </w:r>
      <w:r>
        <w:rPr>
          <w:rFonts w:hint="eastAsia" w:ascii="仿宋_GB2312" w:eastAsia="仿宋_GB2312" w:cs="DengXian-Regular"/>
          <w:sz w:val="32"/>
          <w:szCs w:val="32"/>
        </w:rPr>
        <w:t>%，比年初预算增加1</w:t>
      </w:r>
      <w:r>
        <w:rPr>
          <w:rFonts w:hint="eastAsia" w:ascii="宋体" w:hAnsi="宋体" w:cs="宋体"/>
          <w:sz w:val="32"/>
          <w:szCs w:val="32"/>
        </w:rPr>
        <w:t>49.43</w:t>
      </w:r>
      <w:r>
        <w:rPr>
          <w:rFonts w:hint="eastAsia" w:ascii="仿宋_GB2312" w:eastAsia="仿宋_GB2312" w:cs="DengXian-Regular"/>
          <w:sz w:val="32"/>
          <w:szCs w:val="32"/>
        </w:rPr>
        <w:t>万元，决算数大于预算数,主要是</w:t>
      </w:r>
      <w:r>
        <w:rPr>
          <w:rFonts w:hint="eastAsia" w:ascii="仿宋_GB2312" w:eastAsia="仿宋_GB2312"/>
          <w:color w:val="000000" w:themeColor="text1"/>
          <w:sz w:val="32"/>
          <w:szCs w:val="32"/>
        </w:rPr>
        <w:t>人员经费增加（招聘20名劳务派遣人员）和项目支出增加</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153</w:t>
      </w:r>
      <w:r>
        <w:rPr>
          <w:rFonts w:hint="eastAsia" w:ascii="仿宋_GB2312" w:eastAsia="仿宋_GB2312" w:cs="DengXian-Regular"/>
          <w:sz w:val="32"/>
          <w:szCs w:val="32"/>
        </w:rPr>
        <w:t>%，比年初预算增加1</w:t>
      </w:r>
      <w:r>
        <w:rPr>
          <w:rFonts w:hint="eastAsia" w:ascii="宋体" w:hAnsi="宋体" w:cs="宋体"/>
          <w:sz w:val="32"/>
          <w:szCs w:val="32"/>
        </w:rPr>
        <w:t>.53</w:t>
      </w:r>
      <w:r>
        <w:rPr>
          <w:rFonts w:hint="eastAsia" w:ascii="仿宋_GB2312" w:eastAsia="仿宋_GB2312" w:cs="DengXian-Regular"/>
          <w:sz w:val="32"/>
          <w:szCs w:val="32"/>
        </w:rPr>
        <w:t>万元，决算数大于预算数,主要是新增创建园林项目；支出完成年初预算</w:t>
      </w:r>
      <w:r>
        <w:rPr>
          <w:rFonts w:hint="eastAsia" w:ascii="仿宋_GB2312" w:eastAsia="仿宋_GB2312" w:cs="DengXian-Regular"/>
          <w:sz w:val="32"/>
          <w:szCs w:val="32"/>
          <w:lang w:val="en-US" w:eastAsia="zh-CN"/>
        </w:rPr>
        <w:t>153</w:t>
      </w:r>
      <w:r>
        <w:rPr>
          <w:rFonts w:hint="eastAsia" w:ascii="仿宋_GB2312" w:eastAsia="仿宋_GB2312" w:cs="DengXian-Regular"/>
          <w:sz w:val="32"/>
          <w:szCs w:val="32"/>
        </w:rPr>
        <w:t>%，比年初预算增加1</w:t>
      </w:r>
      <w:r>
        <w:rPr>
          <w:rFonts w:hint="eastAsia" w:ascii="宋体" w:hAnsi="宋体" w:cs="宋体"/>
          <w:sz w:val="32"/>
          <w:szCs w:val="32"/>
        </w:rPr>
        <w:t>.53</w:t>
      </w:r>
      <w:r>
        <w:rPr>
          <w:rFonts w:hint="eastAsia" w:ascii="仿宋_GB2312" w:eastAsia="仿宋_GB2312" w:cs="DengXian-Regular"/>
          <w:sz w:val="32"/>
          <w:szCs w:val="32"/>
        </w:rPr>
        <w:t>万元，决算数大于预算数主要是新增创建园林项目。</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2336" behindDoc="0" locked="0" layoutInCell="1" allowOverlap="1">
            <wp:simplePos x="0" y="0"/>
            <wp:positionH relativeFrom="column">
              <wp:posOffset>410845</wp:posOffset>
            </wp:positionH>
            <wp:positionV relativeFrom="paragraph">
              <wp:posOffset>180975</wp:posOffset>
            </wp:positionV>
            <wp:extent cx="5080000" cy="2677160"/>
            <wp:effectExtent l="4445" t="4445" r="20955" b="2349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0"/>
        </w:num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年度财政拨款支出677</w:t>
      </w:r>
      <w:r>
        <w:rPr>
          <w:rFonts w:hint="eastAsia" w:ascii="宋体" w:hAnsi="宋体" w:cs="宋体"/>
          <w:sz w:val="32"/>
          <w:szCs w:val="32"/>
        </w:rPr>
        <w:t>.32</w:t>
      </w:r>
      <w:r>
        <w:rPr>
          <w:rFonts w:hint="eastAsia" w:ascii="仿宋_GB2312" w:eastAsia="仿宋_GB2312" w:cs="DengXian-Regular"/>
          <w:sz w:val="32"/>
          <w:szCs w:val="32"/>
        </w:rPr>
        <w:t>万元，主要用于以下方面：社会保障和就业（类）支出31</w:t>
      </w:r>
      <w:r>
        <w:rPr>
          <w:rFonts w:hint="eastAsia" w:ascii="宋体" w:hAnsi="宋体" w:cs="宋体"/>
          <w:sz w:val="32"/>
          <w:szCs w:val="32"/>
        </w:rPr>
        <w:t>.3</w:t>
      </w:r>
      <w:r>
        <w:rPr>
          <w:rFonts w:hint="eastAsia" w:ascii="仿宋_GB2312" w:eastAsia="仿宋_GB2312" w:cs="DengXian-Regular"/>
          <w:sz w:val="32"/>
          <w:szCs w:val="32"/>
        </w:rPr>
        <w:t>万元，占</w:t>
      </w:r>
      <w:r>
        <w:rPr>
          <w:rFonts w:hint="eastAsia" w:ascii="宋体" w:hAnsi="宋体" w:cs="宋体"/>
          <w:sz w:val="32"/>
          <w:szCs w:val="32"/>
        </w:rPr>
        <w:t>4.62</w:t>
      </w:r>
      <w:r>
        <w:rPr>
          <w:rFonts w:hint="eastAsia" w:ascii="仿宋_GB2312" w:eastAsia="仿宋_GB2312" w:cs="DengXian-Regular"/>
          <w:sz w:val="32"/>
          <w:szCs w:val="32"/>
        </w:rPr>
        <w:t>%；医疗卫生与计划生育（类）支出11</w:t>
      </w:r>
      <w:r>
        <w:rPr>
          <w:rFonts w:hint="eastAsia" w:ascii="宋体" w:hAnsi="宋体" w:cs="宋体"/>
          <w:sz w:val="32"/>
          <w:szCs w:val="32"/>
        </w:rPr>
        <w:t>.89</w:t>
      </w:r>
      <w:r>
        <w:rPr>
          <w:rFonts w:hint="eastAsia" w:ascii="仿宋_GB2312" w:eastAsia="仿宋_GB2312" w:cs="DengXian-Regular"/>
          <w:sz w:val="32"/>
          <w:szCs w:val="32"/>
        </w:rPr>
        <w:t>万元，占1</w:t>
      </w:r>
      <w:r>
        <w:rPr>
          <w:rFonts w:hint="eastAsia" w:ascii="宋体" w:hAnsi="宋体" w:cs="宋体"/>
          <w:sz w:val="32"/>
          <w:szCs w:val="32"/>
        </w:rPr>
        <w:t>.76</w:t>
      </w:r>
      <w:r>
        <w:rPr>
          <w:rFonts w:hint="eastAsia" w:ascii="仿宋_GB2312" w:eastAsia="仿宋_GB2312" w:cs="DengXian-Regular"/>
          <w:sz w:val="32"/>
          <w:szCs w:val="32"/>
        </w:rPr>
        <w:t>%;资源勘探信息等支出632</w:t>
      </w:r>
      <w:r>
        <w:rPr>
          <w:rFonts w:hint="eastAsia" w:ascii="宋体" w:hAnsi="宋体" w:cs="宋体"/>
          <w:sz w:val="32"/>
          <w:szCs w:val="32"/>
        </w:rPr>
        <w:t>.6</w:t>
      </w:r>
      <w:r>
        <w:rPr>
          <w:rFonts w:hint="eastAsia" w:ascii="仿宋_GB2312" w:eastAsia="仿宋_GB2312" w:cs="DengXian-Regular"/>
          <w:sz w:val="32"/>
          <w:szCs w:val="32"/>
        </w:rPr>
        <w:t>万元，占</w:t>
      </w:r>
      <w:r>
        <w:rPr>
          <w:rFonts w:hint="eastAsia" w:ascii="宋体" w:hAnsi="宋体" w:cs="宋体"/>
          <w:sz w:val="32"/>
          <w:szCs w:val="32"/>
        </w:rPr>
        <w:t>93.4</w:t>
      </w:r>
      <w:r>
        <w:rPr>
          <w:rFonts w:hint="eastAsia" w:ascii="仿宋_GB2312" w:eastAsia="仿宋_GB2312" w:cs="DengXian-Regular"/>
          <w:sz w:val="32"/>
          <w:szCs w:val="32"/>
        </w:rPr>
        <w:t>%。其他支出1</w:t>
      </w:r>
      <w:r>
        <w:rPr>
          <w:rFonts w:hint="eastAsia" w:ascii="宋体" w:hAnsi="宋体" w:cs="宋体"/>
          <w:sz w:val="32"/>
          <w:szCs w:val="32"/>
        </w:rPr>
        <w:t>.53</w:t>
      </w:r>
      <w:r>
        <w:rPr>
          <w:rFonts w:hint="eastAsia" w:ascii="仿宋_GB2312" w:eastAsia="仿宋_GB2312" w:cs="DengXian-Regular"/>
          <w:sz w:val="32"/>
          <w:szCs w:val="32"/>
        </w:rPr>
        <w:t>万元，占</w:t>
      </w:r>
      <w:r>
        <w:rPr>
          <w:rFonts w:hint="eastAsia" w:ascii="宋体" w:hAnsi="宋体" w:cs="宋体"/>
          <w:sz w:val="32"/>
          <w:szCs w:val="32"/>
        </w:rPr>
        <w:t>0.23</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jc w:val="center"/>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0288" behindDoc="0" locked="0" layoutInCell="1" allowOverlap="1">
            <wp:simplePos x="0" y="0"/>
            <wp:positionH relativeFrom="column">
              <wp:posOffset>347345</wp:posOffset>
            </wp:positionH>
            <wp:positionV relativeFrom="paragraph">
              <wp:posOffset>-234315</wp:posOffset>
            </wp:positionV>
            <wp:extent cx="5080000" cy="3810000"/>
            <wp:effectExtent l="4445" t="4445" r="2095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2018 年度一般公共预算财政拨款基本支出465.82万元，其中：人员经费 435.62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30.2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 w:hAnsi="仿宋" w:eastAsia="仿宋" w:cs="仿宋"/>
          <w:sz w:val="32"/>
          <w:szCs w:val="32"/>
          <w:highlight w:val="yellow"/>
        </w:rPr>
      </w:pPr>
      <w:r>
        <w:rPr>
          <w:rFonts w:hint="eastAsia" w:ascii="仿宋" w:hAnsi="仿宋" w:eastAsia="仿宋" w:cs="仿宋"/>
          <w:sz w:val="32"/>
          <w:szCs w:val="32"/>
        </w:rPr>
        <w:t>本部门2018年度一般公共预算财政拨款“三公”经费支出共计3.5万元，与年初预算持平，原因是</w:t>
      </w:r>
      <w:r>
        <w:rPr>
          <w:rFonts w:hint="eastAsia" w:ascii="仿宋" w:hAnsi="仿宋" w:eastAsia="仿宋" w:cs="仿宋"/>
          <w:kern w:val="0"/>
          <w:sz w:val="32"/>
          <w:szCs w:val="32"/>
        </w:rPr>
        <w:t>本着厉行节约的要求，压减三公经费支出。</w:t>
      </w:r>
      <w:r>
        <w:rPr>
          <w:rFonts w:hint="eastAsia" w:ascii="仿宋" w:hAnsi="仿宋" w:eastAsia="仿宋" w:cs="仿宋"/>
          <w:sz w:val="32"/>
          <w:szCs w:val="32"/>
        </w:rPr>
        <w:t>比2017年度决算减少11.68万元，降低76.94%，主要是减少项目支出。具体情况如下：</w:t>
      </w:r>
    </w:p>
    <w:p>
      <w:pPr>
        <w:numPr>
          <w:ilvl w:val="0"/>
          <w:numId w:val="1"/>
        </w:numPr>
        <w:adjustRightInd w:val="0"/>
        <w:snapToGrid w:val="0"/>
        <w:spacing w:line="584" w:lineRule="exact"/>
        <w:ind w:firstLine="643" w:firstLineChars="200"/>
        <w:rPr>
          <w:rFonts w:ascii="仿宋" w:hAnsi="仿宋" w:eastAsia="仿宋" w:cs="仿宋"/>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hint="eastAsia" w:ascii="仿宋" w:hAnsi="仿宋" w:eastAsia="仿宋" w:cs="仿宋"/>
          <w:sz w:val="32"/>
          <w:szCs w:val="32"/>
        </w:rPr>
        <w:t>本部门2018年度因公出国（境）团组0个、共0人/参加其他单位组织的因公出国（境）团组0个、共0人/无本单位组织的出国（境）团组。因公出国（境）费支出与年初预算持平；与2017年度决算持平。</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3.5</w:t>
      </w:r>
      <w:r>
        <w:rPr>
          <w:rFonts w:eastAsia="楷体_GB2312"/>
          <w:b/>
          <w:bCs/>
          <w:sz w:val="32"/>
          <w:szCs w:val="32"/>
        </w:rPr>
        <w:t>万元。</w:t>
      </w:r>
      <w:r>
        <w:rPr>
          <w:rFonts w:hint="eastAsia" w:ascii="仿宋" w:hAnsi="仿宋" w:eastAsia="仿宋" w:cs="仿宋"/>
          <w:sz w:val="32"/>
          <w:szCs w:val="32"/>
        </w:rPr>
        <w:t>本部门2018年度公务用车购置及运行维护费</w:t>
      </w:r>
      <w:r>
        <w:rPr>
          <w:rFonts w:hint="eastAsia" w:ascii="仿宋" w:hAnsi="仿宋" w:eastAsia="仿宋" w:cs="仿宋"/>
          <w:sz w:val="32"/>
          <w:szCs w:val="32"/>
          <w:lang w:eastAsia="zh-CN"/>
        </w:rPr>
        <w:t>较年初预算无增减变化</w:t>
      </w:r>
      <w:r>
        <w:rPr>
          <w:rFonts w:hint="eastAsia" w:ascii="仿宋" w:hAnsi="仿宋" w:eastAsia="仿宋" w:cs="仿宋"/>
          <w:sz w:val="32"/>
          <w:szCs w:val="32"/>
        </w:rPr>
        <w:t>，原因是厉行节约；比2017年度决算减少11.68万元，降低76.94%，主要是减少原因是厉行节约。</w:t>
      </w:r>
      <w:r>
        <w:rPr>
          <w:rFonts w:eastAsia="仿宋_GB2312"/>
          <w:b/>
          <w:bCs/>
          <w:sz w:val="32"/>
          <w:szCs w:val="32"/>
        </w:rPr>
        <w:t>其中：</w:t>
      </w:r>
    </w:p>
    <w:p>
      <w:pPr>
        <w:ind w:firstLine="643" w:firstLineChars="200"/>
        <w:rPr>
          <w:rFonts w:hint="default" w:ascii="仿宋" w:hAnsi="仿宋" w:eastAsia="仿宋" w:cs="仿宋"/>
          <w:sz w:val="32"/>
          <w:szCs w:val="32"/>
          <w:lang w:val="en-US" w:eastAsia="zh-CN"/>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hint="eastAsia" w:ascii="仿宋" w:hAnsi="仿宋" w:eastAsia="仿宋" w:cs="仿宋"/>
          <w:sz w:val="32"/>
          <w:szCs w:val="32"/>
        </w:rPr>
        <w:t>本部门2018年度</w:t>
      </w:r>
      <w:r>
        <w:rPr>
          <w:rFonts w:hint="eastAsia" w:ascii="仿宋" w:hAnsi="仿宋" w:eastAsia="仿宋" w:cs="仿宋"/>
          <w:color w:val="000000"/>
          <w:sz w:val="32"/>
          <w:szCs w:val="32"/>
          <w:lang w:eastAsia="zh-CN"/>
        </w:rPr>
        <w:t>未发生“公务用车购置”经费支出，</w:t>
      </w:r>
      <w:r>
        <w:rPr>
          <w:rFonts w:hint="eastAsia" w:ascii="仿宋" w:hAnsi="仿宋" w:eastAsia="仿宋" w:cs="仿宋"/>
          <w:color w:val="000000"/>
          <w:sz w:val="32"/>
          <w:szCs w:val="32"/>
          <w:lang w:val="en-US" w:eastAsia="zh-CN"/>
        </w:rPr>
        <w:t>主要是厉行节约。较2017年度决算无增减变化。</w:t>
      </w:r>
    </w:p>
    <w:p>
      <w:pPr>
        <w:adjustRightInd w:val="0"/>
        <w:snapToGrid w:val="0"/>
        <w:spacing w:line="584" w:lineRule="exact"/>
        <w:ind w:firstLine="643" w:firstLineChars="200"/>
        <w:rPr>
          <w:rFonts w:ascii="仿宋" w:hAnsi="仿宋" w:eastAsia="仿宋" w:cs="仿宋"/>
          <w:sz w:val="32"/>
          <w:szCs w:val="32"/>
          <w:highlight w:val="yellow"/>
        </w:rPr>
      </w:pPr>
      <w:r>
        <w:rPr>
          <w:rFonts w:eastAsia="仿宋_GB2312"/>
          <w:b/>
          <w:sz w:val="32"/>
          <w:szCs w:val="32"/>
        </w:rPr>
        <w:t>公务用车运行维护费支出</w:t>
      </w:r>
      <w:r>
        <w:rPr>
          <w:rFonts w:hint="eastAsia" w:eastAsia="仿宋_GB2312"/>
          <w:b/>
          <w:sz w:val="32"/>
          <w:szCs w:val="32"/>
        </w:rPr>
        <w:t>3.5</w:t>
      </w:r>
      <w:r>
        <w:rPr>
          <w:rFonts w:eastAsia="仿宋_GB2312"/>
          <w:b/>
          <w:sz w:val="32"/>
          <w:szCs w:val="32"/>
        </w:rPr>
        <w:t>万元。</w:t>
      </w:r>
      <w:r>
        <w:rPr>
          <w:rFonts w:hint="eastAsia" w:ascii="仿宋" w:hAnsi="仿宋" w:eastAsia="仿宋" w:cs="仿宋"/>
          <w:sz w:val="32"/>
          <w:szCs w:val="32"/>
        </w:rPr>
        <w:t>本部门2018年末单位公务用车保有量3辆。</w:t>
      </w:r>
      <w:r>
        <w:rPr>
          <w:rFonts w:hint="eastAsia" w:ascii="仿宋" w:hAnsi="仿宋" w:eastAsia="仿宋" w:cs="仿宋"/>
          <w:sz w:val="32"/>
          <w:szCs w:val="32"/>
          <w:lang w:eastAsia="zh-CN"/>
        </w:rPr>
        <w:t>较年初无增减变化，</w:t>
      </w:r>
      <w:r>
        <w:rPr>
          <w:rFonts w:hint="eastAsia" w:ascii="仿宋" w:hAnsi="仿宋" w:eastAsia="仿宋" w:cs="仿宋"/>
          <w:sz w:val="32"/>
          <w:szCs w:val="32"/>
          <w:lang w:val="en-US" w:eastAsia="zh-CN"/>
        </w:rPr>
        <w:t>主要</w:t>
      </w:r>
      <w:r>
        <w:rPr>
          <w:rFonts w:hint="eastAsia" w:ascii="仿宋" w:hAnsi="仿宋" w:eastAsia="仿宋" w:cs="仿宋"/>
          <w:sz w:val="32"/>
          <w:szCs w:val="32"/>
        </w:rPr>
        <w:t>原因是厉行节约；比2017年度决算减少11.68万元，降低76.94%，主要是减少原因是厉行节约。</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sz w:val="32"/>
          <w:szCs w:val="32"/>
        </w:rPr>
        <w:t>本部门</w:t>
      </w:r>
      <w:r>
        <w:rPr>
          <w:rFonts w:hint="eastAsia" w:ascii="仿宋" w:hAnsi="仿宋" w:eastAsia="仿宋" w:cs="仿宋"/>
          <w:sz w:val="32"/>
          <w:szCs w:val="32"/>
          <w:lang w:val="en-US" w:eastAsia="zh-CN"/>
        </w:rPr>
        <w:t>2018</w:t>
      </w:r>
      <w:bookmarkStart w:id="0" w:name="_GoBack"/>
      <w:bookmarkEnd w:id="0"/>
      <w:r>
        <w:rPr>
          <w:rFonts w:hint="eastAsia" w:ascii="仿宋" w:hAnsi="仿宋" w:eastAsia="仿宋" w:cs="仿宋"/>
          <w:sz w:val="32"/>
          <w:szCs w:val="32"/>
          <w:lang w:val="en-US" w:eastAsia="zh-CN"/>
        </w:rPr>
        <w:t>年度公务接待共0批次、0人次。公务接待费支出较预算减少0万元，较上年度减少0万元。</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jc w:val="left"/>
        <w:rPr>
          <w:rFonts w:ascii="Calibri" w:hAnsi="Calibri" w:eastAsia="仿宋_GB2312"/>
          <w:sz w:val="32"/>
          <w:szCs w:val="32"/>
        </w:rPr>
      </w:pPr>
      <w:r>
        <w:rPr>
          <w:rFonts w:hint="eastAsia" w:ascii="Calibri" w:hAnsi="Calibri" w:eastAsia="仿宋_GB2312"/>
          <w:sz w:val="32"/>
          <w:szCs w:val="32"/>
        </w:rPr>
        <w:t>一是绩效评价管理机制不断完善。加强了绩效评价管理与财政资金监管、财政监督检查工作的相互融合，绩效评价在预算分配、预算执行、结果应用的全过程管理机制不断完善。二是绩效管理理念逐步建立。绩效评价工作的开展，特别是绩效评价结果的应用，有利于全面提高财政资金使用的效果。</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rPr>
          <w:rFonts w:ascii="Calibri" w:hAnsi="Calibri" w:eastAsia="仿宋_GB2312"/>
          <w:sz w:val="32"/>
          <w:szCs w:val="32"/>
        </w:rPr>
      </w:pPr>
      <w:r>
        <w:rPr>
          <w:rFonts w:hint="eastAsia" w:ascii="Calibri" w:hAnsi="Calibri" w:eastAsia="仿宋_GB2312"/>
          <w:sz w:val="32"/>
          <w:szCs w:val="32"/>
        </w:rPr>
        <w:t>通过评价，一是增强了财政支出绩效管理观念，促进财政资金分配和使用更加科学有效，提高财政资金使用效益和效率；二是强化绩效评价结果的运用，将预算绩效评价结果作为下一年度预算编制的参考依据，将部门预算编制和预算绩效管理相结合，使预算绩效管理和预算编制更加规范化。</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ind w:firstLine="640" w:firstLineChars="200"/>
        <w:jc w:val="left"/>
        <w:rPr>
          <w:rFonts w:ascii="Calibri" w:hAnsi="Calibri" w:eastAsia="仿宋_GB2312"/>
          <w:sz w:val="32"/>
          <w:szCs w:val="32"/>
        </w:rPr>
      </w:pPr>
      <w:r>
        <w:rPr>
          <w:rFonts w:hint="eastAsia" w:ascii="Calibri" w:hAnsi="Calibri" w:eastAsia="仿宋_GB2312"/>
          <w:sz w:val="32"/>
          <w:szCs w:val="32"/>
        </w:rPr>
        <w:t>评价结果看，我单位能较好地完成项目，取得良好的社会效益，资金管理完善，达到预期的效益目标。</w:t>
      </w:r>
    </w:p>
    <w:p>
      <w:pPr>
        <w:jc w:val="center"/>
        <w:outlineLvl w:val="0"/>
        <w:rPr>
          <w:rFonts w:ascii="方正小标宋_GBK" w:eastAsia="方正小标宋_GBK"/>
          <w:sz w:val="32"/>
        </w:rPr>
      </w:pPr>
      <w:r>
        <w:rPr>
          <w:rFonts w:hint="eastAsia" w:ascii="仿宋_GB2312" w:hAnsi="仿宋_GB2312" w:eastAsia="仿宋_GB2312" w:cs="仿宋_GB2312"/>
          <w:b/>
          <w:sz w:val="32"/>
          <w:szCs w:val="32"/>
        </w:rPr>
        <w:t>部门职责及工作活动绩效目标指标：</w:t>
      </w:r>
    </w:p>
    <w:tbl>
      <w:tblPr>
        <w:tblStyle w:val="12"/>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23"/>
        <w:gridCol w:w="978"/>
        <w:gridCol w:w="1403"/>
        <w:gridCol w:w="1300"/>
        <w:gridCol w:w="936"/>
        <w:gridCol w:w="852"/>
        <w:gridCol w:w="711"/>
        <w:gridCol w:w="780"/>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362" w:type="pct"/>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426</w:t>
            </w:r>
            <w:r>
              <w:rPr>
                <w:rFonts w:hint="eastAsia" w:ascii="方正小标宋_GBK" w:eastAsia="方正小标宋_GBK"/>
                <w:sz w:val="24"/>
              </w:rPr>
              <w:t>大城县安全生产监督管理局</w:t>
            </w:r>
          </w:p>
        </w:tc>
        <w:tc>
          <w:tcPr>
            <w:tcW w:w="1638" w:type="pct"/>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14" w:type="pct"/>
            <w:vMerge w:val="restar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职责活动</w:t>
            </w:r>
          </w:p>
        </w:tc>
        <w:tc>
          <w:tcPr>
            <w:tcW w:w="426" w:type="pct"/>
            <w:vMerge w:val="restar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年度预算数</w:t>
            </w:r>
          </w:p>
        </w:tc>
        <w:tc>
          <w:tcPr>
            <w:tcW w:w="904" w:type="pct"/>
            <w:vMerge w:val="restar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内容描述</w:t>
            </w:r>
          </w:p>
        </w:tc>
        <w:tc>
          <w:tcPr>
            <w:tcW w:w="853" w:type="pct"/>
            <w:vMerge w:val="restar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绩效目标</w:t>
            </w:r>
          </w:p>
        </w:tc>
        <w:tc>
          <w:tcPr>
            <w:tcW w:w="266" w:type="pct"/>
            <w:vMerge w:val="restar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绩效指标</w:t>
            </w:r>
          </w:p>
        </w:tc>
        <w:tc>
          <w:tcPr>
            <w:tcW w:w="1638" w:type="pct"/>
            <w:gridSpan w:val="4"/>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14" w:type="pct"/>
            <w:vMerge w:val="continue"/>
            <w:shd w:val="clear" w:color="auto" w:fill="auto"/>
            <w:vAlign w:val="center"/>
          </w:tcPr>
          <w:p>
            <w:pPr>
              <w:spacing w:line="300" w:lineRule="exact"/>
              <w:jc w:val="left"/>
              <w:outlineLvl w:val="0"/>
              <w:rPr>
                <w:sz w:val="24"/>
              </w:rPr>
            </w:pPr>
          </w:p>
        </w:tc>
        <w:tc>
          <w:tcPr>
            <w:tcW w:w="426" w:type="pct"/>
            <w:vMerge w:val="continue"/>
            <w:shd w:val="clear" w:color="auto" w:fill="auto"/>
            <w:vAlign w:val="center"/>
          </w:tcPr>
          <w:p>
            <w:pPr>
              <w:spacing w:line="300" w:lineRule="exact"/>
              <w:jc w:val="left"/>
              <w:outlineLvl w:val="0"/>
              <w:rPr>
                <w:sz w:val="24"/>
              </w:rPr>
            </w:pPr>
          </w:p>
        </w:tc>
        <w:tc>
          <w:tcPr>
            <w:tcW w:w="904" w:type="pct"/>
            <w:vMerge w:val="continue"/>
            <w:shd w:val="clear" w:color="auto" w:fill="auto"/>
            <w:vAlign w:val="center"/>
          </w:tcPr>
          <w:p>
            <w:pPr>
              <w:spacing w:line="300" w:lineRule="exact"/>
              <w:jc w:val="left"/>
              <w:outlineLvl w:val="0"/>
              <w:rPr>
                <w:sz w:val="24"/>
              </w:rPr>
            </w:pPr>
          </w:p>
        </w:tc>
        <w:tc>
          <w:tcPr>
            <w:tcW w:w="853" w:type="pct"/>
            <w:vMerge w:val="continue"/>
            <w:shd w:val="clear" w:color="auto" w:fill="auto"/>
            <w:vAlign w:val="center"/>
          </w:tcPr>
          <w:p>
            <w:pPr>
              <w:spacing w:line="300" w:lineRule="exact"/>
              <w:jc w:val="left"/>
              <w:outlineLvl w:val="0"/>
              <w:rPr>
                <w:sz w:val="24"/>
              </w:rPr>
            </w:pPr>
          </w:p>
        </w:tc>
        <w:tc>
          <w:tcPr>
            <w:tcW w:w="266" w:type="pct"/>
            <w:vMerge w:val="continue"/>
            <w:shd w:val="clear" w:color="auto" w:fill="auto"/>
            <w:vAlign w:val="center"/>
          </w:tcPr>
          <w:p>
            <w:pPr>
              <w:spacing w:line="300" w:lineRule="exact"/>
              <w:jc w:val="left"/>
              <w:outlineLvl w:val="0"/>
              <w:rPr>
                <w:sz w:val="24"/>
              </w:rPr>
            </w:pPr>
          </w:p>
        </w:tc>
        <w:tc>
          <w:tcPr>
            <w:tcW w:w="160" w:type="pc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优</w:t>
            </w:r>
          </w:p>
        </w:tc>
        <w:tc>
          <w:tcPr>
            <w:tcW w:w="213" w:type="pc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良</w:t>
            </w:r>
          </w:p>
        </w:tc>
        <w:tc>
          <w:tcPr>
            <w:tcW w:w="213" w:type="pc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中</w:t>
            </w:r>
          </w:p>
        </w:tc>
        <w:tc>
          <w:tcPr>
            <w:tcW w:w="1052" w:type="pct"/>
            <w:shd w:val="clear" w:color="auto" w:fill="auto"/>
            <w:vAlign w:val="center"/>
          </w:tcPr>
          <w:p>
            <w:pPr>
              <w:spacing w:line="300" w:lineRule="exact"/>
              <w:jc w:val="center"/>
              <w:rPr>
                <w:rFonts w:ascii="方正书宋_GBK" w:eastAsia="方正书宋_GBK"/>
                <w:b/>
                <w:sz w:val="24"/>
              </w:rPr>
            </w:pPr>
            <w:r>
              <w:rPr>
                <w:rFonts w:hint="eastAsia" w:ascii="方正书宋_GBK" w:eastAsia="方正书宋_GBK"/>
                <w:b/>
                <w:sz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一、组织全县安全生产综合监督管理</w:t>
            </w:r>
          </w:p>
        </w:tc>
        <w:tc>
          <w:tcPr>
            <w:tcW w:w="42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193.15</w:t>
            </w:r>
          </w:p>
        </w:tc>
        <w:tc>
          <w:tcPr>
            <w:tcW w:w="904"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853"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组织制订全县各行业隐患排查标准；组织开展安全生产事故专项调查；提出安全生产举报奖励意见；开展安全生产宣传教育活动，定期向社会公布安全生产重大事项情况；组织对安全生产责任人</w:t>
            </w: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1</w:t>
            </w:r>
            <w:r>
              <w:rPr>
                <w:rFonts w:hint="eastAsia" w:ascii="方正书宋_GBK" w:eastAsia="方正书宋_GBK"/>
                <w:b/>
                <w:sz w:val="24"/>
              </w:rPr>
              <w:t>、加强安全生产执法监察检查</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96.84</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隐患整改率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行政处罚率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生产经营单位执法检查率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2</w:t>
            </w:r>
            <w:r>
              <w:rPr>
                <w:rFonts w:hint="eastAsia" w:ascii="方正书宋_GBK" w:eastAsia="方正书宋_GBK"/>
                <w:b/>
                <w:sz w:val="24"/>
              </w:rPr>
              <w:t>、加强重大危险源安全管理</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11.00</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加强重大危险源的监测、监控、辨识与评估及登记建档、备案与核销等安全管理；建设县级重大危险源单位监管体系；开展重大危险源执法检查工作。</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重大危险源企业备案率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危险源点安全运行率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重大危险源辨识、登记建档数</w:t>
            </w: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重大危险源备案数</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3</w:t>
            </w:r>
            <w:r>
              <w:rPr>
                <w:rFonts w:hint="eastAsia" w:ascii="方正书宋_GBK" w:eastAsia="方正书宋_GBK"/>
                <w:b/>
                <w:sz w:val="24"/>
              </w:rPr>
              <w:t>、加强职业危害防治及专项治理</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承担工矿商贸作业场所（煤矿作业场所除外）职业卫生监督检查责任，依法颁发和管理职业卫生安全许可证，组织调查处理职业危害事故和违法违规行为；完成对水泥、石材加工行业以及重点行业的专项治理，组织查处用人单位职业病危害事故。</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群体性职业病危害事件发生次数</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树立职业卫生标杆示范企业数量</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职业病危害专项治理企业占比数</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30%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4</w:t>
            </w:r>
            <w:r>
              <w:rPr>
                <w:rFonts w:hint="eastAsia" w:ascii="方正书宋_GBK" w:eastAsia="方正书宋_GBK"/>
                <w:b/>
                <w:sz w:val="24"/>
              </w:rPr>
              <w:t>、构建和完善安全生产监管体系</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10.00</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制定实施行业及有关综合性安全生产规章、规程和工矿商贸安全生产标准；组织开展安全生产事故专项调查；提出安全生产举报奖励意见；开展安全生产宣传教育活动，定期向社会公布安全生产重大事项情况；组织全县安全生产目标管理及考核工作；促进企业全面落实安全生产诚信管理。</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安全事故有效处理率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A</w:t>
            </w:r>
            <w:r>
              <w:rPr>
                <w:rFonts w:hint="eastAsia" w:ascii="方正书宋_GBK" w:eastAsia="方正书宋_GBK"/>
                <w:sz w:val="24"/>
              </w:rPr>
              <w:t>级以上企业比例</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信息平台功能实现情况</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安全培训达标率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安全生产标准化达标率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专项抽查覆盖率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监管覆盖率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5</w:t>
            </w:r>
            <w:r>
              <w:rPr>
                <w:rFonts w:hint="eastAsia" w:ascii="方正书宋_GBK" w:eastAsia="方正书宋_GBK"/>
                <w:b/>
                <w:sz w:val="24"/>
              </w:rPr>
              <w:t>、促进安全生产科学技术研究与推广应用</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75.31</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组织有关企事业单位和科研院所开展全县安全生产创新科技成果研发和推广；按照国家统一要求，组织推荐申报国家安全生产科技成果。</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安全科技成果推广应用效果</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事故下降</w:t>
            </w:r>
            <w:r>
              <w:rPr>
                <w:rFonts w:ascii="方正书宋_GBK" w:eastAsia="方正书宋_GBK"/>
                <w:sz w:val="24"/>
              </w:rPr>
              <w:t>2%</w:t>
            </w:r>
            <w:r>
              <w:rPr>
                <w:rFonts w:hint="eastAsia" w:ascii="方正书宋_GBK" w:eastAsia="方正书宋_GBK"/>
                <w:sz w:val="24"/>
              </w:rPr>
              <w:t>以上</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事故下降</w:t>
            </w:r>
            <w:r>
              <w:rPr>
                <w:rFonts w:ascii="方正书宋_GBK" w:eastAsia="方正书宋_GBK"/>
                <w:sz w:val="24"/>
              </w:rPr>
              <w:t>1%</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持平</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上升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优秀成果数量</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创新科技成果评选</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二、重点行业安全生产监管</w:t>
            </w:r>
          </w:p>
        </w:tc>
        <w:tc>
          <w:tcPr>
            <w:tcW w:w="42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50.00</w:t>
            </w:r>
          </w:p>
        </w:tc>
        <w:tc>
          <w:tcPr>
            <w:tcW w:w="904"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按照分级、属地原则，依法监督检查工矿商贸生产经营单位贯彻执行安全生产法律法规情况及其安全生产条件和有关设备</w:t>
            </w:r>
            <w:r>
              <w:rPr>
                <w:rFonts w:ascii="方正书宋_GBK" w:eastAsia="方正书宋_GBK"/>
                <w:sz w:val="24"/>
              </w:rPr>
              <w:t>(</w:t>
            </w:r>
            <w:r>
              <w:rPr>
                <w:rFonts w:hint="eastAsia" w:ascii="方正书宋_GBK" w:eastAsia="方正书宋_GBK"/>
                <w:sz w:val="24"/>
              </w:rPr>
              <w:t>适用《特种设备安全监察条例》的特种设备除外</w:t>
            </w:r>
            <w:r>
              <w:rPr>
                <w:rFonts w:ascii="方正书宋_GBK" w:eastAsia="方正书宋_GBK"/>
                <w:sz w:val="24"/>
              </w:rPr>
              <w:t>)</w:t>
            </w:r>
            <w:r>
              <w:rPr>
                <w:rFonts w:hint="eastAsia" w:ascii="方正书宋_GBK" w:eastAsia="方正书宋_GBK"/>
                <w:sz w:val="24"/>
              </w:rPr>
              <w:t>、材料、劳动防护用品的安全管理工作；承担非煤矿山企业和危险化学品、烟花爆竹生产企业安全生产准入管理责任，依法组织实施安全生产准入制度；负责危险化学品安全监督管理综合工作和烟花爆竹安全生产监督管理工作。</w:t>
            </w:r>
          </w:p>
        </w:tc>
        <w:tc>
          <w:tcPr>
            <w:tcW w:w="853"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p>
            <w:pPr>
              <w:spacing w:line="300" w:lineRule="exact"/>
              <w:jc w:val="left"/>
              <w:rPr>
                <w:rFonts w:ascii="方正书宋_GBK" w:eastAsia="方正书宋_GBK"/>
                <w:sz w:val="24"/>
              </w:rPr>
            </w:pPr>
            <w:r>
              <w:rPr>
                <w:rFonts w:hint="eastAsia" w:ascii="方正书宋_GBK" w:eastAsia="方正书宋_GBK"/>
                <w:sz w:val="24"/>
              </w:rPr>
              <w:t>加强煤矿的安全生产执法、职业卫生监管和隐患排查力度；实施全县煤矿整合关闭等整顿政策；组织开展煤矿安全生产标准化和执法活动；监督指导煤矿安全事故隐患排查治理；监督</w:t>
            </w: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1</w:t>
            </w:r>
            <w:r>
              <w:rPr>
                <w:rFonts w:hint="eastAsia" w:ascii="方正书宋_GBK" w:eastAsia="方正书宋_GBK"/>
                <w:b/>
                <w:sz w:val="24"/>
              </w:rPr>
              <w:t>、加强高危重点行业、商贸及金属非金属矿山安全生产监管</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50.00</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隐患排查率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隐患整改率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排查高危生产经营企业（家）安全隐患企业数量</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矿山整治率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20%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事故发生数</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2</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事故有效处理率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2</w:t>
            </w:r>
            <w:r>
              <w:rPr>
                <w:rFonts w:hint="eastAsia" w:ascii="方正书宋_GBK" w:eastAsia="方正书宋_GBK"/>
                <w:b/>
                <w:sz w:val="24"/>
              </w:rPr>
              <w:t>、加强煤炭安全监管</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加强煤矿的安全生产执法、职业卫生监管和隐患排查力度；实施全县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煤矿事故有效处理率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安全质量标准化达标率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煤矿关停工作目标完成率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煤矿事故起数和死亡人数</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低于国家下达目标</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与国家下达目标持平</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高于国家下达目标</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大幅度高于国家下达目标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3</w:t>
            </w:r>
            <w:r>
              <w:rPr>
                <w:rFonts w:hint="eastAsia" w:ascii="方正书宋_GBK" w:eastAsia="方正书宋_GBK"/>
                <w:b/>
                <w:sz w:val="24"/>
              </w:rPr>
              <w:t>、非煤矿山综合治理</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对尾矿库进行必库和生态修复，实施石膏矿关闭退出，组织非煤矿山隐患排查活动，实施一批安全隐患治理项目，提升非煤矿山安全生产水平。</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隐患排查整改率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非煤矿山安全事故的减少量</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r>
              <w:rPr>
                <w:rFonts w:hint="eastAsia" w:ascii="方正书宋_GBK" w:eastAsia="方正书宋_GBK"/>
                <w:sz w:val="24"/>
              </w:rPr>
              <w:t>起以上</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r>
              <w:rPr>
                <w:rFonts w:hint="eastAsia" w:ascii="方正书宋_GBK" w:eastAsia="方正书宋_GBK"/>
                <w:sz w:val="24"/>
              </w:rPr>
              <w:t>起</w:t>
            </w:r>
            <w:r>
              <w:rPr>
                <w:rFonts w:ascii="方正书宋_GBK" w:eastAsia="方正书宋_GBK"/>
                <w:sz w:val="24"/>
              </w:rPr>
              <w:t>-3</w:t>
            </w:r>
            <w:r>
              <w:rPr>
                <w:rFonts w:hint="eastAsia" w:ascii="方正书宋_GBK" w:eastAsia="方正书宋_GBK"/>
                <w:sz w:val="24"/>
              </w:rPr>
              <w:t>起</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与</w:t>
            </w:r>
            <w:r>
              <w:rPr>
                <w:rFonts w:ascii="方正书宋_GBK" w:eastAsia="方正书宋_GBK"/>
                <w:sz w:val="24"/>
              </w:rPr>
              <w:t>2016</w:t>
            </w:r>
            <w:r>
              <w:rPr>
                <w:rFonts w:hint="eastAsia" w:ascii="方正书宋_GBK" w:eastAsia="方正书宋_GBK"/>
                <w:sz w:val="24"/>
              </w:rPr>
              <w:t>年持平</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事故增加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尾矿库生态修复任务完成率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石膏矿关停取缔完成率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70%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4</w:t>
            </w:r>
            <w:r>
              <w:rPr>
                <w:rFonts w:hint="eastAsia" w:ascii="方正书宋_GBK" w:eastAsia="方正书宋_GBK"/>
                <w:b/>
                <w:sz w:val="24"/>
              </w:rPr>
              <w:t>、全县铁路道口安全管理</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制定本县监护道口安全管理制度，会同县政府及铁路部门综合分析全县监护道口安全监护现状及存在问题，制定改进措施，并监督实施；组织全县监护道口安全大检查和专项督查，督促有关部门及时消除安全隐患；配合铁路有关部门对重大道口事故进行调查、处理。</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铁路交通运行情况</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通畅运行</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出现拥堵</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发生交通事故</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发生死亡事故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铁路道口安全隐患排查整改率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铁路道口标准化创建情况</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三、组织指挥和协调全县安全生产应急救援</w:t>
            </w:r>
          </w:p>
        </w:tc>
        <w:tc>
          <w:tcPr>
            <w:tcW w:w="42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15.00</w:t>
            </w:r>
          </w:p>
        </w:tc>
        <w:tc>
          <w:tcPr>
            <w:tcW w:w="904"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安全生产指导预案编制和备案管理，组织应急救援演练，组织协调全县安全生产救援工作。</w:t>
            </w:r>
          </w:p>
        </w:tc>
        <w:tc>
          <w:tcPr>
            <w:tcW w:w="853"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组织指导全县安全生产应急救援预案编制和备案管理，结合事故多发、易发，应急管理基础薄弱的地区、领域、时段、岗位等重点，组织开展实战化应急演练。加强应急救援队伍、装备和信息系统建设，完善安全生产应急平台，提高全县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p>
            <w:pPr>
              <w:spacing w:line="300" w:lineRule="exact"/>
              <w:jc w:val="left"/>
              <w:rPr>
                <w:rFonts w:ascii="方正书宋_GBK" w:eastAsia="方正书宋_GBK"/>
                <w:sz w:val="24"/>
              </w:rPr>
            </w:pPr>
            <w:r>
              <w:rPr>
                <w:rFonts w:hint="eastAsia" w:ascii="方正书宋_GBK" w:eastAsia="方正书宋_GBK"/>
                <w:sz w:val="24"/>
              </w:rPr>
              <w:t>启动应急预案，组织协调救援力量、装备、专家参与救</w:t>
            </w: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1</w:t>
            </w:r>
            <w:r>
              <w:rPr>
                <w:rFonts w:hint="eastAsia" w:ascii="方正书宋_GBK" w:eastAsia="方正书宋_GBK"/>
                <w:b/>
                <w:sz w:val="24"/>
              </w:rPr>
              <w:t>、组织应急预案编制及应急演练</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10.00</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组织指导全县安全生产应急救援预案编制和备案管理，结合事故多发、易发，应急管理基础薄弱的地区、领域、时段、岗位等重点，组织开展实战化应急演练。</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专业救援队伍人员增长率</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持平</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应急预案演练完成率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应急演练次数</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2</w:t>
            </w:r>
            <w:r>
              <w:rPr>
                <w:rFonts w:hint="eastAsia" w:ascii="方正书宋_GBK" w:eastAsia="方正书宋_GBK"/>
                <w:b/>
                <w:sz w:val="24"/>
              </w:rPr>
              <w:t>、加强应急救援体系建设</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加强应急救援队伍、装备和信息系统建设，完善安全生产应急平台，提高全县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应急管理人员培训人次</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应急救援中心设备有效运转率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应急救援装备、设备完好率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应急基地演练次数</w:t>
            </w:r>
          </w:p>
        </w:tc>
        <w:tc>
          <w:tcPr>
            <w:tcW w:w="160"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4</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3</w:t>
            </w:r>
          </w:p>
        </w:tc>
        <w:tc>
          <w:tcPr>
            <w:tcW w:w="213"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2</w:t>
            </w:r>
          </w:p>
        </w:tc>
        <w:tc>
          <w:tcPr>
            <w:tcW w:w="1052"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应急救援平台功能实现率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3</w:t>
            </w:r>
            <w:r>
              <w:rPr>
                <w:rFonts w:hint="eastAsia" w:ascii="方正书宋_GBK" w:eastAsia="方正书宋_GBK"/>
                <w:b/>
                <w:sz w:val="24"/>
              </w:rPr>
              <w:t>、组织实施应急处置与救援</w:t>
            </w:r>
          </w:p>
        </w:tc>
        <w:tc>
          <w:tcPr>
            <w:tcW w:w="426" w:type="pct"/>
            <w:vMerge w:val="restar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5.00</w:t>
            </w: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启动应急预案，组织协调救援力量、装备、专家参与救援，制定救援方案，科学施救，保障救援工作顺利进行</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专业救援队伍人员增长率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应急预案演练完成率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应急救援任务有效完成率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四、安全生产政务管理</w:t>
            </w:r>
          </w:p>
        </w:tc>
        <w:tc>
          <w:tcPr>
            <w:tcW w:w="42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108.36</w:t>
            </w:r>
          </w:p>
        </w:tc>
        <w:tc>
          <w:tcPr>
            <w:tcW w:w="904"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实施安全生产法规及标准制定</w:t>
            </w:r>
            <w:r>
              <w:rPr>
                <w:rFonts w:ascii="方正书宋_GBK" w:eastAsia="方正书宋_GBK"/>
                <w:sz w:val="24"/>
              </w:rPr>
              <w:t>,</w:t>
            </w:r>
            <w:r>
              <w:rPr>
                <w:rFonts w:hint="eastAsia" w:ascii="方正书宋_GBK" w:eastAsia="方正书宋_GBK"/>
                <w:sz w:val="24"/>
              </w:rPr>
              <w:t>编制安全生产规划，开展安全生产调研和相关政策制订；开展对外合作交流；加强行政审批管理；为保障机关履行安全生产监管基本职责提供必要条件。</w:t>
            </w:r>
          </w:p>
        </w:tc>
        <w:tc>
          <w:tcPr>
            <w:tcW w:w="853"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制定全县安全生产发展战略和规划、指导系统业务活动；加强专项资金监管；开展对外合作交流；加强安全生产审批管理；信访接待、业务宣传、政务信息公开等工作；开展网上行政服务；依法行政等。</w:t>
            </w:r>
          </w:p>
          <w:p>
            <w:pPr>
              <w:spacing w:line="300" w:lineRule="exact"/>
              <w:jc w:val="left"/>
              <w:rPr>
                <w:rFonts w:ascii="方正书宋_GBK" w:eastAsia="方正书宋_GBK"/>
                <w:sz w:val="24"/>
              </w:rPr>
            </w:pPr>
            <w:r>
              <w:rPr>
                <w:rFonts w:hint="eastAsia" w:ascii="方正书宋_GBK" w:eastAsia="方正书宋_GBK"/>
                <w:sz w:val="24"/>
              </w:rPr>
              <w:t>做好会议组织管理、信息化建设与维护、机关财务和资产管理、标准化建设、基建及维修、大型设备购置、人事管理、党务管理、老干部工作等。负责直属企事业单位管理工作。</w:t>
            </w: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restar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1</w:t>
            </w:r>
            <w:r>
              <w:rPr>
                <w:rFonts w:hint="eastAsia" w:ascii="方正书宋_GBK" w:eastAsia="方正书宋_GBK"/>
                <w:b/>
                <w:sz w:val="24"/>
              </w:rPr>
              <w:t>、综合业务管理</w:t>
            </w:r>
          </w:p>
        </w:tc>
        <w:tc>
          <w:tcPr>
            <w:tcW w:w="426" w:type="pct"/>
            <w:vMerge w:val="restart"/>
            <w:shd w:val="clear" w:color="auto" w:fill="auto"/>
            <w:vAlign w:val="center"/>
          </w:tcPr>
          <w:p>
            <w:pPr>
              <w:spacing w:line="300" w:lineRule="exact"/>
              <w:jc w:val="left"/>
              <w:rPr>
                <w:rFonts w:ascii="方正书宋_GBK" w:eastAsia="方正书宋_GBK"/>
                <w:sz w:val="24"/>
              </w:rPr>
            </w:pPr>
          </w:p>
        </w:tc>
        <w:tc>
          <w:tcPr>
            <w:tcW w:w="904" w:type="pct"/>
            <w:vMerge w:val="restar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制定全县安全生产发展战略和规划、指导系统业务活动；开展安全生产专项调查研究，加强专项资金监管；开展对外合作交流；加强安全生产审批管理；信访接待、业务宣传、政务信息公开等工作；开展网上行政服务；依法行政等。</w:t>
            </w:r>
          </w:p>
        </w:tc>
        <w:tc>
          <w:tcPr>
            <w:tcW w:w="853" w:type="pct"/>
            <w:vMerge w:val="restart"/>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综合业务管理工作完成率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vMerge w:val="continue"/>
            <w:shd w:val="clear" w:color="auto" w:fill="auto"/>
            <w:vAlign w:val="center"/>
          </w:tcPr>
          <w:p>
            <w:pPr>
              <w:spacing w:line="300" w:lineRule="exact"/>
              <w:jc w:val="left"/>
              <w:rPr>
                <w:rFonts w:ascii="方正书宋_GBK" w:eastAsia="方正书宋_GBK"/>
                <w:b/>
                <w:sz w:val="24"/>
              </w:rPr>
            </w:pPr>
          </w:p>
        </w:tc>
        <w:tc>
          <w:tcPr>
            <w:tcW w:w="426" w:type="pct"/>
            <w:vMerge w:val="continue"/>
            <w:shd w:val="clear" w:color="auto" w:fill="auto"/>
            <w:vAlign w:val="center"/>
          </w:tcPr>
          <w:p>
            <w:pPr>
              <w:spacing w:line="300" w:lineRule="exact"/>
              <w:jc w:val="left"/>
              <w:rPr>
                <w:rFonts w:ascii="方正书宋_GBK" w:eastAsia="方正书宋_GBK"/>
                <w:sz w:val="24"/>
              </w:rPr>
            </w:pPr>
          </w:p>
        </w:tc>
        <w:tc>
          <w:tcPr>
            <w:tcW w:w="904" w:type="pct"/>
            <w:vMerge w:val="continue"/>
            <w:shd w:val="clear" w:color="auto" w:fill="auto"/>
            <w:vAlign w:val="center"/>
          </w:tcPr>
          <w:p>
            <w:pPr>
              <w:spacing w:line="300" w:lineRule="exact"/>
              <w:jc w:val="left"/>
              <w:rPr>
                <w:rFonts w:ascii="方正书宋_GBK" w:eastAsia="方正书宋_GBK"/>
                <w:sz w:val="24"/>
              </w:rPr>
            </w:pPr>
          </w:p>
        </w:tc>
        <w:tc>
          <w:tcPr>
            <w:tcW w:w="853" w:type="pct"/>
            <w:vMerge w:val="continue"/>
            <w:shd w:val="clear" w:color="auto" w:fill="auto"/>
            <w:vAlign w:val="center"/>
          </w:tcPr>
          <w:p>
            <w:pPr>
              <w:spacing w:line="300" w:lineRule="exact"/>
              <w:jc w:val="left"/>
              <w:rPr>
                <w:rFonts w:ascii="方正书宋_GBK" w:eastAsia="方正书宋_GBK"/>
                <w:sz w:val="24"/>
              </w:rPr>
            </w:pPr>
          </w:p>
        </w:tc>
        <w:tc>
          <w:tcPr>
            <w:tcW w:w="266" w:type="pct"/>
            <w:shd w:val="clear" w:color="auto" w:fill="auto"/>
            <w:vAlign w:val="center"/>
          </w:tcPr>
          <w:p>
            <w:pPr>
              <w:spacing w:line="300" w:lineRule="exact"/>
              <w:jc w:val="left"/>
              <w:rPr>
                <w:rFonts w:ascii="方正书宋_GBK" w:eastAsia="方正书宋_GBK"/>
                <w:sz w:val="24"/>
              </w:rPr>
            </w:pPr>
          </w:p>
        </w:tc>
        <w:tc>
          <w:tcPr>
            <w:tcW w:w="160"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213" w:type="pct"/>
            <w:shd w:val="clear" w:color="auto" w:fill="auto"/>
            <w:vAlign w:val="center"/>
          </w:tcPr>
          <w:p>
            <w:pPr>
              <w:spacing w:line="300" w:lineRule="exact"/>
              <w:jc w:val="center"/>
              <w:rPr>
                <w:rFonts w:ascii="方正书宋_GBK" w:eastAsia="方正书宋_GBK"/>
                <w:sz w:val="24"/>
              </w:rPr>
            </w:pPr>
          </w:p>
        </w:tc>
        <w:tc>
          <w:tcPr>
            <w:tcW w:w="1052" w:type="pct"/>
            <w:shd w:val="clear" w:color="auto" w:fill="auto"/>
            <w:vAlign w:val="center"/>
          </w:tcPr>
          <w:p>
            <w:pPr>
              <w:spacing w:line="300" w:lineRule="exact"/>
              <w:jc w:val="center"/>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14" w:type="pct"/>
            <w:shd w:val="clear" w:color="auto" w:fill="auto"/>
            <w:vAlign w:val="center"/>
          </w:tcPr>
          <w:p>
            <w:pPr>
              <w:spacing w:line="300" w:lineRule="exact"/>
              <w:jc w:val="left"/>
              <w:rPr>
                <w:rFonts w:ascii="方正书宋_GBK" w:eastAsia="方正书宋_GBK"/>
                <w:b/>
                <w:sz w:val="24"/>
              </w:rPr>
            </w:pPr>
            <w:r>
              <w:rPr>
                <w:rFonts w:hint="eastAsia" w:ascii="方正书宋_GBK" w:eastAsia="方正书宋_GBK"/>
                <w:b/>
                <w:sz w:val="24"/>
              </w:rPr>
              <w:t>　　</w:t>
            </w:r>
            <w:r>
              <w:rPr>
                <w:rFonts w:ascii="方正书宋_GBK" w:eastAsia="方正书宋_GBK"/>
                <w:b/>
                <w:sz w:val="24"/>
              </w:rPr>
              <w:t>2</w:t>
            </w:r>
            <w:r>
              <w:rPr>
                <w:rFonts w:hint="eastAsia" w:ascii="方正书宋_GBK" w:eastAsia="方正书宋_GBK"/>
                <w:b/>
                <w:sz w:val="24"/>
              </w:rPr>
              <w:t>、综合事务管理</w:t>
            </w:r>
          </w:p>
        </w:tc>
        <w:tc>
          <w:tcPr>
            <w:tcW w:w="426" w:type="pct"/>
            <w:shd w:val="clear" w:color="auto" w:fill="auto"/>
            <w:vAlign w:val="center"/>
          </w:tcPr>
          <w:p>
            <w:pPr>
              <w:spacing w:line="300" w:lineRule="exact"/>
              <w:jc w:val="left"/>
              <w:rPr>
                <w:rFonts w:ascii="方正书宋_GBK" w:eastAsia="方正书宋_GBK"/>
                <w:sz w:val="24"/>
              </w:rPr>
            </w:pPr>
            <w:r>
              <w:rPr>
                <w:rFonts w:ascii="方正书宋_GBK" w:eastAsia="方正书宋_GBK"/>
                <w:sz w:val="24"/>
              </w:rPr>
              <w:t>108.36</w:t>
            </w:r>
          </w:p>
        </w:tc>
        <w:tc>
          <w:tcPr>
            <w:tcW w:w="904"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做好会议组织管理、信息化建设与维护、机关财务和资产管理、标准化建设、基建及维修、大型设备购置、人事管理、党务管理、老干部工作等。负责直属企事业单位管理工作。</w:t>
            </w:r>
          </w:p>
        </w:tc>
        <w:tc>
          <w:tcPr>
            <w:tcW w:w="853"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加强资产管理、完善机关基础建设，保障机关各项工作高效运转。</w:t>
            </w:r>
          </w:p>
        </w:tc>
        <w:tc>
          <w:tcPr>
            <w:tcW w:w="266" w:type="pct"/>
            <w:shd w:val="clear" w:color="auto" w:fill="auto"/>
            <w:vAlign w:val="center"/>
          </w:tcPr>
          <w:p>
            <w:pPr>
              <w:spacing w:line="300" w:lineRule="exact"/>
              <w:jc w:val="left"/>
              <w:rPr>
                <w:rFonts w:ascii="方正书宋_GBK" w:eastAsia="方正书宋_GBK"/>
                <w:sz w:val="24"/>
              </w:rPr>
            </w:pPr>
            <w:r>
              <w:rPr>
                <w:rFonts w:hint="eastAsia" w:ascii="方正书宋_GBK" w:eastAsia="方正书宋_GBK"/>
                <w:sz w:val="24"/>
              </w:rPr>
              <w:t>综合事务管理工作完成率</w:t>
            </w:r>
          </w:p>
        </w:tc>
        <w:tc>
          <w:tcPr>
            <w:tcW w:w="160" w:type="pct"/>
            <w:shd w:val="clear" w:color="auto" w:fill="auto"/>
            <w:vAlign w:val="center"/>
          </w:tcPr>
          <w:p>
            <w:pPr>
              <w:spacing w:line="300" w:lineRule="exact"/>
              <w:jc w:val="center"/>
              <w:rPr>
                <w:rFonts w:ascii="方正书宋_GBK" w:eastAsia="方正书宋_GBK"/>
                <w:sz w:val="24"/>
              </w:rPr>
            </w:pPr>
            <w:r>
              <w:rPr>
                <w:rFonts w:ascii="方正书宋_GBK" w:eastAsia="方正书宋_GBK"/>
                <w:sz w:val="24"/>
              </w:rPr>
              <w:t>100%</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95%</w:t>
            </w:r>
          </w:p>
        </w:tc>
        <w:tc>
          <w:tcPr>
            <w:tcW w:w="213"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c>
          <w:tcPr>
            <w:tcW w:w="1052" w:type="pct"/>
            <w:shd w:val="clear" w:color="auto" w:fill="auto"/>
            <w:vAlign w:val="center"/>
          </w:tcPr>
          <w:p>
            <w:pPr>
              <w:spacing w:line="300" w:lineRule="exact"/>
              <w:jc w:val="center"/>
              <w:rPr>
                <w:rFonts w:ascii="方正书宋_GBK" w:eastAsia="方正书宋_GBK"/>
                <w:sz w:val="24"/>
              </w:rPr>
            </w:pPr>
            <w:r>
              <w:rPr>
                <w:rFonts w:hint="eastAsia" w:ascii="方正书宋_GBK" w:eastAsia="方正书宋_GBK"/>
                <w:sz w:val="24"/>
              </w:rPr>
              <w:t>＜</w:t>
            </w:r>
            <w:r>
              <w:rPr>
                <w:rFonts w:ascii="方正书宋_GBK" w:eastAsia="方正书宋_GBK"/>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362" w:type="pct"/>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p>
        </w:tc>
        <w:tc>
          <w:tcPr>
            <w:tcW w:w="1638" w:type="pct"/>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bl>
    <w:p>
      <w:pPr>
        <w:spacing w:line="300" w:lineRule="exact"/>
        <w:jc w:val="left"/>
        <w:outlineLvl w:val="0"/>
        <w:rPr>
          <w:sz w:val="13"/>
          <w:szCs w:val="13"/>
        </w:rPr>
        <w:sectPr>
          <w:pgSz w:w="11907" w:h="16839"/>
          <w:pgMar w:top="1361" w:right="1020" w:bottom="1361" w:left="1020" w:header="851" w:footer="992" w:gutter="0"/>
          <w:cols w:space="720" w:num="1"/>
          <w:docGrid w:type="lines" w:linePitch="312" w:charSpace="0"/>
        </w:sectPr>
      </w:pPr>
    </w:p>
    <w:p>
      <w:pPr>
        <w:ind w:firstLine="260" w:firstLineChars="200"/>
        <w:jc w:val="left"/>
        <w:rPr>
          <w:rFonts w:ascii="Calibri" w:hAnsi="Calibri" w:eastAsia="仿宋_GB2312"/>
          <w:sz w:val="13"/>
          <w:szCs w:val="13"/>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本部门2018年度机关运行经费支出30</w:t>
      </w:r>
      <w:r>
        <w:rPr>
          <w:rFonts w:hint="eastAsia" w:ascii="宋体" w:hAnsi="宋体" w:cs="宋体"/>
          <w:sz w:val="32"/>
          <w:szCs w:val="32"/>
        </w:rPr>
        <w:t>.2</w:t>
      </w:r>
      <w:r>
        <w:rPr>
          <w:rFonts w:hint="eastAsia" w:ascii="仿宋_GB2312" w:eastAsia="仿宋_GB2312" w:cs="DengXian-Regular"/>
          <w:sz w:val="32"/>
          <w:szCs w:val="32"/>
        </w:rPr>
        <w:t>万元，比年初预算数减少</w:t>
      </w:r>
      <w:r>
        <w:rPr>
          <w:rFonts w:hint="eastAsia" w:eastAsia="仿宋_GB2312"/>
          <w:sz w:val="32"/>
          <w:szCs w:val="32"/>
        </w:rPr>
        <w:t>5.4</w:t>
      </w:r>
      <w:r>
        <w:rPr>
          <w:rFonts w:hint="eastAsia" w:ascii="仿宋_GB2312" w:eastAsia="仿宋_GB2312" w:cs="DengXian-Regular"/>
          <w:sz w:val="32"/>
          <w:szCs w:val="32"/>
        </w:rPr>
        <w:t>万元，降低15</w:t>
      </w:r>
      <w:r>
        <w:rPr>
          <w:rFonts w:hint="eastAsia" w:ascii="宋体" w:hAnsi="宋体" w:cs="宋体"/>
          <w:sz w:val="32"/>
          <w:szCs w:val="32"/>
        </w:rPr>
        <w:t>.17</w:t>
      </w:r>
      <w:r>
        <w:rPr>
          <w:rFonts w:eastAsia="仿宋_GB2312"/>
          <w:sz w:val="32"/>
          <w:szCs w:val="32"/>
        </w:rPr>
        <w:t>%</w:t>
      </w:r>
      <w:r>
        <w:rPr>
          <w:rFonts w:hint="eastAsia" w:ascii="仿宋_GB2312" w:eastAsia="仿宋_GB2312" w:cs="DengXian-Regular"/>
          <w:sz w:val="32"/>
          <w:szCs w:val="32"/>
        </w:rPr>
        <w:t>。主要是</w:t>
      </w:r>
      <w:r>
        <w:rPr>
          <w:rFonts w:hint="eastAsia" w:ascii="宋体" w:hAnsi="宋体" w:cs="宋体"/>
          <w:sz w:val="32"/>
          <w:szCs w:val="32"/>
        </w:rPr>
        <w:t>厉行节俭</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rPr>
        <w:t>0.92</w:t>
      </w:r>
      <w:r>
        <w:rPr>
          <w:rFonts w:eastAsia="仿宋_GB2312"/>
          <w:sz w:val="32"/>
          <w:szCs w:val="32"/>
        </w:rPr>
        <w:t>万元，降低</w:t>
      </w:r>
      <w:r>
        <w:rPr>
          <w:rFonts w:hint="eastAsia" w:eastAsia="仿宋_GB2312"/>
          <w:sz w:val="32"/>
          <w:szCs w:val="32"/>
        </w:rPr>
        <w:t>3</w:t>
      </w:r>
      <w:r>
        <w:rPr>
          <w:rFonts w:eastAsia="仿宋_GB2312"/>
          <w:sz w:val="32"/>
          <w:szCs w:val="32"/>
        </w:rPr>
        <w:t>%，主要是</w:t>
      </w:r>
      <w:r>
        <w:rPr>
          <w:rFonts w:hint="eastAsia" w:ascii="宋体" w:hAnsi="宋体" w:cs="宋体"/>
          <w:sz w:val="32"/>
          <w:szCs w:val="32"/>
        </w:rPr>
        <w:t>厉行节俭</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本部门2018年政府采购支出总额</w:t>
      </w:r>
      <w:r>
        <w:rPr>
          <w:rFonts w:hint="eastAsia" w:eastAsia="仿宋_GB2312" w:cs="Times New Roman"/>
          <w:b w:val="0"/>
          <w:bCs w:val="0"/>
          <w:kern w:val="2"/>
          <w:sz w:val="32"/>
          <w:szCs w:val="32"/>
          <w:lang w:val="en-US" w:eastAsia="zh-CN" w:bidi="ar-SA"/>
        </w:rPr>
        <w:t>0</w:t>
      </w:r>
      <w:r>
        <w:rPr>
          <w:rFonts w:hint="eastAsia" w:ascii="Times New Roman" w:hAnsi="Times New Roman" w:eastAsia="仿宋_GB2312" w:cs="Times New Roman"/>
          <w:b w:val="0"/>
          <w:bCs w:val="0"/>
          <w:kern w:val="2"/>
          <w:sz w:val="32"/>
          <w:szCs w:val="32"/>
          <w:lang w:val="en-US" w:eastAsia="zh-CN" w:bidi="ar-SA"/>
        </w:rPr>
        <w:t>万元，从采购类型来看，政府采购货物支出</w:t>
      </w:r>
      <w:r>
        <w:rPr>
          <w:rFonts w:hint="eastAsia" w:eastAsia="仿宋_GB2312" w:cs="Times New Roman"/>
          <w:b w:val="0"/>
          <w:bCs w:val="0"/>
          <w:kern w:val="2"/>
          <w:sz w:val="32"/>
          <w:szCs w:val="32"/>
          <w:lang w:val="en-US" w:eastAsia="zh-CN" w:bidi="ar-SA"/>
        </w:rPr>
        <w:t>0</w:t>
      </w:r>
      <w:r>
        <w:rPr>
          <w:rFonts w:hint="eastAsia" w:ascii="Times New Roman" w:hAnsi="Times New Roman" w:eastAsia="仿宋_GB2312" w:cs="Times New Roman"/>
          <w:b w:val="0"/>
          <w:bCs w:val="0"/>
          <w:kern w:val="2"/>
          <w:sz w:val="32"/>
          <w:szCs w:val="32"/>
          <w:lang w:val="en-US" w:eastAsia="zh-CN" w:bidi="ar-SA"/>
        </w:rPr>
        <w:t>万元，政府采购工程支出0万元，政府采购服务支出0万元，授予中小企业合同金0万元，占政府采购支出总额的0%，其中授予小微企业合同金额</w:t>
      </w:r>
      <w:r>
        <w:rPr>
          <w:rFonts w:hint="eastAsia" w:eastAsia="仿宋_GB2312" w:cs="Times New Roman"/>
          <w:b w:val="0"/>
          <w:bCs w:val="0"/>
          <w:kern w:val="2"/>
          <w:sz w:val="32"/>
          <w:szCs w:val="32"/>
          <w:lang w:val="en-US" w:eastAsia="zh-CN" w:bidi="ar-SA"/>
        </w:rPr>
        <w:t>0</w:t>
      </w:r>
      <w:r>
        <w:rPr>
          <w:rFonts w:hint="eastAsia" w:ascii="Times New Roman" w:hAnsi="Times New Roman" w:eastAsia="仿宋_GB2312" w:cs="Times New Roman"/>
          <w:b w:val="0"/>
          <w:bCs w:val="0"/>
          <w:kern w:val="2"/>
          <w:sz w:val="32"/>
          <w:szCs w:val="32"/>
          <w:lang w:val="en-US" w:eastAsia="zh-CN" w:bidi="ar-SA"/>
        </w:rPr>
        <w:t>万元，占政府采购支出总额的</w:t>
      </w:r>
      <w:r>
        <w:rPr>
          <w:rFonts w:hint="eastAsia" w:eastAsia="仿宋_GB2312" w:cs="Times New Roman"/>
          <w:b w:val="0"/>
          <w:bCs w:val="0"/>
          <w:kern w:val="2"/>
          <w:sz w:val="32"/>
          <w:szCs w:val="32"/>
          <w:lang w:val="en-US" w:eastAsia="zh-CN" w:bidi="ar-SA"/>
        </w:rPr>
        <w:t>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截至2018年12月31日，本部门共有车辆3辆，</w:t>
      </w:r>
      <w:r>
        <w:rPr>
          <w:rFonts w:hint="eastAsia" w:ascii="仿宋" w:hAnsi="仿宋" w:eastAsia="仿宋" w:cs="仿宋"/>
          <w:sz w:val="32"/>
          <w:szCs w:val="32"/>
          <w:lang w:eastAsia="zh-CN"/>
        </w:rPr>
        <w:t>比</w:t>
      </w:r>
      <w:r>
        <w:rPr>
          <w:rFonts w:hint="eastAsia" w:ascii="仿宋" w:hAnsi="仿宋" w:eastAsia="仿宋" w:cs="仿宋"/>
          <w:sz w:val="32"/>
          <w:szCs w:val="32"/>
        </w:rPr>
        <w:t>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0辆</w:t>
      </w:r>
      <w:r>
        <w:rPr>
          <w:rFonts w:hint="eastAsia" w:ascii="仿宋" w:hAnsi="仿宋" w:eastAsia="仿宋" w:cs="仿宋"/>
          <w:sz w:val="32"/>
          <w:szCs w:val="32"/>
        </w:rPr>
        <w:t>，</w:t>
      </w:r>
      <w:r>
        <w:rPr>
          <w:rFonts w:hint="eastAsia" w:ascii="仿宋" w:hAnsi="仿宋" w:eastAsia="仿宋" w:cs="仿宋"/>
          <w:sz w:val="32"/>
          <w:szCs w:val="32"/>
          <w:lang w:eastAsia="zh-CN"/>
        </w:rPr>
        <w:t>主要是厉行节约，其中，副部（省）级以上领导用车</w:t>
      </w:r>
      <w:r>
        <w:rPr>
          <w:rFonts w:hint="eastAsia" w:ascii="仿宋" w:hAnsi="仿宋" w:eastAsia="仿宋" w:cs="仿宋"/>
          <w:sz w:val="32"/>
          <w:szCs w:val="32"/>
          <w:lang w:val="en-US" w:eastAsia="zh-CN"/>
        </w:rPr>
        <w:t>0辆，主要领导干部用车0辆，机要通信用车0辆，</w:t>
      </w:r>
      <w:r>
        <w:rPr>
          <w:rFonts w:hint="eastAsia" w:ascii="仿宋" w:hAnsi="仿宋" w:eastAsia="仿宋" w:cs="仿宋"/>
          <w:sz w:val="32"/>
          <w:szCs w:val="32"/>
        </w:rPr>
        <w:t>应急保障用车1辆，执法执勤用车2辆</w:t>
      </w:r>
      <w:r>
        <w:rPr>
          <w:rFonts w:hint="eastAsia" w:ascii="仿宋" w:hAnsi="仿宋" w:eastAsia="仿宋" w:cs="仿宋"/>
          <w:sz w:val="32"/>
          <w:szCs w:val="32"/>
          <w:lang w:eastAsia="zh-CN"/>
        </w:rPr>
        <w:t>，特种专业技术用车</w:t>
      </w:r>
      <w:r>
        <w:rPr>
          <w:rFonts w:hint="eastAsia" w:ascii="仿宋" w:hAnsi="仿宋" w:eastAsia="仿宋" w:cs="仿宋"/>
          <w:sz w:val="32"/>
          <w:szCs w:val="32"/>
          <w:lang w:val="en-US" w:eastAsia="zh-CN"/>
        </w:rPr>
        <w:t>0辆，离退休干部用车0辆，其他用车0辆，</w:t>
      </w:r>
      <w:r>
        <w:rPr>
          <w:rFonts w:hint="eastAsia" w:ascii="仿宋" w:hAnsi="仿宋" w:eastAsia="仿宋" w:cs="仿宋"/>
          <w:sz w:val="32"/>
          <w:szCs w:val="32"/>
        </w:rPr>
        <w:t>单位价值50万元以上通用设备</w:t>
      </w:r>
      <w:r>
        <w:rPr>
          <w:rFonts w:hint="eastAsia" w:ascii="仿宋" w:hAnsi="仿宋" w:eastAsia="仿宋" w:cs="仿宋"/>
          <w:sz w:val="32"/>
          <w:szCs w:val="32"/>
          <w:lang w:val="en-US" w:eastAsia="zh-CN"/>
        </w:rPr>
        <w:t>0套</w:t>
      </w:r>
      <w:r>
        <w:rPr>
          <w:rFonts w:hint="eastAsia" w:ascii="仿宋" w:hAnsi="仿宋" w:eastAsia="仿宋" w:cs="仿宋"/>
          <w:sz w:val="32"/>
          <w:szCs w:val="32"/>
        </w:rPr>
        <w:t>，</w:t>
      </w:r>
      <w:r>
        <w:rPr>
          <w:rFonts w:hint="eastAsia" w:ascii="仿宋" w:hAnsi="仿宋" w:eastAsia="仿宋" w:cs="仿宋"/>
          <w:sz w:val="32"/>
          <w:szCs w:val="32"/>
          <w:lang w:eastAsia="zh-CN"/>
        </w:rPr>
        <w:t>比上年增加</w:t>
      </w:r>
      <w:r>
        <w:rPr>
          <w:rFonts w:hint="eastAsia" w:ascii="仿宋" w:hAnsi="仿宋" w:eastAsia="仿宋" w:cs="仿宋"/>
          <w:sz w:val="32"/>
          <w:szCs w:val="32"/>
          <w:lang w:val="en-US" w:eastAsia="zh-CN"/>
        </w:rPr>
        <w:t>0套，主要是厉行节约，</w:t>
      </w:r>
      <w:r>
        <w:rPr>
          <w:rFonts w:hint="eastAsia" w:ascii="仿宋" w:hAnsi="仿宋" w:eastAsia="仿宋" w:cs="仿宋"/>
          <w:sz w:val="32"/>
          <w:szCs w:val="32"/>
        </w:rPr>
        <w:t>单位价值100万元以上专用设备</w:t>
      </w:r>
      <w:r>
        <w:rPr>
          <w:rFonts w:hint="eastAsia" w:ascii="仿宋" w:hAnsi="仿宋" w:eastAsia="仿宋" w:cs="仿宋"/>
          <w:sz w:val="32"/>
          <w:szCs w:val="32"/>
          <w:lang w:val="en-US" w:eastAsia="zh-CN"/>
        </w:rPr>
        <w:t>0套，比上年增加0套，主要是厉行节约</w:t>
      </w:r>
      <w:r>
        <w:rPr>
          <w:rFonts w:hint="eastAsia" w:ascii="仿宋" w:hAnsi="仿宋" w:eastAsia="仿宋" w:cs="仿宋"/>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1、本部门2018年度国有资本经营</w:t>
      </w:r>
      <w:r>
        <w:rPr>
          <w:rFonts w:hint="eastAsia" w:ascii="仿宋" w:hAnsi="仿宋" w:eastAsia="仿宋" w:cs="仿宋"/>
          <w:sz w:val="32"/>
          <w:szCs w:val="32"/>
          <w:lang w:eastAsia="zh-CN"/>
        </w:rPr>
        <w:t>无收支及结转结余情况，故公开</w:t>
      </w:r>
      <w:r>
        <w:rPr>
          <w:rFonts w:hint="eastAsia" w:ascii="仿宋" w:hAnsi="仿宋" w:eastAsia="仿宋" w:cs="仿宋"/>
          <w:sz w:val="32"/>
          <w:szCs w:val="32"/>
          <w:lang w:val="en-US" w:eastAsia="zh-CN"/>
        </w:rPr>
        <w:t>09表以空表列示。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本部门2018年度政府采购</w:t>
      </w:r>
      <w:r>
        <w:rPr>
          <w:rFonts w:hint="eastAsia" w:ascii="仿宋" w:hAnsi="仿宋" w:eastAsia="仿宋" w:cs="仿宋"/>
          <w:sz w:val="32"/>
          <w:szCs w:val="32"/>
          <w:lang w:eastAsia="zh-CN"/>
        </w:rPr>
        <w:t>无收支及结转结余情况，故公开</w:t>
      </w:r>
      <w:r>
        <w:rPr>
          <w:rFonts w:hint="eastAsia" w:ascii="仿宋" w:hAnsi="仿宋" w:eastAsia="仿宋" w:cs="仿宋"/>
          <w:sz w:val="32"/>
          <w:szCs w:val="32"/>
          <w:lang w:val="en-US" w:eastAsia="zh-CN"/>
        </w:rPr>
        <w:t>10表以空表列示。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15C4D4-047A-43C9-8588-B98987A9E8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0617AA9-6113-453E-A3ED-5B270BEBF69C}"/>
  </w:font>
  <w:font w:name="Cambria">
    <w:panose1 w:val="02040503050406030204"/>
    <w:charset w:val="00"/>
    <w:family w:val="roman"/>
    <w:pitch w:val="default"/>
    <w:sig w:usb0="E00002FF" w:usb1="400004FF" w:usb2="00000000" w:usb3="00000000" w:csb0="2000019F" w:csb1="00000000"/>
    <w:embedRegular r:id="rId3" w:fontKey="{0136B6D2-B883-43E0-B0FC-D7BFEAC0AA96}"/>
  </w:font>
  <w:font w:name="楷体">
    <w:panose1 w:val="02010609060101010101"/>
    <w:charset w:val="86"/>
    <w:family w:val="modern"/>
    <w:pitch w:val="default"/>
    <w:sig w:usb0="800002BF" w:usb1="38CF7CFA" w:usb2="00000016" w:usb3="00000000" w:csb0="00040001" w:csb1="00000000"/>
    <w:embedRegular r:id="rId4" w:fontKey="{5EBE1626-2B56-4629-873A-B5E8427B346A}"/>
  </w:font>
  <w:font w:name="仿宋_GB2312">
    <w:altName w:val="仿宋"/>
    <w:panose1 w:val="00000000000000000000"/>
    <w:charset w:val="86"/>
    <w:family w:val="modern"/>
    <w:pitch w:val="default"/>
    <w:sig w:usb0="00000000" w:usb1="00000000" w:usb2="00000010" w:usb3="00000000" w:csb0="00040000" w:csb1="00000000"/>
    <w:embedRegular r:id="rId5" w:fontKey="{5300BDA6-64E0-4BC6-81EB-FEFC47899DB8}"/>
  </w:font>
  <w:font w:name="仿宋">
    <w:panose1 w:val="02010609060101010101"/>
    <w:charset w:val="86"/>
    <w:family w:val="modern"/>
    <w:pitch w:val="default"/>
    <w:sig w:usb0="800002BF" w:usb1="38CF7CFA" w:usb2="00000016" w:usb3="00000000" w:csb0="00040001" w:csb1="00000000"/>
    <w:embedRegular r:id="rId6" w:fontKey="{E40466FF-644E-4515-8295-111CF5EAB15B}"/>
  </w:font>
  <w:font w:name="ArialUnicodeMS">
    <w:altName w:val="Malgun Gothic"/>
    <w:panose1 w:val="00000000000000000000"/>
    <w:charset w:val="81"/>
    <w:family w:val="auto"/>
    <w:pitch w:val="default"/>
    <w:sig w:usb0="00000000" w:usb1="00000000" w:usb2="00000010" w:usb3="00000000" w:csb0="00080001" w:csb1="00000000"/>
    <w:embedRegular r:id="rId7" w:fontKey="{A42CC44E-5250-416C-BC5A-9D26A911C921}"/>
  </w:font>
  <w:font w:name="方正书宋_GBK">
    <w:altName w:val="微软雅黑"/>
    <w:panose1 w:val="00000000000000000000"/>
    <w:charset w:val="86"/>
    <w:family w:val="script"/>
    <w:pitch w:val="default"/>
    <w:sig w:usb0="00000000" w:usb1="00000000" w:usb2="00000010" w:usb3="00000000" w:csb0="00040000" w:csb1="00000000"/>
    <w:embedRegular r:id="rId8" w:fontKey="{5EA9907A-B6C6-4D3C-A930-D949CB4AAE23}"/>
  </w:font>
  <w:font w:name="MS-UIGothic,Bold">
    <w:altName w:val="Malgun Gothic"/>
    <w:panose1 w:val="00000000000000000000"/>
    <w:charset w:val="81"/>
    <w:family w:val="auto"/>
    <w:pitch w:val="default"/>
    <w:sig w:usb0="00000000" w:usb1="00000000" w:usb2="00000010" w:usb3="00000000" w:csb0="00080000" w:csb1="00000000"/>
    <w:embedRegular r:id="rId9" w:fontKey="{687CE4F4-CD29-4049-A502-5AB46BEC08CB}"/>
  </w:font>
  <w:font w:name="DengXian-Regular">
    <w:altName w:val="宋体"/>
    <w:panose1 w:val="00000000000000000000"/>
    <w:charset w:val="86"/>
    <w:family w:val="auto"/>
    <w:pitch w:val="default"/>
    <w:sig w:usb0="00000000" w:usb1="00000000" w:usb2="00000010" w:usb3="00000000" w:csb0="00040001" w:csb1="00000000"/>
    <w:embedRegular r:id="rId10" w:fontKey="{244C4825-699C-4EDF-B4CB-870D1CD047B5}"/>
  </w:font>
  <w:font w:name="楷体_GB2312">
    <w:altName w:val="楷体"/>
    <w:panose1 w:val="00000000000000000000"/>
    <w:charset w:val="86"/>
    <w:family w:val="modern"/>
    <w:pitch w:val="default"/>
    <w:sig w:usb0="00000000" w:usb1="00000000" w:usb2="00000010" w:usb3="00000000" w:csb0="00040000" w:csb1="00000000"/>
    <w:embedRegular r:id="rId11" w:fontKey="{B1D68ABB-CEB7-4BDF-B69D-4DFD478D8320}"/>
  </w:font>
  <w:font w:name="DengXian-Bold">
    <w:altName w:val="宋体"/>
    <w:panose1 w:val="00000000000000000000"/>
    <w:charset w:val="86"/>
    <w:family w:val="auto"/>
    <w:pitch w:val="default"/>
    <w:sig w:usb0="00000000" w:usb1="00000000" w:usb2="00000010" w:usb3="00000000" w:csb0="00040001" w:csb1="00000000"/>
    <w:embedRegular r:id="rId12" w:fontKey="{CC001A9F-E67B-4E5A-B87F-202F90346CAF}"/>
  </w:font>
  <w:font w:name="方正小标宋_GBK">
    <w:altName w:val="微软雅黑"/>
    <w:panose1 w:val="00000000000000000000"/>
    <w:charset w:val="86"/>
    <w:family w:val="script"/>
    <w:pitch w:val="default"/>
    <w:sig w:usb0="00000000" w:usb1="00000000" w:usb2="00000010" w:usb3="00000000" w:csb0="00040000" w:csb1="00000000"/>
    <w:embedRegular r:id="rId13" w:fontKey="{D2F4E0B9-4592-47D2-8831-A1DB53746BBC}"/>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5DBE3096"/>
    <w:multiLevelType w:val="singleLevel"/>
    <w:tmpl w:val="5DBE3096"/>
    <w:lvl w:ilvl="0" w:tentative="0">
      <w:start w:val="2"/>
      <w:numFmt w:val="chineseCounting"/>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10F53"/>
    <w:rsid w:val="00011270"/>
    <w:rsid w:val="00013F8C"/>
    <w:rsid w:val="00020FAF"/>
    <w:rsid w:val="00022474"/>
    <w:rsid w:val="00024E7F"/>
    <w:rsid w:val="00034258"/>
    <w:rsid w:val="00046C44"/>
    <w:rsid w:val="000475A0"/>
    <w:rsid w:val="00067693"/>
    <w:rsid w:val="000838C3"/>
    <w:rsid w:val="00090181"/>
    <w:rsid w:val="00094902"/>
    <w:rsid w:val="000B2446"/>
    <w:rsid w:val="000B41C4"/>
    <w:rsid w:val="000D7C65"/>
    <w:rsid w:val="000E2F81"/>
    <w:rsid w:val="00101F8D"/>
    <w:rsid w:val="00103F79"/>
    <w:rsid w:val="00117946"/>
    <w:rsid w:val="00117E2C"/>
    <w:rsid w:val="00143846"/>
    <w:rsid w:val="00146C47"/>
    <w:rsid w:val="00152FB8"/>
    <w:rsid w:val="001565B5"/>
    <w:rsid w:val="00176658"/>
    <w:rsid w:val="0018239E"/>
    <w:rsid w:val="00185DDF"/>
    <w:rsid w:val="001A68AB"/>
    <w:rsid w:val="001B3410"/>
    <w:rsid w:val="001B7503"/>
    <w:rsid w:val="001C030D"/>
    <w:rsid w:val="001C4A84"/>
    <w:rsid w:val="001E5902"/>
    <w:rsid w:val="002034F5"/>
    <w:rsid w:val="0021022D"/>
    <w:rsid w:val="00233705"/>
    <w:rsid w:val="00246D99"/>
    <w:rsid w:val="00257266"/>
    <w:rsid w:val="00262306"/>
    <w:rsid w:val="00265F2B"/>
    <w:rsid w:val="00275CA2"/>
    <w:rsid w:val="00281A7B"/>
    <w:rsid w:val="002A0996"/>
    <w:rsid w:val="002A65A5"/>
    <w:rsid w:val="002C04C4"/>
    <w:rsid w:val="002D08B0"/>
    <w:rsid w:val="002D1AE3"/>
    <w:rsid w:val="002E6AC5"/>
    <w:rsid w:val="002F1CF0"/>
    <w:rsid w:val="002F2ECE"/>
    <w:rsid w:val="00341C8F"/>
    <w:rsid w:val="0035463A"/>
    <w:rsid w:val="00377792"/>
    <w:rsid w:val="00391D9D"/>
    <w:rsid w:val="003B6C51"/>
    <w:rsid w:val="003C1413"/>
    <w:rsid w:val="003C549F"/>
    <w:rsid w:val="003D3D1A"/>
    <w:rsid w:val="003D5A16"/>
    <w:rsid w:val="003E337B"/>
    <w:rsid w:val="003E7DB3"/>
    <w:rsid w:val="00410DE3"/>
    <w:rsid w:val="00431175"/>
    <w:rsid w:val="004374A3"/>
    <w:rsid w:val="004465E0"/>
    <w:rsid w:val="004615DA"/>
    <w:rsid w:val="00493686"/>
    <w:rsid w:val="004B6E37"/>
    <w:rsid w:val="004C32BA"/>
    <w:rsid w:val="004C68EF"/>
    <w:rsid w:val="004F11E2"/>
    <w:rsid w:val="004F41EC"/>
    <w:rsid w:val="0052566F"/>
    <w:rsid w:val="00527169"/>
    <w:rsid w:val="00545212"/>
    <w:rsid w:val="00575922"/>
    <w:rsid w:val="005A0F11"/>
    <w:rsid w:val="005A20FD"/>
    <w:rsid w:val="005A3C0D"/>
    <w:rsid w:val="005A6C90"/>
    <w:rsid w:val="005B37E6"/>
    <w:rsid w:val="005E3FB0"/>
    <w:rsid w:val="005F4B66"/>
    <w:rsid w:val="005F5208"/>
    <w:rsid w:val="00615C31"/>
    <w:rsid w:val="00624042"/>
    <w:rsid w:val="006337B9"/>
    <w:rsid w:val="00641318"/>
    <w:rsid w:val="0064405D"/>
    <w:rsid w:val="00646162"/>
    <w:rsid w:val="00695557"/>
    <w:rsid w:val="006B5F21"/>
    <w:rsid w:val="006D4EA7"/>
    <w:rsid w:val="0070012A"/>
    <w:rsid w:val="007014C9"/>
    <w:rsid w:val="0070664B"/>
    <w:rsid w:val="007071B8"/>
    <w:rsid w:val="007155C2"/>
    <w:rsid w:val="007414DE"/>
    <w:rsid w:val="00745F1B"/>
    <w:rsid w:val="00747231"/>
    <w:rsid w:val="007565D9"/>
    <w:rsid w:val="00760C0C"/>
    <w:rsid w:val="007905A9"/>
    <w:rsid w:val="007E072B"/>
    <w:rsid w:val="007E1224"/>
    <w:rsid w:val="007E3848"/>
    <w:rsid w:val="007E5500"/>
    <w:rsid w:val="007F055B"/>
    <w:rsid w:val="007F4BAB"/>
    <w:rsid w:val="00801C07"/>
    <w:rsid w:val="00811C2F"/>
    <w:rsid w:val="00833D46"/>
    <w:rsid w:val="00836215"/>
    <w:rsid w:val="00840A97"/>
    <w:rsid w:val="00853C07"/>
    <w:rsid w:val="00855C39"/>
    <w:rsid w:val="00872B02"/>
    <w:rsid w:val="00873292"/>
    <w:rsid w:val="00883908"/>
    <w:rsid w:val="00884F03"/>
    <w:rsid w:val="008A640A"/>
    <w:rsid w:val="008C0149"/>
    <w:rsid w:val="008D5DED"/>
    <w:rsid w:val="008E25CA"/>
    <w:rsid w:val="008F34FC"/>
    <w:rsid w:val="00944CD7"/>
    <w:rsid w:val="00961190"/>
    <w:rsid w:val="00981D23"/>
    <w:rsid w:val="009831B2"/>
    <w:rsid w:val="009A1ABE"/>
    <w:rsid w:val="009C29E4"/>
    <w:rsid w:val="009E21A4"/>
    <w:rsid w:val="009F22C6"/>
    <w:rsid w:val="00A07E50"/>
    <w:rsid w:val="00A12C15"/>
    <w:rsid w:val="00A15397"/>
    <w:rsid w:val="00A15BA2"/>
    <w:rsid w:val="00A35CE0"/>
    <w:rsid w:val="00A4462E"/>
    <w:rsid w:val="00A44AA4"/>
    <w:rsid w:val="00A61623"/>
    <w:rsid w:val="00A738C7"/>
    <w:rsid w:val="00A80016"/>
    <w:rsid w:val="00A84687"/>
    <w:rsid w:val="00A86446"/>
    <w:rsid w:val="00A9643F"/>
    <w:rsid w:val="00AA0458"/>
    <w:rsid w:val="00AA3FC0"/>
    <w:rsid w:val="00AB0A0E"/>
    <w:rsid w:val="00AB0F2C"/>
    <w:rsid w:val="00AD3B6E"/>
    <w:rsid w:val="00AF6D31"/>
    <w:rsid w:val="00B0103E"/>
    <w:rsid w:val="00B14831"/>
    <w:rsid w:val="00B1751F"/>
    <w:rsid w:val="00B2050D"/>
    <w:rsid w:val="00B22F18"/>
    <w:rsid w:val="00B32CBF"/>
    <w:rsid w:val="00B43F69"/>
    <w:rsid w:val="00B50F96"/>
    <w:rsid w:val="00B52D3E"/>
    <w:rsid w:val="00B56722"/>
    <w:rsid w:val="00B62799"/>
    <w:rsid w:val="00B67044"/>
    <w:rsid w:val="00B74D39"/>
    <w:rsid w:val="00B827C6"/>
    <w:rsid w:val="00B91DA4"/>
    <w:rsid w:val="00BA7174"/>
    <w:rsid w:val="00BB51EF"/>
    <w:rsid w:val="00C12630"/>
    <w:rsid w:val="00C34562"/>
    <w:rsid w:val="00C3774E"/>
    <w:rsid w:val="00C57456"/>
    <w:rsid w:val="00C65387"/>
    <w:rsid w:val="00C7003A"/>
    <w:rsid w:val="00C83D43"/>
    <w:rsid w:val="00C87FAB"/>
    <w:rsid w:val="00C91FF7"/>
    <w:rsid w:val="00C92D15"/>
    <w:rsid w:val="00C94E53"/>
    <w:rsid w:val="00C954B6"/>
    <w:rsid w:val="00CE3FC3"/>
    <w:rsid w:val="00CE7230"/>
    <w:rsid w:val="00D0048E"/>
    <w:rsid w:val="00D030B0"/>
    <w:rsid w:val="00D23E7A"/>
    <w:rsid w:val="00D52413"/>
    <w:rsid w:val="00D56D8F"/>
    <w:rsid w:val="00D61063"/>
    <w:rsid w:val="00D73694"/>
    <w:rsid w:val="00DB091D"/>
    <w:rsid w:val="00DB35AF"/>
    <w:rsid w:val="00DB36AC"/>
    <w:rsid w:val="00DC15D6"/>
    <w:rsid w:val="00DD72D7"/>
    <w:rsid w:val="00DE11AB"/>
    <w:rsid w:val="00DF5B88"/>
    <w:rsid w:val="00DF611A"/>
    <w:rsid w:val="00E0589E"/>
    <w:rsid w:val="00E0697F"/>
    <w:rsid w:val="00E103D9"/>
    <w:rsid w:val="00E241FA"/>
    <w:rsid w:val="00E2595E"/>
    <w:rsid w:val="00E26D0A"/>
    <w:rsid w:val="00E318A4"/>
    <w:rsid w:val="00E35374"/>
    <w:rsid w:val="00E50C19"/>
    <w:rsid w:val="00E64655"/>
    <w:rsid w:val="00E66EF7"/>
    <w:rsid w:val="00E73081"/>
    <w:rsid w:val="00E856C9"/>
    <w:rsid w:val="00EA4F68"/>
    <w:rsid w:val="00EB6A8B"/>
    <w:rsid w:val="00EC6814"/>
    <w:rsid w:val="00ED411D"/>
    <w:rsid w:val="00ED4A18"/>
    <w:rsid w:val="00ED74D5"/>
    <w:rsid w:val="00EF38C6"/>
    <w:rsid w:val="00F363D1"/>
    <w:rsid w:val="00F42000"/>
    <w:rsid w:val="00F55702"/>
    <w:rsid w:val="00F679C7"/>
    <w:rsid w:val="00F7711A"/>
    <w:rsid w:val="00F80C72"/>
    <w:rsid w:val="00F847D6"/>
    <w:rsid w:val="00FA0D58"/>
    <w:rsid w:val="00FA1580"/>
    <w:rsid w:val="00FA56F4"/>
    <w:rsid w:val="00FB4EDA"/>
    <w:rsid w:val="00FD11E8"/>
    <w:rsid w:val="00FD3BD5"/>
    <w:rsid w:val="00FE3DC8"/>
    <w:rsid w:val="00FF2E69"/>
    <w:rsid w:val="04073F84"/>
    <w:rsid w:val="0430291F"/>
    <w:rsid w:val="061D6C50"/>
    <w:rsid w:val="0791495D"/>
    <w:rsid w:val="08652CCD"/>
    <w:rsid w:val="0B60750A"/>
    <w:rsid w:val="0BD23C17"/>
    <w:rsid w:val="0C3048D3"/>
    <w:rsid w:val="0E321039"/>
    <w:rsid w:val="0FB47616"/>
    <w:rsid w:val="1006041E"/>
    <w:rsid w:val="10686488"/>
    <w:rsid w:val="10DF728A"/>
    <w:rsid w:val="1264200E"/>
    <w:rsid w:val="141C5B77"/>
    <w:rsid w:val="18D8339D"/>
    <w:rsid w:val="1A21388F"/>
    <w:rsid w:val="1A570D2F"/>
    <w:rsid w:val="1E5F35FA"/>
    <w:rsid w:val="1FEF34FF"/>
    <w:rsid w:val="28FB0B8D"/>
    <w:rsid w:val="2D2B7942"/>
    <w:rsid w:val="2D46481D"/>
    <w:rsid w:val="2E733B28"/>
    <w:rsid w:val="2F4E6B86"/>
    <w:rsid w:val="31423844"/>
    <w:rsid w:val="31852B5A"/>
    <w:rsid w:val="32D01238"/>
    <w:rsid w:val="3A6C35B8"/>
    <w:rsid w:val="3DFC59A8"/>
    <w:rsid w:val="3ECF245E"/>
    <w:rsid w:val="3F5B3AB0"/>
    <w:rsid w:val="3FB96314"/>
    <w:rsid w:val="47155E09"/>
    <w:rsid w:val="4A611E5E"/>
    <w:rsid w:val="4D084C03"/>
    <w:rsid w:val="5139669E"/>
    <w:rsid w:val="53A44FAF"/>
    <w:rsid w:val="53A55AE6"/>
    <w:rsid w:val="594329EC"/>
    <w:rsid w:val="5BEE1540"/>
    <w:rsid w:val="5DE61A5D"/>
    <w:rsid w:val="63C04243"/>
    <w:rsid w:val="649C01C7"/>
    <w:rsid w:val="66CF6EE0"/>
    <w:rsid w:val="68BE5850"/>
    <w:rsid w:val="68C62224"/>
    <w:rsid w:val="69281BD0"/>
    <w:rsid w:val="699A3F60"/>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0.6877</c:v>
                </c:pt>
                <c:pt idx="1">
                  <c:v>0.3123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2018年收入</c:v>
                </c:pt>
                <c:pt idx="1">
                  <c:v>2017年收入</c:v>
                </c:pt>
                <c:pt idx="2">
                  <c:v>2018年支出</c:v>
                </c:pt>
                <c:pt idx="3">
                  <c:v>2017年支出</c:v>
                </c:pt>
              </c:strCache>
            </c:strRef>
          </c:cat>
          <c:val>
            <c:numRef>
              <c:f>Sheet1!$B$2:$B$5</c:f>
              <c:numCache>
                <c:formatCode>General</c:formatCode>
                <c:ptCount val="4"/>
                <c:pt idx="0">
                  <c:v>669.32</c:v>
                </c:pt>
                <c:pt idx="1">
                  <c:v>625.08</c:v>
                </c:pt>
                <c:pt idx="2">
                  <c:v>675.79</c:v>
                </c:pt>
                <c:pt idx="3">
                  <c:v>560.2</c:v>
                </c:pt>
              </c:numCache>
            </c:numRef>
          </c:val>
        </c:ser>
        <c:ser>
          <c:idx val="1"/>
          <c:order val="1"/>
          <c:tx>
            <c:strRef>
              <c:f>Sheet1!$C$1</c:f>
              <c:strCache>
                <c:ptCount val="1"/>
                <c:pt idx="0">
                  <c:v>政府性基金</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2018年收入</c:v>
                </c:pt>
                <c:pt idx="1">
                  <c:v>2017年收入</c:v>
                </c:pt>
                <c:pt idx="2">
                  <c:v>2018年支出</c:v>
                </c:pt>
                <c:pt idx="3">
                  <c:v>2017年支出</c:v>
                </c:pt>
              </c:strCache>
            </c:strRef>
          </c:cat>
          <c:val>
            <c:numRef>
              <c:f>Sheet1!$C$2:$C$5</c:f>
              <c:numCache>
                <c:formatCode>General</c:formatCode>
                <c:ptCount val="4"/>
                <c:pt idx="0">
                  <c:v>1.53</c:v>
                </c:pt>
                <c:pt idx="1">
                  <c:v>0</c:v>
                </c:pt>
                <c:pt idx="2">
                  <c:v>1.53</c:v>
                </c:pt>
                <c:pt idx="3">
                  <c:v>0</c:v>
                </c:pt>
              </c:numCache>
            </c:numRef>
          </c:val>
        </c:ser>
        <c:ser>
          <c:idx val="2"/>
          <c:order val="2"/>
          <c:tx>
            <c:strRef>
              <c:f>Sheet1!$D$1</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Sheet1!$A$2:$A$5</c:f>
              <c:strCache>
                <c:ptCount val="4"/>
                <c:pt idx="0">
                  <c:v>2018年收入</c:v>
                </c:pt>
                <c:pt idx="1">
                  <c:v>2017年收入</c:v>
                </c:pt>
                <c:pt idx="2">
                  <c:v>2018年支出</c:v>
                </c:pt>
                <c:pt idx="3">
                  <c:v>2017年支出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9697408"/>
        <c:axId val="99700096"/>
      </c:barChart>
      <c:catAx>
        <c:axId val="99697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00096"/>
        <c:crosses val="autoZero"/>
        <c:auto val="1"/>
        <c:lblAlgn val="ctr"/>
        <c:lblOffset val="100"/>
        <c:noMultiLvlLbl val="0"/>
      </c:catAx>
      <c:valAx>
        <c:axId val="99700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697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invertIfNegative val="0"/>
          <c:dLbls>
            <c:delete val="1"/>
          </c:dLbls>
          <c:cat>
            <c:strRef>
              <c:f>Sheet1!$A$2:$A$5</c:f>
              <c:strCache>
                <c:ptCount val="4"/>
                <c:pt idx="0">
                  <c:v>2018年决算收入</c:v>
                </c:pt>
                <c:pt idx="1">
                  <c:v>2018年预算收入</c:v>
                </c:pt>
                <c:pt idx="2">
                  <c:v>2018年决算支出</c:v>
                </c:pt>
                <c:pt idx="3">
                  <c:v>2018年预算支出</c:v>
                </c:pt>
              </c:strCache>
            </c:strRef>
          </c:cat>
          <c:val>
            <c:numRef>
              <c:f>Sheet1!$B$2:$B$5</c:f>
              <c:numCache>
                <c:formatCode>General</c:formatCode>
                <c:ptCount val="4"/>
                <c:pt idx="0">
                  <c:v>669.32</c:v>
                </c:pt>
                <c:pt idx="1">
                  <c:v>526.36</c:v>
                </c:pt>
                <c:pt idx="2">
                  <c:v>675.79</c:v>
                </c:pt>
                <c:pt idx="3">
                  <c:v>526.36</c:v>
                </c:pt>
              </c:numCache>
            </c:numRef>
          </c:val>
        </c:ser>
        <c:ser>
          <c:idx val="1"/>
          <c:order val="1"/>
          <c:tx>
            <c:strRef>
              <c:f>Sheet1!$C$1</c:f>
              <c:strCache>
                <c:ptCount val="1"/>
                <c:pt idx="0">
                  <c:v>政府性基金</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2018年决算收入</c:v>
                </c:pt>
                <c:pt idx="1">
                  <c:v>2018年预算收入</c:v>
                </c:pt>
                <c:pt idx="2">
                  <c:v>2018年决算支出</c:v>
                </c:pt>
                <c:pt idx="3">
                  <c:v>2018年预算支出</c:v>
                </c:pt>
              </c:strCache>
            </c:strRef>
          </c:cat>
          <c:val>
            <c:numRef>
              <c:f>Sheet1!$C$2:$C$5</c:f>
              <c:numCache>
                <c:formatCode>General</c:formatCode>
                <c:ptCount val="4"/>
                <c:pt idx="0">
                  <c:v>1.53</c:v>
                </c:pt>
                <c:pt idx="1">
                  <c:v>0</c:v>
                </c:pt>
                <c:pt idx="2">
                  <c:v>1.53</c:v>
                </c:pt>
                <c:pt idx="3">
                  <c:v>0</c:v>
                </c:pt>
              </c:numCache>
            </c:numRef>
          </c:val>
        </c:ser>
        <c:ser>
          <c:idx val="2"/>
          <c:order val="2"/>
          <c:tx>
            <c:strRef>
              <c:f>Sheet1!$D$1</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Sheet1!$A$2:$A$5</c:f>
              <c:strCache>
                <c:ptCount val="4"/>
                <c:pt idx="0">
                  <c:v>2018年决算收入</c:v>
                </c:pt>
                <c:pt idx="1">
                  <c:v>2018年预算收入</c:v>
                </c:pt>
                <c:pt idx="2">
                  <c:v>2018年决算支出</c:v>
                </c:pt>
                <c:pt idx="3">
                  <c:v>2018年预算支出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8774144"/>
        <c:axId val="68780032"/>
      </c:barChart>
      <c:catAx>
        <c:axId val="68774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80032"/>
        <c:crosses val="autoZero"/>
        <c:auto val="1"/>
        <c:lblAlgn val="ctr"/>
        <c:lblOffset val="100"/>
        <c:noMultiLvlLbl val="0"/>
      </c:catAx>
      <c:valAx>
        <c:axId val="6878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74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48925"/>
          <c:y val="0.17515"/>
          <c:w val="0.50215"/>
          <c:h val="0.669533333333333"/>
        </c:manualLayout>
      </c:layout>
      <c:pieChart>
        <c:varyColors val="1"/>
        <c:ser>
          <c:idx val="0"/>
          <c:order val="0"/>
          <c:tx>
            <c:strRef>
              <c:f>Sheet1!$B$1</c:f>
              <c:strCache>
                <c:ptCount val="1"/>
                <c:pt idx="0">
                  <c:v>财政拨款支出</c:v>
                </c:pt>
              </c:strCache>
            </c:strRef>
          </c:tx>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dLbl>
              <c:idx val="3"/>
              <c:layout>
                <c:manualLayout>
                  <c:x val="-0.0102104798725605"/>
                  <c:y val="0.006036201021844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医疗卫生与计划生育支出1.76%</c:v>
                </c:pt>
                <c:pt idx="2">
                  <c:v>资源勘探信息支出</c:v>
                </c:pt>
                <c:pt idx="3">
                  <c:v>其他支出</c:v>
                </c:pt>
              </c:strCache>
            </c:strRef>
          </c:cat>
          <c:val>
            <c:numRef>
              <c:f>Sheet1!$B$2:$B$5</c:f>
              <c:numCache>
                <c:formatCode>0.00%</c:formatCode>
                <c:ptCount val="4"/>
                <c:pt idx="0">
                  <c:v>0.0462</c:v>
                </c:pt>
                <c:pt idx="1">
                  <c:v>0.0176</c:v>
                </c:pt>
                <c:pt idx="2">
                  <c:v>0.934</c:v>
                </c:pt>
                <c:pt idx="3">
                  <c:v>0.0023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1658</Words>
  <Characters>9457</Characters>
  <Lines>78</Lines>
  <Paragraphs>22</Paragraphs>
  <TotalTime>1</TotalTime>
  <ScaleCrop>false</ScaleCrop>
  <LinksUpToDate>false</LinksUpToDate>
  <CharactersWithSpaces>11093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緂❤</cp:lastModifiedBy>
  <cp:lastPrinted>2019-09-27T00:42:00Z</cp:lastPrinted>
  <dcterms:modified xsi:type="dcterms:W3CDTF">2021-05-27T09:16:36Z</dcterms:modified>
  <dc:subject>石家庄市xxx部门</dc:subject>
  <dc:title>2017年度部门决算</dc:title>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