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大城县物价局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lang w:eastAsia="zh-CN"/>
        </w:rPr>
        <w:t>物价局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研究提出全县价格总水平年度调控计划和中长期调控目标；检测、预测全县价格总水平及其结构变动趋势，提出调控意见和建议。</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研究提出价格（收费）和改革的年度、中长期计划及调整方案；对国家和省、市出台的价格（收费）改革方案及时组织实施。</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对省市委托实行政府定价或政府指导价的商品价格实行管理；对市场调节的商品和服务价格实行间接调控。</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管理国家机关收费、公益事业收费、公用事业收费、中介服务收费和重要的经营性收费。</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负责市场物价变化情况监测，向市局和县委、县政府反映物价方面的重要情况，为政府实施宏观调控提供决策依据；向企业发布价格信息。</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依据有关价格法律、法规、规章，组织全县商品和服务价格（收费）的监督检查，查处违法行为，受理对价格（收费）违法行为的举报，对价格（收费）申诉案件进行复议和裁决。</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负责重要工业品和农产品成本调查工作，审核汇总全县重要工业品、农产品的成本、收益，提出相应对策、建议。</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管理全县价格认证和复核裁定工作，对经济认证、司法认证机构收费行为进行管理，指导价格评估、价格咨询中介机构的工作。</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指导和监督全县的价格和收费管理工作；指导企业用好市场调节商品价格的定价权；指导行业组织价格自律工作。</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承办县政府交办的其它事项。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大城县物价局</w:t>
            </w:r>
          </w:p>
        </w:tc>
        <w:tc>
          <w:tcPr>
            <w:tcW w:w="1134" w:type="dxa"/>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事业</w:t>
            </w:r>
          </w:p>
        </w:tc>
        <w:tc>
          <w:tcPr>
            <w:tcW w:w="1276" w:type="dxa"/>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lang w:eastAsia="zh-CN"/>
              </w:rPr>
              <w:t>正科级</w:t>
            </w:r>
          </w:p>
        </w:tc>
        <w:tc>
          <w:tcPr>
            <w:tcW w:w="2902" w:type="dxa"/>
            <w:vAlign w:val="center"/>
          </w:tcPr>
          <w:p>
            <w:pPr>
              <w:spacing w:line="584" w:lineRule="exact"/>
              <w:jc w:val="center"/>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cs="Times New Roman"/>
              </w:rPr>
            </w:pPr>
          </w:p>
        </w:tc>
        <w:tc>
          <w:tcPr>
            <w:tcW w:w="1134" w:type="dxa"/>
            <w:vAlign w:val="center"/>
          </w:tcPr>
          <w:p>
            <w:pPr>
              <w:spacing w:line="584" w:lineRule="exact"/>
              <w:jc w:val="center"/>
              <w:rPr>
                <w:rFonts w:ascii="Times New Roman" w:hAnsi="Times New Roman" w:eastAsia="仿宋_GB2312" w:cs="Times New Roman"/>
              </w:rPr>
            </w:pPr>
          </w:p>
        </w:tc>
        <w:tc>
          <w:tcPr>
            <w:tcW w:w="1276" w:type="dxa"/>
            <w:vAlign w:val="center"/>
          </w:tcPr>
          <w:p>
            <w:pPr>
              <w:spacing w:line="584" w:lineRule="exact"/>
              <w:jc w:val="center"/>
              <w:rPr>
                <w:rFonts w:ascii="Times New Roman" w:hAnsi="Times New Roman" w:eastAsia="仿宋_GB2312" w:cs="Times New Roman"/>
              </w:rPr>
            </w:pPr>
          </w:p>
        </w:tc>
        <w:tc>
          <w:tcPr>
            <w:tcW w:w="2902" w:type="dxa"/>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大城县物价局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435.76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435.76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ind w:firstLine="640"/>
        <w:rPr>
          <w:rFonts w:hint="eastAsia" w:ascii="仿宋_GB2312" w:hAnsi="仿宋_GB2312" w:eastAsia="仿宋_GB2312" w:cs="仿宋_GB2312"/>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大城县物价局</w:t>
      </w:r>
      <w:r>
        <w:rPr>
          <w:rFonts w:hint="eastAsia" w:ascii="Times New Roman" w:hAnsi="Times New Roman" w:eastAsia="仿宋_GB2312" w:cs="Times New Roman"/>
          <w:sz w:val="32"/>
          <w:szCs w:val="32"/>
          <w:lang w:val="en-US" w:eastAsia="zh-CN"/>
        </w:rPr>
        <w:t>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435.76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396.1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359.34</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36.76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39.66</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本级支出，主要为</w:t>
      </w:r>
      <w:r>
        <w:rPr>
          <w:rFonts w:hint="eastAsia" w:ascii="仿宋_GB2312" w:hAnsi="仿宋_GB2312" w:eastAsia="仿宋_GB2312" w:cs="仿宋_GB2312"/>
          <w:sz w:val="32"/>
          <w:szCs w:val="32"/>
          <w:lang w:eastAsia="zh-CN"/>
        </w:rPr>
        <w:t>执法检查专项资金</w:t>
      </w:r>
      <w:r>
        <w:rPr>
          <w:rFonts w:hint="eastAsia" w:ascii="仿宋_GB2312" w:hAnsi="仿宋_GB2312" w:eastAsia="仿宋_GB2312" w:cs="仿宋_GB2312"/>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435.76</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color w:val="auto"/>
          <w:sz w:val="32"/>
          <w:szCs w:val="32"/>
          <w:highlight w:val="none"/>
          <w:shd w:val="clear" w:color="auto" w:fill="auto"/>
          <w:lang w:val="en-US" w:eastAsia="zh-CN"/>
        </w:rPr>
        <w:t>1.31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人员工资</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36.76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的日常维修、办公用房水电费、办公用房取暖费、办公用房物业管理费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w:t>
      </w:r>
      <w:r>
        <w:rPr>
          <w:rFonts w:ascii="Times New Roman" w:hAnsi="Times New Roman" w:eastAsia="仿宋_GB2312" w:cs="Times New Roman"/>
          <w:color w:val="auto"/>
          <w:sz w:val="32"/>
          <w:szCs w:val="32"/>
        </w:rPr>
        <w:t>201</w:t>
      </w:r>
      <w:r>
        <w:rPr>
          <w:rFonts w:hint="eastAsia" w:ascii="Times New Roman" w:hAnsi="Times New Roman" w:eastAsia="仿宋_GB2312" w:cs="Times New Roman"/>
          <w:color w:val="auto"/>
          <w:sz w:val="32"/>
          <w:szCs w:val="32"/>
        </w:rPr>
        <w:t>8</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年度总体绩效目标：2018年以来，我局充分发挥部门职能，大力加强全县价格市场监管、监测，使我县物价总水平基本稳定。</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按职能分类绩效目标：保持全县物价总水平基本稳定。负责全县商品价格和服务收费的管理、调控、监督建撤和服务。</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p>
    <w:p>
      <w:pPr>
        <w:spacing w:line="584" w:lineRule="exact"/>
        <w:jc w:val="center"/>
        <w:outlineLvl w:val="0"/>
        <w:rPr>
          <w:rFonts w:ascii="Times New Roman" w:hAnsi="Times New Roman" w:eastAsia="仿宋_GB2312" w:cs="Times New Roman"/>
          <w:b/>
          <w:sz w:val="32"/>
        </w:rPr>
      </w:pPr>
    </w:p>
    <w:p>
      <w:pPr>
        <w:spacing w:line="584" w:lineRule="exact"/>
        <w:jc w:val="center"/>
        <w:outlineLvl w:val="0"/>
        <w:rPr>
          <w:rFonts w:ascii="Times New Roman" w:hAnsi="Times New Roman" w:eastAsia="仿宋_GB2312" w:cs="Times New Roman"/>
          <w:b/>
          <w:sz w:val="32"/>
        </w:rPr>
      </w:pPr>
      <w:r>
        <w:rPr>
          <w:rFonts w:ascii="Times New Roman" w:hAnsi="Times New Roman" w:eastAsia="仿宋_GB2312" w:cs="Times New Roman"/>
          <w:b/>
          <w:sz w:val="32"/>
        </w:rPr>
        <w:t>部门职责-工作活动绩效目标</w:t>
      </w:r>
      <w:bookmarkEnd w:id="1"/>
    </w:p>
    <w:tbl>
      <w:tblPr>
        <w:tblStyle w:val="10"/>
        <w:tblW w:w="142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9"/>
        <w:gridCol w:w="1242"/>
        <w:gridCol w:w="2897"/>
        <w:gridCol w:w="2897"/>
        <w:gridCol w:w="1380"/>
        <w:gridCol w:w="1"/>
        <w:gridCol w:w="717"/>
        <w:gridCol w:w="718"/>
        <w:gridCol w:w="718"/>
        <w:gridCol w:w="716"/>
        <w:gridCol w:w="1"/>
        <w:gridCol w:w="1"/>
        <w:gridCol w:w="699"/>
        <w:gridCol w:w="1"/>
        <w:gridCol w:w="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1"/>
          <w:wAfter w:w="1" w:type="dxa"/>
          <w:trHeight w:val="227" w:hRule="atLeast"/>
          <w:tblHeader/>
          <w:jc w:val="center"/>
        </w:trPr>
        <w:tc>
          <w:tcPr>
            <w:tcW w:w="10696" w:type="dxa"/>
            <w:gridSpan w:val="6"/>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411</w:t>
            </w:r>
            <w:r>
              <w:rPr>
                <w:rFonts w:hint="eastAsia" w:ascii="方正小标宋_GBK" w:eastAsia="方正小标宋_GBK"/>
                <w:sz w:val="24"/>
              </w:rPr>
              <w:t>大城县物价局</w:t>
            </w:r>
          </w:p>
        </w:tc>
        <w:tc>
          <w:tcPr>
            <w:tcW w:w="2870" w:type="dxa"/>
            <w:gridSpan w:val="5"/>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c>
          <w:tcPr>
            <w:tcW w:w="701" w:type="dxa"/>
            <w:gridSpan w:val="3"/>
            <w:tcBorders>
              <w:top w:val="single" w:color="FFFFFF" w:sz="6" w:space="0"/>
              <w:left w:val="single" w:color="FFFFFF" w:sz="6" w:space="0"/>
              <w:right w:val="single" w:color="FFFFFF" w:sz="6" w:space="0"/>
            </w:tcBorders>
            <w:vAlign w:val="center"/>
          </w:tcPr>
          <w:p>
            <w:pPr>
              <w:spacing w:line="300" w:lineRule="exact"/>
              <w:jc w:val="right"/>
              <w:rPr>
                <w:rFonts w:hint="eastAsia" w:ascii="方正书宋_GBK" w:eastAsia="方正书宋_GBK"/>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gridAfter w:val="2"/>
          <w:wAfter w:w="2" w:type="dxa"/>
          <w:trHeight w:val="227" w:hRule="atLeast"/>
          <w:tblHeader/>
          <w:jc w:val="center"/>
        </w:trPr>
        <w:tc>
          <w:tcPr>
            <w:tcW w:w="2279"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2"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7"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80"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70" w:type="dxa"/>
            <w:gridSpan w:val="5"/>
            <w:vAlign w:val="center"/>
          </w:tcPr>
          <w:p>
            <w:pPr>
              <w:spacing w:line="300" w:lineRule="exact"/>
              <w:jc w:val="center"/>
              <w:rPr>
                <w:rFonts w:ascii="方正书宋_GBK" w:eastAsia="方正书宋_GBK"/>
                <w:b/>
              </w:rPr>
            </w:pPr>
            <w:r>
              <w:rPr>
                <w:rFonts w:hint="eastAsia" w:ascii="方正书宋_GBK" w:eastAsia="方正书宋_GBK"/>
                <w:b/>
              </w:rPr>
              <w:t>评价标准</w:t>
            </w:r>
          </w:p>
        </w:tc>
        <w:tc>
          <w:tcPr>
            <w:tcW w:w="701" w:type="dxa"/>
            <w:gridSpan w:val="3"/>
            <w:vAlign w:val="center"/>
          </w:tcPr>
          <w:p>
            <w:pPr>
              <w:spacing w:line="300" w:lineRule="exact"/>
              <w:jc w:val="center"/>
              <w:rPr>
                <w:rFonts w:hint="eastAsia"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279" w:type="dxa"/>
            <w:vMerge w:val="continue"/>
            <w:vAlign w:val="center"/>
          </w:tcPr>
          <w:p>
            <w:pPr>
              <w:spacing w:line="300" w:lineRule="exact"/>
              <w:jc w:val="left"/>
              <w:outlineLvl w:val="0"/>
            </w:pPr>
          </w:p>
        </w:tc>
        <w:tc>
          <w:tcPr>
            <w:tcW w:w="1242" w:type="dxa"/>
            <w:vMerge w:val="continue"/>
            <w:vAlign w:val="center"/>
          </w:tcPr>
          <w:p>
            <w:pPr>
              <w:spacing w:line="300" w:lineRule="exact"/>
              <w:jc w:val="left"/>
              <w:outlineLvl w:val="0"/>
            </w:pPr>
          </w:p>
        </w:tc>
        <w:tc>
          <w:tcPr>
            <w:tcW w:w="2897" w:type="dxa"/>
            <w:vMerge w:val="continue"/>
            <w:vAlign w:val="center"/>
          </w:tcPr>
          <w:p>
            <w:pPr>
              <w:spacing w:line="300" w:lineRule="exact"/>
              <w:jc w:val="left"/>
              <w:outlineLvl w:val="0"/>
            </w:pPr>
          </w:p>
        </w:tc>
        <w:tc>
          <w:tcPr>
            <w:tcW w:w="2897" w:type="dxa"/>
            <w:vMerge w:val="continue"/>
            <w:vAlign w:val="center"/>
          </w:tcPr>
          <w:p>
            <w:pPr>
              <w:spacing w:line="300" w:lineRule="exact"/>
              <w:jc w:val="left"/>
              <w:outlineLvl w:val="0"/>
            </w:pPr>
          </w:p>
        </w:tc>
        <w:tc>
          <w:tcPr>
            <w:tcW w:w="1380" w:type="dxa"/>
            <w:vMerge w:val="continue"/>
            <w:vAlign w:val="center"/>
          </w:tcPr>
          <w:p>
            <w:pPr>
              <w:spacing w:line="300" w:lineRule="exact"/>
              <w:jc w:val="left"/>
              <w:outlineLvl w:val="0"/>
            </w:pPr>
          </w:p>
        </w:tc>
        <w:tc>
          <w:tcPr>
            <w:tcW w:w="718" w:type="dxa"/>
            <w:gridSpan w:val="2"/>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8"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8"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8" w:type="dxa"/>
            <w:gridSpan w:val="3"/>
            <w:vAlign w:val="center"/>
          </w:tcPr>
          <w:p>
            <w:pPr>
              <w:spacing w:line="300" w:lineRule="exact"/>
              <w:jc w:val="center"/>
              <w:rPr>
                <w:rFonts w:ascii="方正书宋_GBK" w:eastAsia="方正书宋_GBK"/>
                <w:b/>
              </w:rPr>
            </w:pPr>
            <w:r>
              <w:rPr>
                <w:rFonts w:hint="eastAsia" w:ascii="方正书宋_GBK" w:eastAsia="方正书宋_GBK"/>
                <w:b/>
              </w:rPr>
              <w:t>差</w:t>
            </w:r>
          </w:p>
        </w:tc>
        <w:tc>
          <w:tcPr>
            <w:tcW w:w="701" w:type="dxa"/>
            <w:gridSpan w:val="3"/>
            <w:vAlign w:val="center"/>
          </w:tcPr>
          <w:p>
            <w:pPr>
              <w:spacing w:line="300" w:lineRule="exact"/>
              <w:jc w:val="center"/>
              <w:rPr>
                <w:rFonts w:hint="eastAsia"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ascii="方正书宋_GBK" w:eastAsia="方正书宋_GBK"/>
                <w:b/>
              </w:rPr>
            </w:pPr>
            <w:r>
              <w:rPr>
                <w:rFonts w:hint="eastAsia" w:ascii="方正书宋_GBK" w:eastAsia="方正书宋_GBK"/>
                <w:b/>
              </w:rPr>
              <w:t>一、价格总水平调控和价格管理</w:t>
            </w:r>
          </w:p>
        </w:tc>
        <w:tc>
          <w:tcPr>
            <w:tcW w:w="1242" w:type="dxa"/>
            <w:vAlign w:val="center"/>
          </w:tcPr>
          <w:p>
            <w:pPr>
              <w:spacing w:line="300" w:lineRule="exact"/>
              <w:jc w:val="left"/>
              <w:rPr>
                <w:rFonts w:ascii="方正书宋_GBK" w:eastAsia="方正书宋_GBK"/>
              </w:rPr>
            </w:pPr>
            <w:r>
              <w:rPr>
                <w:rFonts w:ascii="方正书宋_GBK" w:eastAsia="方正书宋_GBK"/>
              </w:rPr>
              <w:t>34.06</w:t>
            </w:r>
          </w:p>
        </w:tc>
        <w:tc>
          <w:tcPr>
            <w:tcW w:w="2897" w:type="dxa"/>
            <w:vAlign w:val="center"/>
          </w:tcPr>
          <w:p>
            <w:pPr>
              <w:spacing w:line="300" w:lineRule="exact"/>
              <w:jc w:val="left"/>
              <w:rPr>
                <w:rFonts w:ascii="方正书宋_GBK" w:eastAsia="方正书宋_GBK"/>
              </w:rPr>
            </w:pPr>
            <w:r>
              <w:rPr>
                <w:rFonts w:hint="eastAsia" w:ascii="方正书宋_GBK" w:eastAsia="方正书宋_GBK"/>
              </w:rPr>
              <w:t>根据国民经济发展需要和社会承受能力，拟订全县价格总水平年度调控计划和中长期调控目标，监测预测全县价格总水平及其结构变动趋势，提出调控建议。管理全县与国民经济和人民生活关系重大、资源稀缺、自然垄断经营的商品价格，拟订作价原则、办法。</w:t>
            </w:r>
          </w:p>
        </w:tc>
        <w:tc>
          <w:tcPr>
            <w:tcW w:w="2897" w:type="dxa"/>
            <w:vAlign w:val="center"/>
          </w:tcPr>
          <w:p>
            <w:pPr>
              <w:spacing w:line="300" w:lineRule="exact"/>
              <w:jc w:val="left"/>
              <w:rPr>
                <w:rFonts w:ascii="方正书宋_GBK" w:eastAsia="方正书宋_GBK"/>
              </w:rPr>
            </w:pPr>
            <w:r>
              <w:rPr>
                <w:rFonts w:hint="eastAsia" w:ascii="方正书宋_GBK" w:eastAsia="方正书宋_GBK"/>
              </w:rPr>
              <w:t>保持市场价格总水平基本稳定</w:t>
            </w:r>
            <w:r>
              <w:rPr>
                <w:rFonts w:ascii="方正书宋_GBK" w:eastAsia="方正书宋_GBK"/>
              </w:rPr>
              <w:t>,</w:t>
            </w:r>
            <w:r>
              <w:rPr>
                <w:rFonts w:hint="eastAsia" w:ascii="方正书宋_GBK" w:eastAsia="方正书宋_GBK"/>
              </w:rPr>
              <w:t>努力保障改善民生，促进经济持续健康发展和社会和谐稳定。</w:t>
            </w:r>
          </w:p>
        </w:tc>
        <w:tc>
          <w:tcPr>
            <w:tcW w:w="1380" w:type="dxa"/>
            <w:vAlign w:val="center"/>
          </w:tcPr>
          <w:p>
            <w:pPr>
              <w:spacing w:line="300" w:lineRule="exact"/>
              <w:jc w:val="left"/>
              <w:rPr>
                <w:rFonts w:ascii="方正书宋_GBK" w:eastAsia="方正书宋_GBK"/>
              </w:rPr>
            </w:pPr>
          </w:p>
        </w:tc>
        <w:tc>
          <w:tcPr>
            <w:tcW w:w="718" w:type="dxa"/>
            <w:gridSpan w:val="2"/>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gridSpan w:val="3"/>
            <w:vAlign w:val="center"/>
          </w:tcPr>
          <w:p>
            <w:pPr>
              <w:spacing w:line="300" w:lineRule="exact"/>
              <w:jc w:val="center"/>
              <w:rPr>
                <w:rFonts w:ascii="方正书宋_GBK" w:eastAsia="方正书宋_GBK"/>
              </w:rPr>
            </w:pP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、拟订提出价格总水平年度调控目标和建议</w:t>
            </w:r>
          </w:p>
        </w:tc>
        <w:tc>
          <w:tcPr>
            <w:tcW w:w="1242" w:type="dxa"/>
            <w:vAlign w:val="center"/>
          </w:tcPr>
          <w:p>
            <w:pPr>
              <w:spacing w:line="300" w:lineRule="exact"/>
              <w:jc w:val="left"/>
              <w:rPr>
                <w:rFonts w:ascii="方正书宋_GBK" w:eastAsia="方正书宋_GBK"/>
              </w:rPr>
            </w:pPr>
            <w:r>
              <w:rPr>
                <w:rFonts w:ascii="方正书宋_GBK" w:eastAsia="方正书宋_GBK"/>
              </w:rPr>
              <w:t>34.06</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拟订全县价格总水平年度调控计划，编制中长期调控目标。开展日常、突发事件、重要节假日等价格巡查监测，密切跟踪国内外经济和价格运行，健全应对价格异常波动处理机制，及时启动应急预案，把价格总水平稳定在合理区间。</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调控价格总水平完善价格管理</w:t>
            </w:r>
          </w:p>
        </w:tc>
        <w:tc>
          <w:tcPr>
            <w:tcW w:w="1380" w:type="dxa"/>
            <w:vAlign w:val="center"/>
          </w:tcPr>
          <w:p>
            <w:pPr>
              <w:spacing w:line="300" w:lineRule="exact"/>
              <w:jc w:val="left"/>
              <w:rPr>
                <w:rFonts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95%</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、调整商品、运输、服务价格</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落实国家、省市电力、燃气、热力等价格政策，拟定调整方案，推进价格机制改革。</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调整商品，运输，服务价格</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、拟订收费标准</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根据国家、省市政策和事业发展需要，制定和调整国家机关、公益事业、公用事业、中介服务和重要经营收费的标准并监督执行。</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拟定收费标准</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95%</w:t>
            </w:r>
          </w:p>
        </w:tc>
        <w:tc>
          <w:tcPr>
            <w:tcW w:w="718" w:type="dxa"/>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80%</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、组织价格听证会</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在制定政府指导价、政府定价过程中，组织召开听证会，征求经营者、消费者和有关方面的意见，对制定价格的必要性、可行性进行论证。</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组织价格听证会</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95%</w:t>
            </w:r>
          </w:p>
        </w:tc>
        <w:tc>
          <w:tcPr>
            <w:tcW w:w="718" w:type="dxa"/>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80%</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、司法案件涉案财物、行政工作所涉财物价格认定</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经司法机关提出，办理司法案件中涉及的价格不明或者价格有争议的涉案财物价格认定；经行政机关提出，办理行政工作，包括行政诉讼、复议及处罚案件，行政征收、征用（含应税物价格认定）及执法活动，国家赔偿、补偿等事项中所涉财物价格认定；办理本级价格认定复核事项</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涉案财物，行政工作所涉</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、纪检监察案件涉案财物价格认定</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经纪检监察机关提出，办理纪检监察机关查办案件涉案财物价格认定；办理本级价格认定复核事项</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纪检监察案件涉案财物价格</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二、价格成本调查和监审</w:t>
            </w:r>
          </w:p>
        </w:tc>
        <w:tc>
          <w:tcPr>
            <w:tcW w:w="1242" w:type="dxa"/>
            <w:vAlign w:val="center"/>
          </w:tcPr>
          <w:p>
            <w:pPr>
              <w:spacing w:line="300" w:lineRule="exact"/>
              <w:jc w:val="left"/>
              <w:rPr>
                <w:rFonts w:ascii="方正书宋_GBK" w:eastAsia="方正书宋_GBK"/>
              </w:rPr>
            </w:pPr>
            <w:r>
              <w:rPr>
                <w:rFonts w:ascii="方正书宋_GBK" w:eastAsia="方正书宋_GBK"/>
              </w:rPr>
              <w:t>5.00</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建立健全产品成本信息网络，组织成本汇总和成本分析；对列入《县价格成本监审管理目录》的商品和收费项目进行调定价监审。</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确保农产品调查合理布局，样本具有代表性，提高调查数据的科学性，为上级和县政府提供成本数据、分析预测趋势，为上级制定宏观经济政策、价格政策、稳定市场物价服务；使成本监审工作规范化、程序化，确保全县成本监审工作依法有序地开展，为政府制定价格提供成本数据支撑。</w:t>
            </w:r>
          </w:p>
        </w:tc>
        <w:tc>
          <w:tcPr>
            <w:tcW w:w="1380" w:type="dxa"/>
            <w:vAlign w:val="center"/>
          </w:tcPr>
          <w:p>
            <w:pPr>
              <w:spacing w:line="300" w:lineRule="exact"/>
              <w:jc w:val="left"/>
              <w:rPr>
                <w:rFonts w:hint="eastAsia" w:ascii="方正书宋_GBK" w:eastAsia="方正书宋_GBK"/>
              </w:rPr>
            </w:pPr>
          </w:p>
        </w:tc>
        <w:tc>
          <w:tcPr>
            <w:tcW w:w="718" w:type="dxa"/>
            <w:gridSpan w:val="2"/>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gridSpan w:val="3"/>
            <w:vAlign w:val="center"/>
          </w:tcPr>
          <w:p>
            <w:pPr>
              <w:spacing w:line="300" w:lineRule="exact"/>
              <w:jc w:val="center"/>
              <w:rPr>
                <w:rFonts w:ascii="方正书宋_GBK" w:eastAsia="方正书宋_GBK"/>
              </w:rPr>
            </w:pP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、实施全县农产品成本调查</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确定调查品种、调查户，进行组织实施和检查监督</w:t>
            </w:r>
            <w:r>
              <w:rPr>
                <w:rFonts w:ascii="方正书宋_GBK" w:eastAsia="方正书宋_GBK"/>
              </w:rPr>
              <w:t>,</w:t>
            </w:r>
            <w:r>
              <w:rPr>
                <w:rFonts w:hint="eastAsia" w:ascii="方正书宋_GBK" w:eastAsia="方正书宋_GBK"/>
              </w:rPr>
              <w:t>并对调查品种数据进行收集、审核、汇总、分析。</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全县农产品价格调查</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95%</w:t>
            </w:r>
          </w:p>
        </w:tc>
        <w:tc>
          <w:tcPr>
            <w:tcW w:w="718" w:type="dxa"/>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80%</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、价格成本调查和定价成本监审</w:t>
            </w:r>
          </w:p>
        </w:tc>
        <w:tc>
          <w:tcPr>
            <w:tcW w:w="1242" w:type="dxa"/>
            <w:vAlign w:val="center"/>
          </w:tcPr>
          <w:p>
            <w:pPr>
              <w:spacing w:line="300" w:lineRule="exact"/>
              <w:jc w:val="left"/>
              <w:rPr>
                <w:rFonts w:ascii="方正书宋_GBK" w:eastAsia="方正书宋_GBK"/>
              </w:rPr>
            </w:pPr>
            <w:r>
              <w:rPr>
                <w:rFonts w:ascii="方正书宋_GBK" w:eastAsia="方正书宋_GBK"/>
              </w:rPr>
              <w:t>5.00</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建立健全成本信息网络，组织成本汇总和成本分析；对列入《县价格成本监审管理目录》的商品和收费项目进行调定价监审。</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价格成本调查和定价成本监审</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任务完成情况</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95%</w:t>
            </w:r>
          </w:p>
        </w:tc>
        <w:tc>
          <w:tcPr>
            <w:tcW w:w="718" w:type="dxa"/>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80%</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三、价格监督检查</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组织价格和收费监督检查；受理价格处罚的复议案件和申诉案件；依法办理价格举报案件；推行明码标价和价格、收费公示制度，对市场放开商品实施价格监管，加强反价格欺诈反垄断工作。</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治理价格违法行为，规范收费环境和价格秩序；确保价格行政执法、处罚、审理程序合法；推行明码标价，促进明码实价；促进经营者价格自律。</w:t>
            </w:r>
          </w:p>
        </w:tc>
        <w:tc>
          <w:tcPr>
            <w:tcW w:w="1380" w:type="dxa"/>
            <w:vAlign w:val="center"/>
          </w:tcPr>
          <w:p>
            <w:pPr>
              <w:spacing w:line="300" w:lineRule="exact"/>
              <w:jc w:val="left"/>
              <w:rPr>
                <w:rFonts w:hint="eastAsia" w:ascii="方正书宋_GBK" w:eastAsia="方正书宋_GBK"/>
              </w:rPr>
            </w:pPr>
          </w:p>
        </w:tc>
        <w:tc>
          <w:tcPr>
            <w:tcW w:w="718" w:type="dxa"/>
            <w:gridSpan w:val="2"/>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gridSpan w:val="3"/>
            <w:vAlign w:val="center"/>
          </w:tcPr>
          <w:p>
            <w:pPr>
              <w:spacing w:line="300" w:lineRule="exact"/>
              <w:jc w:val="center"/>
              <w:rPr>
                <w:rFonts w:ascii="方正书宋_GBK" w:eastAsia="方正书宋_GBK"/>
              </w:rPr>
            </w:pP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、法制与案件审理</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对全县价格违法案件执法情况进行监督、检查，对价格违法案件的审理、提出处理意见；受理价格处罚的行政复议、行政诉讼、申诉等案件；加强《河北省价格监督检查条例》的推广及普法工作，并监督其执行情况；培训价格检查干部相关法律法规知识。</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法制案件审理</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、商品和服务价格监督检查</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规范市场价格秩序，打击虚构原价、虚假打折等欺诈行为；完善电子商务、网络购物、快递等新兴服务业价格动态应急处置机制，打击价格违法行为，防范价格异动。</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商品和服务价格监督检查</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四、物价政务管理</w:t>
            </w:r>
          </w:p>
        </w:tc>
        <w:tc>
          <w:tcPr>
            <w:tcW w:w="1242" w:type="dxa"/>
            <w:vAlign w:val="center"/>
          </w:tcPr>
          <w:p>
            <w:pPr>
              <w:spacing w:line="300" w:lineRule="exact"/>
              <w:jc w:val="left"/>
              <w:rPr>
                <w:rFonts w:ascii="方正书宋_GBK" w:eastAsia="方正书宋_GBK"/>
              </w:rPr>
            </w:pPr>
            <w:r>
              <w:rPr>
                <w:rFonts w:ascii="方正书宋_GBK" w:eastAsia="方正书宋_GBK"/>
              </w:rPr>
              <w:t>0.60</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负责机关综合业务管理和机关综合事务管理。</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建立舆情应急处置机制，健全价格舆情监测系统。</w:t>
            </w:r>
          </w:p>
        </w:tc>
        <w:tc>
          <w:tcPr>
            <w:tcW w:w="1380" w:type="dxa"/>
            <w:vAlign w:val="center"/>
          </w:tcPr>
          <w:p>
            <w:pPr>
              <w:spacing w:line="300" w:lineRule="exact"/>
              <w:jc w:val="left"/>
              <w:rPr>
                <w:rFonts w:hint="eastAsia" w:ascii="方正书宋_GBK" w:eastAsia="方正书宋_GBK"/>
              </w:rPr>
            </w:pPr>
          </w:p>
        </w:tc>
        <w:tc>
          <w:tcPr>
            <w:tcW w:w="718" w:type="dxa"/>
            <w:gridSpan w:val="2"/>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vAlign w:val="center"/>
          </w:tcPr>
          <w:p>
            <w:pPr>
              <w:spacing w:line="300" w:lineRule="exact"/>
              <w:jc w:val="center"/>
              <w:rPr>
                <w:rFonts w:ascii="方正书宋_GBK" w:eastAsia="方正书宋_GBK"/>
              </w:rPr>
            </w:pPr>
          </w:p>
        </w:tc>
        <w:tc>
          <w:tcPr>
            <w:tcW w:w="718" w:type="dxa"/>
            <w:gridSpan w:val="3"/>
            <w:vAlign w:val="center"/>
          </w:tcPr>
          <w:p>
            <w:pPr>
              <w:spacing w:line="300" w:lineRule="exact"/>
              <w:jc w:val="center"/>
              <w:rPr>
                <w:rFonts w:ascii="方正书宋_GBK" w:eastAsia="方正书宋_GBK"/>
              </w:rPr>
            </w:pP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42" w:type="dxa"/>
            <w:vAlign w:val="center"/>
          </w:tcPr>
          <w:p>
            <w:pPr>
              <w:spacing w:line="300" w:lineRule="exact"/>
              <w:jc w:val="left"/>
              <w:rPr>
                <w:rFonts w:ascii="方正书宋_GBK" w:eastAsia="方正书宋_GBK"/>
              </w:rPr>
            </w:pPr>
            <w:r>
              <w:rPr>
                <w:rFonts w:ascii="方正书宋_GBK" w:eastAsia="方正书宋_GBK"/>
              </w:rPr>
              <w:t>0.60</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按照市场化的方向推进价格改革；建立舆情应急处置机制，健全价格舆情监测系统。</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综合业务管理</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任务完成情况</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279" w:type="dxa"/>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42" w:type="dxa"/>
            <w:vAlign w:val="center"/>
          </w:tcPr>
          <w:p>
            <w:pPr>
              <w:spacing w:line="300" w:lineRule="exact"/>
              <w:jc w:val="left"/>
              <w:rPr>
                <w:rFonts w:ascii="方正书宋_GBK" w:eastAsia="方正书宋_GBK"/>
              </w:rPr>
            </w:pP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围绕提高行政效率和服务质量，强化管理措施，完善制度保障，打造廉洁高效的价格政务服务环境。根据当事人的申请，依法对各类市场主体之间的价格（或损失）争议进行调解处理。</w:t>
            </w:r>
          </w:p>
        </w:tc>
        <w:tc>
          <w:tcPr>
            <w:tcW w:w="2897" w:type="dxa"/>
            <w:vAlign w:val="center"/>
          </w:tcPr>
          <w:p>
            <w:pPr>
              <w:spacing w:line="300" w:lineRule="exact"/>
              <w:jc w:val="left"/>
              <w:rPr>
                <w:rFonts w:hint="eastAsia" w:ascii="方正书宋_GBK" w:eastAsia="方正书宋_GBK"/>
              </w:rPr>
            </w:pPr>
            <w:r>
              <w:rPr>
                <w:rFonts w:hint="eastAsia" w:ascii="方正书宋_GBK" w:eastAsia="方正书宋_GBK"/>
              </w:rPr>
              <w:t>综合事务管理</w:t>
            </w:r>
          </w:p>
        </w:tc>
        <w:tc>
          <w:tcPr>
            <w:tcW w:w="1380" w:type="dxa"/>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718" w:type="dxa"/>
            <w:gridSpan w:val="2"/>
            <w:vAlign w:val="center"/>
          </w:tcPr>
          <w:p>
            <w:pPr>
              <w:spacing w:line="300" w:lineRule="exact"/>
              <w:jc w:val="center"/>
              <w:rPr>
                <w:rFonts w:ascii="方正书宋_GBK" w:eastAsia="方正书宋_GBK"/>
              </w:rPr>
            </w:pPr>
            <w:r>
              <w:rPr>
                <w:rFonts w:ascii="方正书宋_GBK" w:eastAsia="方正书宋_GBK"/>
              </w:rPr>
              <w:t>90%</w:t>
            </w:r>
          </w:p>
        </w:tc>
        <w:tc>
          <w:tcPr>
            <w:tcW w:w="718" w:type="dxa"/>
            <w:vAlign w:val="center"/>
          </w:tcPr>
          <w:p>
            <w:pPr>
              <w:spacing w:line="300" w:lineRule="exact"/>
              <w:jc w:val="center"/>
              <w:rPr>
                <w:rFonts w:ascii="方正书宋_GBK" w:eastAsia="方正书宋_GBK"/>
              </w:rPr>
            </w:pPr>
            <w:r>
              <w:rPr>
                <w:rFonts w:ascii="方正书宋_GBK" w:eastAsia="方正书宋_GBK"/>
              </w:rPr>
              <w:t>85%</w:t>
            </w:r>
          </w:p>
        </w:tc>
        <w:tc>
          <w:tcPr>
            <w:tcW w:w="718" w:type="dxa"/>
            <w:vAlign w:val="center"/>
          </w:tcPr>
          <w:p>
            <w:pPr>
              <w:spacing w:line="300" w:lineRule="exact"/>
              <w:jc w:val="center"/>
              <w:rPr>
                <w:rFonts w:ascii="方正书宋_GBK" w:eastAsia="方正书宋_GBK"/>
              </w:rPr>
            </w:pPr>
            <w:r>
              <w:rPr>
                <w:rFonts w:ascii="方正书宋_GBK" w:eastAsia="方正书宋_GBK"/>
              </w:rPr>
              <w:t>80%</w:t>
            </w:r>
          </w:p>
        </w:tc>
        <w:tc>
          <w:tcPr>
            <w:tcW w:w="718" w:type="dxa"/>
            <w:gridSpan w:val="3"/>
            <w:vAlign w:val="center"/>
          </w:tcPr>
          <w:p>
            <w:pPr>
              <w:spacing w:line="300" w:lineRule="exact"/>
              <w:jc w:val="center"/>
              <w:rPr>
                <w:rFonts w:ascii="方正书宋_GBK" w:eastAsia="方正书宋_GBK"/>
              </w:rPr>
            </w:pPr>
            <w:r>
              <w:rPr>
                <w:rFonts w:ascii="方正书宋_GBK" w:eastAsia="方正书宋_GBK"/>
              </w:rPr>
              <w:t>75%</w:t>
            </w:r>
          </w:p>
        </w:tc>
        <w:tc>
          <w:tcPr>
            <w:tcW w:w="701" w:type="dxa"/>
            <w:gridSpan w:val="3"/>
            <w:vAlign w:val="center"/>
          </w:tcPr>
          <w:p>
            <w:pPr>
              <w:spacing w:line="300" w:lineRule="exact"/>
              <w:jc w:val="center"/>
              <w:rPr>
                <w:rFonts w:ascii="方正书宋_GBK" w:eastAsia="方正书宋_GBK"/>
              </w:rPr>
            </w:pP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020" w:right="1361" w:bottom="1020" w:left="1361" w:header="851" w:footer="992" w:gutter="0"/>
          <w:cols w:space="720"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widowControl w:val="0"/>
        <w:wordWrap/>
        <w:snapToGrid/>
        <w:spacing w:line="584" w:lineRule="exact"/>
        <w:ind w:left="0" w:leftChars="0" w:right="0" w:firstLine="640" w:firstLineChars="200"/>
        <w:textAlignment w:val="auto"/>
        <w:outlineLvl w:val="0"/>
        <w:rPr>
          <w:rFonts w:hint="eastAsia" w:ascii="仿宋_GB2312" w:hAnsi="仿宋_GB2312" w:eastAsia="仿宋_GB2312" w:cs="仿宋_GB2312"/>
          <w:sz w:val="32"/>
          <w:szCs w:val="24"/>
        </w:rPr>
      </w:pPr>
      <w:bookmarkStart w:id="2" w:name="_Toc504489153"/>
      <w:r>
        <w:rPr>
          <w:rFonts w:hint="eastAsia" w:ascii="仿宋_GB2312" w:hAnsi="仿宋_GB2312" w:eastAsia="仿宋_GB2312" w:cs="仿宋_GB2312"/>
          <w:sz w:val="32"/>
          <w:szCs w:val="24"/>
        </w:rPr>
        <w:t>2019年，我部门</w:t>
      </w:r>
      <w:r>
        <w:rPr>
          <w:rFonts w:hint="eastAsia" w:ascii="仿宋_GB2312" w:hAnsi="仿宋_GB2312" w:eastAsia="仿宋_GB2312" w:cs="仿宋_GB2312"/>
          <w:sz w:val="32"/>
          <w:szCs w:val="32"/>
        </w:rPr>
        <w:t>政府采购预算</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4"/>
        </w:rPr>
        <w:t>具体内容见下表。</w:t>
      </w:r>
    </w:p>
    <w:p>
      <w:pPr>
        <w:spacing w:line="584" w:lineRule="exact"/>
        <w:jc w:val="center"/>
        <w:outlineLvl w:val="0"/>
        <w:rPr>
          <w:rFonts w:ascii="Times New Roman" w:hAnsi="Times New Roman" w:eastAsia="仿宋_GB2312" w:cs="Times New Roman"/>
          <w:sz w:val="32"/>
        </w:rPr>
      </w:pPr>
      <w:r>
        <w:rPr>
          <w:rFonts w:ascii="Times New Roman" w:hAnsi="Times New Roman" w:eastAsia="仿宋_GB2312" w:cs="Times New Roman"/>
          <w:sz w:val="32"/>
        </w:rPr>
        <w:t>部门政府采购预算</w:t>
      </w:r>
      <w:bookmarkEnd w:id="2"/>
    </w:p>
    <w:tbl>
      <w:tblPr>
        <w:tblStyle w:val="10"/>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大城县物价局</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63" w:type="dxa"/>
            <w:gridSpan w:val="2"/>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vAlign w:val="center"/>
          </w:tcPr>
          <w:p>
            <w:pPr>
              <w:spacing w:line="584" w:lineRule="exact"/>
              <w:jc w:val="left"/>
              <w:outlineLvl w:val="0"/>
              <w:rPr>
                <w:rFonts w:ascii="Times New Roman" w:hAnsi="Times New Roman" w:eastAsia="仿宋_GB2312" w:cs="Times New Roman"/>
              </w:rPr>
            </w:pPr>
          </w:p>
        </w:tc>
        <w:tc>
          <w:tcPr>
            <w:tcW w:w="1372" w:type="dxa"/>
            <w:vMerge w:val="continue"/>
            <w:vAlign w:val="center"/>
          </w:tcPr>
          <w:p>
            <w:pPr>
              <w:spacing w:line="584" w:lineRule="exact"/>
              <w:jc w:val="left"/>
              <w:outlineLvl w:val="0"/>
              <w:rPr>
                <w:rFonts w:ascii="Times New Roman" w:hAnsi="Times New Roman" w:eastAsia="仿宋_GB2312" w:cs="Times New Roman"/>
              </w:rPr>
            </w:pPr>
          </w:p>
        </w:tc>
        <w:tc>
          <w:tcPr>
            <w:tcW w:w="720" w:type="dxa"/>
            <w:vMerge w:val="continue"/>
            <w:vAlign w:val="center"/>
          </w:tcPr>
          <w:p>
            <w:pPr>
              <w:spacing w:line="584" w:lineRule="exact"/>
              <w:jc w:val="left"/>
              <w:outlineLvl w:val="0"/>
              <w:rPr>
                <w:rFonts w:ascii="Times New Roman" w:hAnsi="Times New Roman" w:eastAsia="仿宋_GB2312" w:cs="Times New Roman"/>
              </w:rPr>
            </w:pPr>
          </w:p>
        </w:tc>
        <w:tc>
          <w:tcPr>
            <w:tcW w:w="740" w:type="dxa"/>
            <w:vMerge w:val="continue"/>
            <w:vAlign w:val="center"/>
          </w:tcPr>
          <w:p>
            <w:pPr>
              <w:spacing w:line="584" w:lineRule="exact"/>
              <w:jc w:val="left"/>
              <w:outlineLvl w:val="0"/>
              <w:rPr>
                <w:rFonts w:ascii="Times New Roman" w:hAnsi="Times New Roman" w:eastAsia="仿宋_GB2312" w:cs="Times New Roman"/>
              </w:rPr>
            </w:pPr>
          </w:p>
        </w:tc>
        <w:tc>
          <w:tcPr>
            <w:tcW w:w="950" w:type="dxa"/>
            <w:vMerge w:val="continue"/>
            <w:vAlign w:val="center"/>
          </w:tcPr>
          <w:p>
            <w:pPr>
              <w:spacing w:line="584" w:lineRule="exact"/>
              <w:jc w:val="left"/>
              <w:outlineLvl w:val="0"/>
              <w:rPr>
                <w:rFonts w:ascii="Times New Roman" w:hAnsi="Times New Roman" w:eastAsia="仿宋_GB2312" w:cs="Times New Roman"/>
              </w:rPr>
            </w:pPr>
          </w:p>
        </w:tc>
        <w:tc>
          <w:tcPr>
            <w:tcW w:w="956"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continue"/>
            <w:vAlign w:val="center"/>
          </w:tcPr>
          <w:p>
            <w:pPr>
              <w:spacing w:line="584" w:lineRule="exact"/>
              <w:jc w:val="left"/>
              <w:outlineLvl w:val="0"/>
              <w:rPr>
                <w:rFonts w:ascii="Times New Roman" w:hAnsi="Times New Roman" w:eastAsia="仿宋_GB2312" w:cs="Times New Roman"/>
              </w:rPr>
            </w:pPr>
          </w:p>
        </w:tc>
        <w:tc>
          <w:tcPr>
            <w:tcW w:w="1057" w:type="dxa"/>
            <w:vMerge w:val="continue"/>
            <w:vAlign w:val="center"/>
          </w:tcPr>
          <w:p>
            <w:pPr>
              <w:spacing w:line="584" w:lineRule="exact"/>
              <w:jc w:val="left"/>
              <w:outlineLvl w:val="0"/>
              <w:rPr>
                <w:rFonts w:ascii="Times New Roman" w:hAnsi="Times New Roman" w:eastAsia="仿宋_GB2312" w:cs="Times New Roman"/>
              </w:rPr>
            </w:pPr>
          </w:p>
        </w:tc>
        <w:tc>
          <w:tcPr>
            <w:tcW w:w="932" w:type="dxa"/>
            <w:vMerge w:val="continue"/>
            <w:vAlign w:val="center"/>
          </w:tcPr>
          <w:p>
            <w:pPr>
              <w:spacing w:line="584" w:lineRule="exact"/>
              <w:jc w:val="left"/>
              <w:outlineLvl w:val="0"/>
              <w:rPr>
                <w:rFonts w:ascii="Times New Roman" w:hAnsi="Times New Roman" w:eastAsia="仿宋_GB2312" w:cs="Times New Roman"/>
              </w:rPr>
            </w:pPr>
          </w:p>
        </w:tc>
        <w:tc>
          <w:tcPr>
            <w:tcW w:w="1372" w:type="dxa"/>
            <w:vMerge w:val="continue"/>
            <w:vAlign w:val="center"/>
          </w:tcPr>
          <w:p>
            <w:pPr>
              <w:spacing w:line="584" w:lineRule="exact"/>
              <w:jc w:val="left"/>
              <w:outlineLvl w:val="0"/>
              <w:rPr>
                <w:rFonts w:ascii="Times New Roman" w:hAnsi="Times New Roman" w:eastAsia="仿宋_GB2312" w:cs="Times New Roman"/>
              </w:rPr>
            </w:pPr>
          </w:p>
        </w:tc>
        <w:tc>
          <w:tcPr>
            <w:tcW w:w="720" w:type="dxa"/>
            <w:vMerge w:val="continue"/>
            <w:vAlign w:val="center"/>
          </w:tcPr>
          <w:p>
            <w:pPr>
              <w:spacing w:line="584" w:lineRule="exact"/>
              <w:jc w:val="left"/>
              <w:outlineLvl w:val="0"/>
              <w:rPr>
                <w:rFonts w:ascii="Times New Roman" w:hAnsi="Times New Roman" w:eastAsia="仿宋_GB2312" w:cs="Times New Roman"/>
              </w:rPr>
            </w:pPr>
          </w:p>
        </w:tc>
        <w:tc>
          <w:tcPr>
            <w:tcW w:w="740" w:type="dxa"/>
            <w:vMerge w:val="continue"/>
            <w:vAlign w:val="center"/>
          </w:tcPr>
          <w:p>
            <w:pPr>
              <w:spacing w:line="584" w:lineRule="exact"/>
              <w:jc w:val="left"/>
              <w:outlineLvl w:val="0"/>
              <w:rPr>
                <w:rFonts w:ascii="Times New Roman" w:hAnsi="Times New Roman" w:eastAsia="仿宋_GB2312" w:cs="Times New Roman"/>
              </w:rPr>
            </w:pPr>
          </w:p>
        </w:tc>
        <w:tc>
          <w:tcPr>
            <w:tcW w:w="950" w:type="dxa"/>
            <w:vMerge w:val="continue"/>
            <w:vAlign w:val="center"/>
          </w:tcPr>
          <w:p>
            <w:pPr>
              <w:spacing w:line="584" w:lineRule="exact"/>
              <w:jc w:val="left"/>
              <w:outlineLvl w:val="0"/>
              <w:rPr>
                <w:rFonts w:ascii="Times New Roman" w:hAnsi="Times New Roman" w:eastAsia="仿宋_GB2312" w:cs="Times New Roman"/>
              </w:rPr>
            </w:pPr>
          </w:p>
        </w:tc>
        <w:tc>
          <w:tcPr>
            <w:tcW w:w="956" w:type="dxa"/>
            <w:vMerge w:val="continue"/>
            <w:vAlign w:val="center"/>
          </w:tcPr>
          <w:p>
            <w:pPr>
              <w:spacing w:line="584" w:lineRule="exact"/>
              <w:jc w:val="left"/>
              <w:outlineLvl w:val="0"/>
              <w:rPr>
                <w:rFonts w:ascii="Times New Roman" w:hAnsi="Times New Roman" w:eastAsia="仿宋_GB2312" w:cs="Times New Roman"/>
              </w:rPr>
            </w:pPr>
          </w:p>
        </w:tc>
        <w:tc>
          <w:tcPr>
            <w:tcW w:w="95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vAlign w:val="center"/>
          </w:tcPr>
          <w:p>
            <w:pPr>
              <w:spacing w:line="584" w:lineRule="exact"/>
              <w:jc w:val="right"/>
              <w:rPr>
                <w:rFonts w:ascii="Times New Roman" w:hAnsi="Times New Roman" w:eastAsia="仿宋_GB2312" w:cs="Times New Roman"/>
                <w:b/>
              </w:rPr>
            </w:pPr>
          </w:p>
        </w:tc>
        <w:tc>
          <w:tcPr>
            <w:tcW w:w="932" w:type="dxa"/>
            <w:vAlign w:val="center"/>
          </w:tcPr>
          <w:p>
            <w:pPr>
              <w:spacing w:line="584" w:lineRule="exact"/>
              <w:jc w:val="left"/>
              <w:rPr>
                <w:rFonts w:ascii="Times New Roman" w:hAnsi="Times New Roman" w:eastAsia="仿宋_GB2312" w:cs="Times New Roman"/>
                <w:b/>
              </w:rPr>
            </w:pPr>
          </w:p>
        </w:tc>
        <w:tc>
          <w:tcPr>
            <w:tcW w:w="1372" w:type="dxa"/>
            <w:vAlign w:val="center"/>
          </w:tcPr>
          <w:p>
            <w:pPr>
              <w:spacing w:line="584" w:lineRule="exact"/>
              <w:jc w:val="left"/>
              <w:rPr>
                <w:rFonts w:ascii="Times New Roman" w:hAnsi="Times New Roman" w:eastAsia="仿宋_GB2312" w:cs="Times New Roman"/>
                <w:b/>
              </w:rPr>
            </w:pPr>
          </w:p>
        </w:tc>
        <w:tc>
          <w:tcPr>
            <w:tcW w:w="720" w:type="dxa"/>
            <w:vAlign w:val="center"/>
          </w:tcPr>
          <w:p>
            <w:pPr>
              <w:spacing w:line="584" w:lineRule="exact"/>
              <w:jc w:val="left"/>
              <w:rPr>
                <w:rFonts w:ascii="Times New Roman" w:hAnsi="Times New Roman" w:eastAsia="仿宋_GB2312" w:cs="Times New Roman"/>
                <w:b/>
              </w:rPr>
            </w:pPr>
          </w:p>
        </w:tc>
        <w:tc>
          <w:tcPr>
            <w:tcW w:w="740" w:type="dxa"/>
            <w:vAlign w:val="center"/>
          </w:tcPr>
          <w:p>
            <w:pPr>
              <w:spacing w:line="584" w:lineRule="exact"/>
              <w:jc w:val="right"/>
              <w:rPr>
                <w:rFonts w:ascii="Times New Roman" w:hAnsi="Times New Roman" w:eastAsia="仿宋_GB2312" w:cs="Times New Roman"/>
                <w:b/>
              </w:rPr>
            </w:pPr>
          </w:p>
        </w:tc>
        <w:tc>
          <w:tcPr>
            <w:tcW w:w="950"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790" w:type="dxa"/>
            <w:vAlign w:val="center"/>
          </w:tcPr>
          <w:p>
            <w:pPr>
              <w:spacing w:line="584" w:lineRule="exact"/>
              <w:jc w:val="right"/>
              <w:rPr>
                <w:rFonts w:ascii="Times New Roman" w:hAnsi="Times New Roman" w:eastAsia="仿宋_GB2312" w:cs="Times New Roman"/>
                <w:b/>
              </w:rPr>
            </w:pPr>
          </w:p>
        </w:tc>
        <w:tc>
          <w:tcPr>
            <w:tcW w:w="924" w:type="dxa"/>
            <w:vAlign w:val="center"/>
          </w:tcPr>
          <w:p>
            <w:pPr>
              <w:spacing w:line="584" w:lineRule="exact"/>
              <w:jc w:val="right"/>
              <w:rPr>
                <w:rFonts w:ascii="Times New Roman" w:hAnsi="Times New Roman" w:eastAsia="仿宋_GB2312" w:cs="Times New Roman"/>
                <w:b/>
              </w:rPr>
            </w:pPr>
          </w:p>
        </w:tc>
        <w:tc>
          <w:tcPr>
            <w:tcW w:w="929" w:type="dxa"/>
            <w:vAlign w:val="center"/>
          </w:tcPr>
          <w:p>
            <w:pPr>
              <w:spacing w:line="584" w:lineRule="exact"/>
              <w:jc w:val="right"/>
              <w:rPr>
                <w:rFonts w:ascii="Times New Roman" w:hAnsi="Times New Roman" w:eastAsia="仿宋_GB2312" w:cs="Times New Roman"/>
                <w:b/>
              </w:rPr>
            </w:pPr>
          </w:p>
        </w:tc>
        <w:tc>
          <w:tcPr>
            <w:tcW w:w="880" w:type="dxa"/>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cs="Times New Roman"/>
                <w:b/>
              </w:rPr>
            </w:pPr>
          </w:p>
        </w:tc>
        <w:tc>
          <w:tcPr>
            <w:tcW w:w="1057" w:type="dxa"/>
            <w:vAlign w:val="center"/>
          </w:tcPr>
          <w:p>
            <w:pPr>
              <w:spacing w:line="584" w:lineRule="exact"/>
              <w:jc w:val="right"/>
              <w:rPr>
                <w:rFonts w:ascii="Times New Roman" w:hAnsi="Times New Roman" w:eastAsia="仿宋_GB2312" w:cs="Times New Roman"/>
                <w:b/>
              </w:rPr>
            </w:pPr>
          </w:p>
        </w:tc>
        <w:tc>
          <w:tcPr>
            <w:tcW w:w="932" w:type="dxa"/>
            <w:vAlign w:val="center"/>
          </w:tcPr>
          <w:p>
            <w:pPr>
              <w:spacing w:line="584" w:lineRule="exact"/>
              <w:jc w:val="left"/>
              <w:rPr>
                <w:rFonts w:ascii="Times New Roman" w:hAnsi="Times New Roman" w:eastAsia="仿宋_GB2312" w:cs="Times New Roman"/>
                <w:b/>
              </w:rPr>
            </w:pPr>
          </w:p>
        </w:tc>
        <w:tc>
          <w:tcPr>
            <w:tcW w:w="1372" w:type="dxa"/>
            <w:vAlign w:val="center"/>
          </w:tcPr>
          <w:p>
            <w:pPr>
              <w:spacing w:line="584" w:lineRule="exact"/>
              <w:jc w:val="left"/>
              <w:rPr>
                <w:rFonts w:ascii="Times New Roman" w:hAnsi="Times New Roman" w:eastAsia="仿宋_GB2312" w:cs="Times New Roman"/>
                <w:b/>
              </w:rPr>
            </w:pPr>
          </w:p>
        </w:tc>
        <w:tc>
          <w:tcPr>
            <w:tcW w:w="720" w:type="dxa"/>
            <w:vAlign w:val="center"/>
          </w:tcPr>
          <w:p>
            <w:pPr>
              <w:spacing w:line="584" w:lineRule="exact"/>
              <w:jc w:val="left"/>
              <w:rPr>
                <w:rFonts w:ascii="Times New Roman" w:hAnsi="Times New Roman" w:eastAsia="仿宋_GB2312" w:cs="Times New Roman"/>
                <w:b/>
              </w:rPr>
            </w:pPr>
          </w:p>
        </w:tc>
        <w:tc>
          <w:tcPr>
            <w:tcW w:w="740" w:type="dxa"/>
            <w:vAlign w:val="center"/>
          </w:tcPr>
          <w:p>
            <w:pPr>
              <w:spacing w:line="584" w:lineRule="exact"/>
              <w:jc w:val="right"/>
              <w:rPr>
                <w:rFonts w:ascii="Times New Roman" w:hAnsi="Times New Roman" w:eastAsia="仿宋_GB2312" w:cs="Times New Roman"/>
                <w:b/>
              </w:rPr>
            </w:pPr>
          </w:p>
        </w:tc>
        <w:tc>
          <w:tcPr>
            <w:tcW w:w="950"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956" w:type="dxa"/>
            <w:vAlign w:val="center"/>
          </w:tcPr>
          <w:p>
            <w:pPr>
              <w:spacing w:line="584" w:lineRule="exact"/>
              <w:jc w:val="right"/>
              <w:rPr>
                <w:rFonts w:ascii="Times New Roman" w:hAnsi="Times New Roman" w:eastAsia="仿宋_GB2312" w:cs="Times New Roman"/>
                <w:b/>
              </w:rPr>
            </w:pPr>
          </w:p>
        </w:tc>
        <w:tc>
          <w:tcPr>
            <w:tcW w:w="790" w:type="dxa"/>
            <w:vAlign w:val="center"/>
          </w:tcPr>
          <w:p>
            <w:pPr>
              <w:spacing w:line="584" w:lineRule="exact"/>
              <w:jc w:val="right"/>
              <w:rPr>
                <w:rFonts w:ascii="Times New Roman" w:hAnsi="Times New Roman" w:eastAsia="仿宋_GB2312" w:cs="Times New Roman"/>
                <w:b/>
              </w:rPr>
            </w:pPr>
          </w:p>
        </w:tc>
        <w:tc>
          <w:tcPr>
            <w:tcW w:w="924" w:type="dxa"/>
            <w:vAlign w:val="center"/>
          </w:tcPr>
          <w:p>
            <w:pPr>
              <w:spacing w:line="584" w:lineRule="exact"/>
              <w:jc w:val="right"/>
              <w:rPr>
                <w:rFonts w:ascii="Times New Roman" w:hAnsi="Times New Roman" w:eastAsia="仿宋_GB2312" w:cs="Times New Roman"/>
                <w:b/>
              </w:rPr>
            </w:pPr>
          </w:p>
        </w:tc>
        <w:tc>
          <w:tcPr>
            <w:tcW w:w="929" w:type="dxa"/>
            <w:vAlign w:val="center"/>
          </w:tcPr>
          <w:p>
            <w:pPr>
              <w:spacing w:line="584" w:lineRule="exact"/>
              <w:jc w:val="right"/>
              <w:rPr>
                <w:rFonts w:ascii="Times New Roman" w:hAnsi="Times New Roman" w:eastAsia="仿宋_GB2312" w:cs="Times New Roman"/>
                <w:b/>
              </w:rPr>
            </w:pPr>
          </w:p>
        </w:tc>
        <w:tc>
          <w:tcPr>
            <w:tcW w:w="880" w:type="dxa"/>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cs="Times New Roman"/>
              </w:rPr>
            </w:pPr>
          </w:p>
        </w:tc>
        <w:tc>
          <w:tcPr>
            <w:tcW w:w="1057" w:type="dxa"/>
            <w:vAlign w:val="center"/>
          </w:tcPr>
          <w:p>
            <w:pPr>
              <w:spacing w:line="584" w:lineRule="exact"/>
              <w:jc w:val="right"/>
              <w:rPr>
                <w:rFonts w:ascii="Times New Roman" w:hAnsi="Times New Roman" w:eastAsia="仿宋_GB2312" w:cs="Times New Roman"/>
              </w:rPr>
            </w:pPr>
          </w:p>
        </w:tc>
        <w:tc>
          <w:tcPr>
            <w:tcW w:w="932" w:type="dxa"/>
            <w:vAlign w:val="center"/>
          </w:tcPr>
          <w:p>
            <w:pPr>
              <w:spacing w:line="584" w:lineRule="exact"/>
              <w:jc w:val="left"/>
              <w:rPr>
                <w:rFonts w:ascii="Times New Roman" w:hAnsi="Times New Roman" w:eastAsia="仿宋_GB2312" w:cs="Times New Roman"/>
              </w:rPr>
            </w:pPr>
          </w:p>
        </w:tc>
        <w:tc>
          <w:tcPr>
            <w:tcW w:w="1372" w:type="dxa"/>
            <w:vAlign w:val="center"/>
          </w:tcPr>
          <w:p>
            <w:pPr>
              <w:spacing w:line="584" w:lineRule="exact"/>
              <w:jc w:val="left"/>
              <w:rPr>
                <w:rFonts w:ascii="Times New Roman" w:hAnsi="Times New Roman" w:eastAsia="仿宋_GB2312" w:cs="Times New Roman"/>
              </w:rPr>
            </w:pPr>
          </w:p>
        </w:tc>
        <w:tc>
          <w:tcPr>
            <w:tcW w:w="720" w:type="dxa"/>
            <w:vAlign w:val="center"/>
          </w:tcPr>
          <w:p>
            <w:pPr>
              <w:spacing w:line="584" w:lineRule="exact"/>
              <w:jc w:val="left"/>
              <w:rPr>
                <w:rFonts w:ascii="Times New Roman" w:hAnsi="Times New Roman" w:eastAsia="仿宋_GB2312" w:cs="Times New Roman"/>
              </w:rPr>
            </w:pPr>
          </w:p>
        </w:tc>
        <w:tc>
          <w:tcPr>
            <w:tcW w:w="740" w:type="dxa"/>
            <w:vAlign w:val="center"/>
          </w:tcPr>
          <w:p>
            <w:pPr>
              <w:spacing w:line="584" w:lineRule="exact"/>
              <w:jc w:val="right"/>
              <w:rPr>
                <w:rFonts w:ascii="Times New Roman" w:hAnsi="Times New Roman" w:eastAsia="仿宋_GB2312" w:cs="Times New Roman"/>
              </w:rPr>
            </w:pPr>
          </w:p>
        </w:tc>
        <w:tc>
          <w:tcPr>
            <w:tcW w:w="950"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cs="Times New Roman"/>
              </w:rPr>
            </w:pPr>
          </w:p>
        </w:tc>
        <w:tc>
          <w:tcPr>
            <w:tcW w:w="1057" w:type="dxa"/>
            <w:vAlign w:val="center"/>
          </w:tcPr>
          <w:p>
            <w:pPr>
              <w:spacing w:line="584" w:lineRule="exact"/>
              <w:jc w:val="right"/>
              <w:rPr>
                <w:rFonts w:ascii="Times New Roman" w:hAnsi="Times New Roman" w:eastAsia="仿宋_GB2312" w:cs="Times New Roman"/>
              </w:rPr>
            </w:pPr>
          </w:p>
        </w:tc>
        <w:tc>
          <w:tcPr>
            <w:tcW w:w="932" w:type="dxa"/>
            <w:vAlign w:val="center"/>
          </w:tcPr>
          <w:p>
            <w:pPr>
              <w:spacing w:line="584" w:lineRule="exact"/>
              <w:jc w:val="left"/>
              <w:rPr>
                <w:rFonts w:ascii="Times New Roman" w:hAnsi="Times New Roman" w:eastAsia="仿宋_GB2312" w:cs="Times New Roman"/>
              </w:rPr>
            </w:pPr>
          </w:p>
        </w:tc>
        <w:tc>
          <w:tcPr>
            <w:tcW w:w="1372" w:type="dxa"/>
            <w:vAlign w:val="center"/>
          </w:tcPr>
          <w:p>
            <w:pPr>
              <w:spacing w:line="584" w:lineRule="exact"/>
              <w:jc w:val="left"/>
              <w:rPr>
                <w:rFonts w:ascii="Times New Roman" w:hAnsi="Times New Roman" w:eastAsia="仿宋_GB2312" w:cs="Times New Roman"/>
              </w:rPr>
            </w:pPr>
          </w:p>
        </w:tc>
        <w:tc>
          <w:tcPr>
            <w:tcW w:w="720" w:type="dxa"/>
            <w:vAlign w:val="center"/>
          </w:tcPr>
          <w:p>
            <w:pPr>
              <w:spacing w:line="584" w:lineRule="exact"/>
              <w:jc w:val="left"/>
              <w:rPr>
                <w:rFonts w:ascii="Times New Roman" w:hAnsi="Times New Roman" w:eastAsia="仿宋_GB2312" w:cs="Times New Roman"/>
              </w:rPr>
            </w:pPr>
          </w:p>
        </w:tc>
        <w:tc>
          <w:tcPr>
            <w:tcW w:w="740" w:type="dxa"/>
            <w:vAlign w:val="center"/>
          </w:tcPr>
          <w:p>
            <w:pPr>
              <w:spacing w:line="584" w:lineRule="exact"/>
              <w:jc w:val="right"/>
              <w:rPr>
                <w:rFonts w:ascii="Times New Roman" w:hAnsi="Times New Roman" w:eastAsia="仿宋_GB2312" w:cs="Times New Roman"/>
              </w:rPr>
            </w:pPr>
          </w:p>
        </w:tc>
        <w:tc>
          <w:tcPr>
            <w:tcW w:w="950"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cs="Times New Roman"/>
              </w:rPr>
            </w:pPr>
          </w:p>
        </w:tc>
        <w:tc>
          <w:tcPr>
            <w:tcW w:w="1057" w:type="dxa"/>
            <w:vAlign w:val="center"/>
          </w:tcPr>
          <w:p>
            <w:pPr>
              <w:spacing w:line="584" w:lineRule="exact"/>
              <w:jc w:val="right"/>
              <w:rPr>
                <w:rFonts w:ascii="Times New Roman" w:hAnsi="Times New Roman" w:eastAsia="仿宋_GB2312" w:cs="Times New Roman"/>
              </w:rPr>
            </w:pPr>
          </w:p>
        </w:tc>
        <w:tc>
          <w:tcPr>
            <w:tcW w:w="932" w:type="dxa"/>
            <w:vAlign w:val="center"/>
          </w:tcPr>
          <w:p>
            <w:pPr>
              <w:spacing w:line="584" w:lineRule="exact"/>
              <w:jc w:val="left"/>
              <w:rPr>
                <w:rFonts w:ascii="Times New Roman" w:hAnsi="Times New Roman" w:eastAsia="仿宋_GB2312" w:cs="Times New Roman"/>
              </w:rPr>
            </w:pPr>
          </w:p>
        </w:tc>
        <w:tc>
          <w:tcPr>
            <w:tcW w:w="1372" w:type="dxa"/>
            <w:vAlign w:val="center"/>
          </w:tcPr>
          <w:p>
            <w:pPr>
              <w:spacing w:line="584" w:lineRule="exact"/>
              <w:jc w:val="left"/>
              <w:rPr>
                <w:rFonts w:ascii="Times New Roman" w:hAnsi="Times New Roman" w:eastAsia="仿宋_GB2312" w:cs="Times New Roman"/>
              </w:rPr>
            </w:pPr>
          </w:p>
        </w:tc>
        <w:tc>
          <w:tcPr>
            <w:tcW w:w="720" w:type="dxa"/>
            <w:vAlign w:val="center"/>
          </w:tcPr>
          <w:p>
            <w:pPr>
              <w:spacing w:line="584" w:lineRule="exact"/>
              <w:jc w:val="left"/>
              <w:rPr>
                <w:rFonts w:ascii="Times New Roman" w:hAnsi="Times New Roman" w:eastAsia="仿宋_GB2312" w:cs="Times New Roman"/>
              </w:rPr>
            </w:pPr>
          </w:p>
        </w:tc>
        <w:tc>
          <w:tcPr>
            <w:tcW w:w="740" w:type="dxa"/>
            <w:vAlign w:val="center"/>
          </w:tcPr>
          <w:p>
            <w:pPr>
              <w:spacing w:line="584" w:lineRule="exact"/>
              <w:jc w:val="right"/>
              <w:rPr>
                <w:rFonts w:ascii="Times New Roman" w:hAnsi="Times New Roman" w:eastAsia="仿宋_GB2312" w:cs="Times New Roman"/>
              </w:rPr>
            </w:pPr>
          </w:p>
        </w:tc>
        <w:tc>
          <w:tcPr>
            <w:tcW w:w="950"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cs="Times New Roman"/>
              </w:rPr>
            </w:pPr>
          </w:p>
        </w:tc>
        <w:tc>
          <w:tcPr>
            <w:tcW w:w="1057" w:type="dxa"/>
            <w:vAlign w:val="center"/>
          </w:tcPr>
          <w:p>
            <w:pPr>
              <w:spacing w:line="584" w:lineRule="exact"/>
              <w:jc w:val="right"/>
              <w:rPr>
                <w:rFonts w:ascii="Times New Roman" w:hAnsi="Times New Roman" w:eastAsia="仿宋_GB2312" w:cs="Times New Roman"/>
              </w:rPr>
            </w:pPr>
          </w:p>
        </w:tc>
        <w:tc>
          <w:tcPr>
            <w:tcW w:w="932" w:type="dxa"/>
            <w:vAlign w:val="center"/>
          </w:tcPr>
          <w:p>
            <w:pPr>
              <w:spacing w:line="584" w:lineRule="exact"/>
              <w:jc w:val="left"/>
              <w:rPr>
                <w:rFonts w:ascii="Times New Roman" w:hAnsi="Times New Roman" w:eastAsia="仿宋_GB2312" w:cs="Times New Roman"/>
              </w:rPr>
            </w:pPr>
          </w:p>
        </w:tc>
        <w:tc>
          <w:tcPr>
            <w:tcW w:w="1372" w:type="dxa"/>
            <w:vAlign w:val="center"/>
          </w:tcPr>
          <w:p>
            <w:pPr>
              <w:spacing w:line="584" w:lineRule="exact"/>
              <w:jc w:val="left"/>
              <w:rPr>
                <w:rFonts w:ascii="Times New Roman" w:hAnsi="Times New Roman" w:eastAsia="仿宋_GB2312" w:cs="Times New Roman"/>
              </w:rPr>
            </w:pPr>
          </w:p>
        </w:tc>
        <w:tc>
          <w:tcPr>
            <w:tcW w:w="720" w:type="dxa"/>
            <w:vAlign w:val="center"/>
          </w:tcPr>
          <w:p>
            <w:pPr>
              <w:spacing w:line="584" w:lineRule="exact"/>
              <w:jc w:val="left"/>
              <w:rPr>
                <w:rFonts w:ascii="Times New Roman" w:hAnsi="Times New Roman" w:eastAsia="仿宋_GB2312" w:cs="Times New Roman"/>
              </w:rPr>
            </w:pPr>
          </w:p>
        </w:tc>
        <w:tc>
          <w:tcPr>
            <w:tcW w:w="740" w:type="dxa"/>
            <w:vAlign w:val="center"/>
          </w:tcPr>
          <w:p>
            <w:pPr>
              <w:spacing w:line="584" w:lineRule="exact"/>
              <w:jc w:val="right"/>
              <w:rPr>
                <w:rFonts w:ascii="Times New Roman" w:hAnsi="Times New Roman" w:eastAsia="仿宋_GB2312" w:cs="Times New Roman"/>
              </w:rPr>
            </w:pPr>
          </w:p>
        </w:tc>
        <w:tc>
          <w:tcPr>
            <w:tcW w:w="950"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956" w:type="dxa"/>
            <w:vAlign w:val="center"/>
          </w:tcPr>
          <w:p>
            <w:pPr>
              <w:spacing w:line="584" w:lineRule="exact"/>
              <w:jc w:val="right"/>
              <w:rPr>
                <w:rFonts w:ascii="Times New Roman" w:hAnsi="Times New Roman" w:eastAsia="仿宋_GB2312" w:cs="Times New Roman"/>
              </w:rPr>
            </w:pPr>
          </w:p>
        </w:tc>
        <w:tc>
          <w:tcPr>
            <w:tcW w:w="790" w:type="dxa"/>
            <w:vAlign w:val="center"/>
          </w:tcPr>
          <w:p>
            <w:pPr>
              <w:spacing w:line="584" w:lineRule="exact"/>
              <w:jc w:val="right"/>
              <w:rPr>
                <w:rFonts w:ascii="Times New Roman" w:hAnsi="Times New Roman" w:eastAsia="仿宋_GB2312" w:cs="Times New Roman"/>
              </w:rPr>
            </w:pPr>
          </w:p>
        </w:tc>
        <w:tc>
          <w:tcPr>
            <w:tcW w:w="924" w:type="dxa"/>
            <w:vAlign w:val="center"/>
          </w:tcPr>
          <w:p>
            <w:pPr>
              <w:spacing w:line="584" w:lineRule="exact"/>
              <w:jc w:val="right"/>
              <w:rPr>
                <w:rFonts w:ascii="Times New Roman" w:hAnsi="Times New Roman" w:eastAsia="仿宋_GB2312" w:cs="Times New Roman"/>
              </w:rPr>
            </w:pPr>
          </w:p>
        </w:tc>
        <w:tc>
          <w:tcPr>
            <w:tcW w:w="929" w:type="dxa"/>
            <w:vAlign w:val="center"/>
          </w:tcPr>
          <w:p>
            <w:pPr>
              <w:spacing w:line="584" w:lineRule="exact"/>
              <w:jc w:val="right"/>
              <w:rPr>
                <w:rFonts w:ascii="Times New Roman" w:hAnsi="Times New Roman" w:eastAsia="仿宋_GB2312" w:cs="Times New Roman"/>
              </w:rPr>
            </w:pPr>
          </w:p>
        </w:tc>
        <w:tc>
          <w:tcPr>
            <w:tcW w:w="880" w:type="dxa"/>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大城县物价局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44.95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大城县物价局</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104</w:t>
            </w:r>
          </w:p>
        </w:tc>
        <w:tc>
          <w:tcPr>
            <w:tcW w:w="5103"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44.95</w:t>
            </w:r>
            <w:bookmarkStart w:id="3" w:name="_GoBack"/>
            <w:bookmarkEnd w:id="3"/>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方正小标宋_GBK">
    <w:altName w:val="宋体"/>
    <w:panose1 w:val="00000000000000000000"/>
    <w:charset w:val="86"/>
    <w:family w:val="auto"/>
    <w:pitch w:val="default"/>
    <w:sig w:usb0="00000000" w:usb1="00000000" w:usb2="00000000" w:usb3="00000000" w:csb0="00040001" w:csb1="00000000"/>
  </w:font>
  <w:font w:name="方正书宋_GBK">
    <w:altName w:val="宋体"/>
    <w:panose1 w:val="00000000000000000000"/>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8356161">
    <w:nsid w:val="594F19C1"/>
    <w:multiLevelType w:val="singleLevel"/>
    <w:tmpl w:val="594F19C1"/>
    <w:lvl w:ilvl="0" w:tentative="1">
      <w:start w:val="1"/>
      <w:numFmt w:val="chineseCounting"/>
      <w:suff w:val="nothing"/>
      <w:lvlText w:val="(%1）"/>
      <w:lvlJc w:val="left"/>
    </w:lvl>
  </w:abstractNum>
  <w:num w:numId="1">
    <w:abstractNumId w:val="14983561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57A0E7F"/>
    <w:rsid w:val="18BA5E1D"/>
    <w:rsid w:val="21AA4A7C"/>
    <w:rsid w:val="220E74EF"/>
    <w:rsid w:val="240A244D"/>
    <w:rsid w:val="24E55287"/>
    <w:rsid w:val="3C980ADA"/>
    <w:rsid w:val="3E5D4E61"/>
    <w:rsid w:val="60890F6F"/>
    <w:rsid w:val="63495C11"/>
    <w:rsid w:val="64AE3C3D"/>
    <w:rsid w:val="70061DD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2">
    <w:name w:val="Balloon Text"/>
    <w:basedOn w:val="1"/>
    <w:link w:val="14"/>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9">
    <w:name w:val="footnote reference"/>
    <w:unhideWhenUsed/>
    <w:qFormat/>
    <w:uiPriority w:val="99"/>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2">
    <w:name w:val="页眉 Char"/>
    <w:basedOn w:val="8"/>
    <w:link w:val="4"/>
    <w:qFormat/>
    <w:uiPriority w:val="99"/>
    <w:rPr>
      <w:rFonts w:ascii="Times New Roman" w:hAnsi="Times New Roman" w:eastAsia="宋体" w:cs="Times New Roman"/>
      <w:sz w:val="18"/>
      <w:szCs w:val="18"/>
    </w:rPr>
  </w:style>
  <w:style w:type="character" w:customStyle="1" w:styleId="13">
    <w:name w:val="页脚 Char"/>
    <w:basedOn w:val="8"/>
    <w:link w:val="3"/>
    <w:qFormat/>
    <w:uiPriority w:val="99"/>
    <w:rPr>
      <w:rFonts w:ascii="Times New Roman" w:hAnsi="Times New Roman" w:eastAsia="宋体" w:cs="Times New Roman"/>
      <w:sz w:val="18"/>
      <w:szCs w:val="18"/>
    </w:rPr>
  </w:style>
  <w:style w:type="character" w:customStyle="1" w:styleId="14">
    <w:name w:val="批注框文本 Char"/>
    <w:basedOn w:val="8"/>
    <w:link w:val="2"/>
    <w:semiHidden/>
    <w:qFormat/>
    <w:uiPriority w:val="99"/>
    <w:rPr>
      <w:sz w:val="18"/>
      <w:szCs w:val="18"/>
    </w:rPr>
  </w:style>
  <w:style w:type="character" w:customStyle="1" w:styleId="15">
    <w:name w:val="脚注文本 Char"/>
    <w:basedOn w:val="8"/>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2018-01-30T06:12:00Z</cp:lastPrinted>
  <dcterms:modified xsi:type="dcterms:W3CDTF">2021-05-31T09:24:14Z</dcterms:modified>
  <dc:title>大城县物价局2019年部门预算信息公开情况说明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