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settings.xml" ContentType="application/vnd.openxmlformats-officedocument.wordprocessingml.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楷体" w:eastAsia="楷体" w:cs="楷体"/>
          <w:b/>
          <w:sz w:val="44"/>
          <w:szCs w:val="44"/>
        </w:rPr>
        <w:sectPr>
          <w:pgSz w:w="11906" w:h="16838"/>
          <w:pgMar w:top="2098" w:right="1474" w:bottom="1985" w:left="1588" w:header="851" w:footer="992" w:gutter="0"/>
          <w:docGrid w:type="lines" w:linePitch="312" w:charSpace="0"/>
        </w:sectPr>
      </w:pPr>
      <w:r>
        <w:rPr>
          <w:rFonts w:hint="eastAsia"/>
          <w:b/>
          <w:sz w:val="44"/>
          <w:szCs w:val="44"/>
        </w:rPr>
        <w:t>大城县委统一战线工作部</w:t>
      </w:r>
    </w:p>
    <w:p>
      <w:pPr>
        <w:spacing w:beforeLines="200" w:before="624" w:after="0" w:line="1000" w:lineRule="exact"/>
        <w:jc w:val="center"/>
        <w:rPr>
          <w:rFonts w:ascii="黑体" w:eastAsia="黑体"/>
          <w:sz w:val="48"/>
          <w:szCs w:val="48"/>
        </w:rPr>
      </w:pPr>
      <w:r>
        <w:rPr>
          <w:rFonts w:ascii="黑体" w:eastAsia="黑体" w:hint="eastAsia"/>
          <w:sz w:val="48"/>
          <w:szCs w:val="48"/>
        </w:rPr>
        <w:t>目    录</w:t>
      </w:r>
    </w:p>
    <w:p>
      <w:pPr>
        <w:widowControl/>
        <w:spacing w:line="580" w:lineRule="exact"/>
        <w:ind w:firstLineChars="200" w:firstLine="640"/>
        <w:rPr>
          <w:rFonts w:eastAsia="黑体"/>
          <w:sz w:val="32"/>
          <w:szCs w:val="32"/>
        </w:rPr>
      </w:pPr>
    </w:p>
    <w:p>
      <w:pPr>
        <w:widowControl/>
        <w:spacing w:line="580" w:lineRule="exact"/>
        <w:ind w:firstLineChars="200" w:firstLine="640"/>
        <w:rPr>
          <w:rFonts w:eastAsia="仿宋_GB2312"/>
          <w:sz w:val="24"/>
          <w:szCs w:val="32"/>
        </w:rPr>
      </w:pPr>
      <w:r>
        <w:rPr>
          <w:rFonts w:eastAsia="黑体"/>
          <w:sz w:val="32"/>
          <w:szCs w:val="32"/>
        </w:rPr>
        <w:t>第一部分部门概况</w:t>
      </w:r>
    </w:p>
    <w:p>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pPr>
        <w:widowControl/>
        <w:spacing w:line="580" w:lineRule="exact"/>
        <w:ind w:firstLineChars="200" w:firstLine="640"/>
        <w:rPr>
          <w:rFonts w:eastAsia="仿宋_GB2312"/>
          <w:sz w:val="20"/>
          <w:szCs w:val="32"/>
        </w:rPr>
      </w:pPr>
      <w:r>
        <w:rPr>
          <w:rFonts w:eastAsia="黑体"/>
          <w:sz w:val="32"/>
          <w:szCs w:val="32"/>
        </w:rPr>
        <w:t>第二部分   201</w:t>
      </w:r>
      <w:r>
        <w:rPr>
          <w:rFonts w:eastAsia="黑体" w:hint="eastAsia"/>
          <w:sz w:val="32"/>
          <w:szCs w:val="32"/>
        </w:rPr>
        <w:t>8</w:t>
      </w:r>
      <w:r>
        <w:rPr>
          <w:rFonts w:eastAsia="黑体"/>
          <w:sz w:val="32"/>
          <w:szCs w:val="32"/>
        </w:rPr>
        <w:t>年度部门决算报表</w:t>
      </w:r>
    </w:p>
    <w:p>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pPr>
        <w:widowControl/>
        <w:spacing w:line="580" w:lineRule="exact"/>
        <w:ind w:left="640" w:firstLineChars="200" w:firstLine="640"/>
        <w:rPr>
          <w:rFonts w:eastAsia="仿宋_GB2312"/>
          <w:sz w:val="32"/>
          <w:szCs w:val="32"/>
        </w:rPr>
      </w:pPr>
      <w:r>
        <w:rPr>
          <w:rFonts w:eastAsia="仿宋_GB2312"/>
          <w:sz w:val="32"/>
          <w:szCs w:val="32"/>
        </w:rPr>
        <w:t>二、收入决算表</w:t>
      </w:r>
    </w:p>
    <w:p>
      <w:pPr>
        <w:widowControl/>
        <w:spacing w:line="580" w:lineRule="exact"/>
        <w:ind w:left="640" w:firstLineChars="200" w:firstLine="640"/>
        <w:rPr>
          <w:rFonts w:eastAsia="仿宋_GB2312"/>
          <w:sz w:val="32"/>
          <w:szCs w:val="32"/>
        </w:rPr>
      </w:pPr>
      <w:r>
        <w:rPr>
          <w:rFonts w:eastAsia="仿宋_GB2312"/>
          <w:sz w:val="32"/>
          <w:szCs w:val="32"/>
        </w:rPr>
        <w:t>三、支出决算表</w:t>
      </w:r>
    </w:p>
    <w:p>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“三公”经费</w:t>
      </w:r>
      <w:r>
        <w:rPr>
          <w:rFonts w:eastAsia="仿宋_GB2312" w:hint="eastAsia"/>
          <w:sz w:val="32"/>
          <w:szCs w:val="32"/>
        </w:rPr>
        <w:t>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pPr>
        <w:widowControl/>
        <w:spacing w:line="580" w:lineRule="exact"/>
        <w:ind w:firstLineChars="200" w:firstLine="640"/>
        <w:rPr>
          <w:rFonts w:eastAsia="黑体"/>
          <w:sz w:val="32"/>
          <w:szCs w:val="32"/>
        </w:rPr>
      </w:pPr>
    </w:p>
    <w:p>
      <w:pPr>
        <w:widowControl/>
        <w:spacing w:line="580" w:lineRule="exact"/>
        <w:ind w:firstLineChars="200" w:firstLine="640"/>
        <w:rPr>
          <w:rFonts w:eastAsia="黑体"/>
          <w:sz w:val="32"/>
          <w:szCs w:val="32"/>
        </w:rPr>
      </w:pPr>
      <w:r>
        <w:rPr>
          <w:rFonts w:eastAsia="黑体"/>
          <w:sz w:val="32"/>
          <w:szCs w:val="32"/>
        </w:rPr>
        <w:t>第三部分  XX部门201</w:t>
      </w:r>
      <w:r>
        <w:rPr>
          <w:rFonts w:eastAsia="黑体" w:hint="eastAsia"/>
          <w:sz w:val="32"/>
          <w:szCs w:val="32"/>
        </w:rPr>
        <w:t>8</w:t>
      </w:r>
      <w:r>
        <w:rPr>
          <w:rFonts w:eastAsia="黑体"/>
          <w:sz w:val="32"/>
          <w:szCs w:val="32"/>
        </w:rPr>
        <w:t>年部门决算情况说明</w:t>
      </w:r>
    </w:p>
    <w:p>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“三公”经费支出决算情况说明</w:t>
      </w:r>
    </w:p>
    <w:p>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pPr>
        <w:widowControl/>
        <w:spacing w:line="580" w:lineRule="exact"/>
        <w:ind w:firstLineChars="200" w:firstLine="640"/>
        <w:rPr>
          <w:rFonts w:eastAsia="黑体"/>
          <w:sz w:val="32"/>
          <w:szCs w:val="32"/>
        </w:rPr>
      </w:pPr>
      <w:r>
        <w:rPr>
          <w:rFonts w:eastAsia="黑体"/>
          <w:sz w:val="32"/>
          <w:szCs w:val="32"/>
        </w:rPr>
        <w:t>第四部分名词解释</w:t>
      </w:r>
    </w:p>
    <w:p>
      <w:pPr>
        <w:widowControl/>
        <w:spacing w:line="580" w:lineRule="exact"/>
        <w:ind w:firstLineChars="200" w:firstLine="640"/>
        <w:rPr>
          <w:rFonts w:eastAsia="黑体"/>
          <w:sz w:val="32"/>
          <w:szCs w:val="32"/>
        </w:rPr>
      </w:pPr>
    </w:p>
    <w:p>
      <w:pPr>
        <w:widowControl/>
        <w:spacing w:line="580" w:lineRule="exact"/>
        <w:ind w:firstLineChars="200" w:firstLine="640"/>
        <w:rPr>
          <w:rFonts w:eastAsia="黑体"/>
          <w:sz w:val="32"/>
          <w:szCs w:val="32"/>
        </w:rPr>
      </w:pPr>
    </w:p>
    <w:p>
      <w:pPr>
        <w:widowControl/>
        <w:spacing w:line="580" w:lineRule="exact"/>
        <w:ind w:firstLineChars="200" w:firstLine="640"/>
        <w:rPr>
          <w:rFonts w:eastAsia="黑体"/>
          <w:sz w:val="32"/>
          <w:szCs w:val="32"/>
        </w:rPr>
      </w:pPr>
    </w:p>
    <w:p>
      <w:pPr>
        <w:widowControl/>
        <w:spacing w:line="580" w:lineRule="exact"/>
        <w:ind w:firstLineChars="200" w:firstLine="640"/>
        <w:rPr>
          <w:rFonts w:eastAsia="黑体"/>
          <w:sz w:val="32"/>
          <w:szCs w:val="32"/>
        </w:rPr>
      </w:pPr>
    </w:p>
    <w:p>
      <w:r>
        <w:br w:type="page"/>
      </w:r>
    </w:p>
    <w:p/>
    <w:p/>
    <w:p/>
    <w:p/>
    <w:p/>
    <w:p/>
    <w:p>
      <w:pPr>
        <w:widowControl/>
        <w:jc w:val="center"/>
        <w:rPr>
          <w:color w:val="000000"/>
          <w:sz w:val="96"/>
          <w:szCs w:val="96"/>
        </w:rPr>
      </w:pPr>
      <w:r>
        <w:rPr>
          <w:rFonts w:ascii="黑体" w:eastAsia="黑体" w:hint="eastAsia"/>
          <w:color w:val="000000"/>
          <w:sz w:val="96"/>
          <w:szCs w:val="96"/>
        </w:rPr>
        <w:t>第一部分  部门概况</w:t>
      </w:r>
    </w:p>
    <w:p/>
    <w:p/>
    <w:p/>
    <w:p/>
    <w:p/>
    <w:p/>
    <w:p/>
    <w:p/>
    <w:p>
      <w:pPr>
        <w:pStyle w:val="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t>一、部门职责</w:t>
      </w:r>
    </w:p>
    <w:p>
      <w:pPr>
        <w:widowControl/>
        <w:spacing w:line="420" w:lineRule="atLeast"/>
        <w:jc w:val="left"/>
      </w:pPr>
      <w:r>
        <w:rPr>
          <w:rFonts w:ascii="仿宋_GB2312" w:eastAsia="仿宋_GB2312" w:cs="仿宋_GB2312" w:hint="eastAsia"/>
          <w:color w:val="484747"/>
          <w:kern w:val="0"/>
          <w:sz w:val="32"/>
          <w:szCs w:val="32"/>
        </w:rPr>
        <w:t xml:space="preserve">    1、组织贯彻执行中央、省、市、县委关于党的统一战线方针、政策、指示、决议并对贯彻落实各项统战方针、政策进行督促检查。</w:t>
      </w:r>
    </w:p>
    <w:p>
      <w:pPr>
        <w:widowControl/>
        <w:spacing w:line="420" w:lineRule="atLeast"/>
        <w:jc w:val="left"/>
      </w:pPr>
      <w:r>
        <w:rPr>
          <w:rFonts w:ascii="仿宋_GB2312" w:eastAsia="仿宋_GB2312" w:cs="仿宋_GB2312" w:hint="eastAsia"/>
          <w:color w:val="484747"/>
          <w:kern w:val="0"/>
          <w:sz w:val="32"/>
          <w:szCs w:val="32"/>
        </w:rPr>
        <w:t xml:space="preserve">    2、负责党外人士的政治安排，会同县委组织部做好培养、选拔工作。</w:t>
      </w:r>
    </w:p>
    <w:p>
      <w:pPr>
        <w:widowControl/>
        <w:spacing w:line="420" w:lineRule="atLeast"/>
        <w:jc w:val="left"/>
      </w:pPr>
      <w:r>
        <w:rPr>
          <w:rFonts w:ascii="仿宋_GB2312" w:eastAsia="仿宋_GB2312" w:cs="仿宋_GB2312" w:hint="eastAsia"/>
          <w:color w:val="484747"/>
          <w:kern w:val="0"/>
          <w:sz w:val="32"/>
          <w:szCs w:val="32"/>
        </w:rPr>
        <w:t xml:space="preserve">    3、协调检查有关民族、宗教工作方针、政策的落实情况，联系宗教界、少数民族的代表人士。</w:t>
      </w:r>
    </w:p>
    <w:p>
      <w:pPr>
        <w:widowControl/>
        <w:spacing w:line="420" w:lineRule="atLeast"/>
        <w:jc w:val="left"/>
      </w:pPr>
      <w:r>
        <w:rPr>
          <w:rFonts w:ascii="仿宋_GB2312" w:eastAsia="仿宋_GB2312" w:cs="仿宋_GB2312" w:hint="eastAsia"/>
          <w:color w:val="484747"/>
          <w:kern w:val="0"/>
          <w:sz w:val="32"/>
          <w:szCs w:val="32"/>
        </w:rPr>
        <w:t xml:space="preserve">    4、开展以经济建设为中心，祖国统一为重点的海外统战工作，联系海外有关社团及代表人士。</w:t>
      </w:r>
    </w:p>
    <w:p>
      <w:pPr>
        <w:widowControl/>
        <w:spacing w:line="420" w:lineRule="atLeast"/>
        <w:jc w:val="left"/>
      </w:pPr>
      <w:r>
        <w:rPr>
          <w:rFonts w:ascii="仿宋_GB2312" w:eastAsia="仿宋_GB2312" w:cs="仿宋_GB2312" w:hint="eastAsia"/>
          <w:color w:val="484747"/>
          <w:kern w:val="0"/>
          <w:sz w:val="32"/>
          <w:szCs w:val="32"/>
        </w:rPr>
        <w:t xml:space="preserve">    5、负责开展经济领域的统战工作，联系非公有制经济代表人士，调查、研究并反映我县非公有制经济代表人士的情况、协调关系、提出意见和建议。</w:t>
      </w:r>
    </w:p>
    <w:p>
      <w:pPr>
        <w:widowControl/>
        <w:spacing w:line="420" w:lineRule="atLeast"/>
        <w:jc w:val="left"/>
      </w:pPr>
      <w:r>
        <w:rPr>
          <w:rFonts w:ascii="仿宋_GB2312" w:eastAsia="仿宋_GB2312" w:cs="仿宋_GB2312" w:hint="eastAsia"/>
          <w:color w:val="484747"/>
          <w:kern w:val="0"/>
          <w:sz w:val="32"/>
          <w:szCs w:val="32"/>
        </w:rPr>
        <w:t xml:space="preserve">    6、调查研究党外知识分子的情况，反映党外知识分子的意见，协调关系、提出政策建议。</w:t>
      </w:r>
    </w:p>
    <w:p>
      <w:pPr>
        <w:widowControl/>
        <w:snapToGrid w:val="0"/>
        <w:spacing w:line="584" w:lineRule="exact"/>
        <w:ind w:firstLineChars="200" w:firstLine="640"/>
        <w:jc w:val="left"/>
      </w:pPr>
      <w:r>
        <w:rPr>
          <w:rFonts w:ascii="仿宋_GB2312" w:eastAsia="仿宋_GB2312" w:cs="仿宋_GB2312" w:hint="eastAsia"/>
          <w:color w:val="484747"/>
          <w:kern w:val="0"/>
          <w:sz w:val="32"/>
          <w:szCs w:val="32"/>
        </w:rPr>
        <w:t>7、完成县委和上级业务部门交办的其他任务。</w:t>
      </w:r>
    </w:p>
    <w:p>
      <w:pPr>
        <w:pStyle w:val="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pPr>
        <w:spacing w:after="0" w:line="560" w:lineRule="exact"/>
        <w:rPr>
          <w:rFonts w:ascii="仿宋_GB2312" w:eastAsia="仿宋_GB2312" w:cs="ArialUnicodeMS"/>
          <w:kern w:val="0"/>
          <w:sz w:val="32"/>
          <w:szCs w:val="32"/>
        </w:rPr>
      </w:pPr>
      <w:r>
        <w:rPr>
          <w:rFonts w:ascii="仿宋_GB2312" w:eastAsia="仿宋_GB2312" w:cs="ArialUnicodeMS" w:hint="eastAsia"/>
          <w:kern w:val="0"/>
          <w:sz w:val="32"/>
          <w:szCs w:val="32"/>
        </w:rPr>
        <w:t xml:space="preserve">    从决算编报单位构成看，纳入2018 年度本部门决算汇编范围的独立核算单位（以下简称“单位”）共1个，具体情况如下：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0" w:type="dxa"/>
          <w:left w:w="108" w:type="dxa"/>
          <w:bottom w:w="0" w:type="dxa"/>
          <w:right w:w="108" w:type="dxa"/>
        </w:tblCellMar>
      </w:tblPr>
      <w:tblGrid>
        <w:gridCol w:w="817"/>
        <w:gridCol w:w="4820"/>
        <w:gridCol w:w="2126"/>
        <w:gridCol w:w="1817"/>
      </w:tblGrid>
      <w:tr>
        <w:trPr>
          <w:trHeight w:val="811"/>
        </w:trPr>
        <w:tc>
          <w:tcPr>
            <w:tcW w:w="817"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4820"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126"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1817"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trPr>
          <w:trHeight w:val="596"/>
        </w:trPr>
        <w:tc>
          <w:tcPr>
            <w:tcW w:w="817" w:type="dxa"/>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4820" w:type="dxa"/>
          </w:tcPr>
          <w:p>
            <w:pPr>
              <w:spacing w:after="0" w:line="560" w:lineRule="exact"/>
              <w:rPr>
                <w:rFonts w:ascii="仿宋_GB2312" w:eastAsia="仿宋_GB2312" w:cs="ArialUnicodeMS"/>
                <w:kern w:val="0"/>
                <w:sz w:val="28"/>
                <w:szCs w:val="28"/>
              </w:rPr>
            </w:pPr>
            <w:r>
              <w:rPr>
                <w:rFonts w:ascii="仿宋_GB2312" w:eastAsia="仿宋_GB2312" w:hint="eastAsia"/>
                <w:szCs w:val="21"/>
              </w:rPr>
              <w:t>中共河北省大城县委统一战线工作部（本级）</w:t>
            </w:r>
          </w:p>
        </w:tc>
        <w:tc>
          <w:tcPr>
            <w:tcW w:w="2126" w:type="dxa"/>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行政单位</w:t>
            </w:r>
          </w:p>
        </w:tc>
        <w:tc>
          <w:tcPr>
            <w:tcW w:w="1817" w:type="dxa"/>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r>
        <w:trPr>
          <w:trHeight w:val="596"/>
        </w:trPr>
        <w:tc>
          <w:tcPr>
            <w:tcW w:w="817" w:type="dxa"/>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2</w:t>
            </w:r>
          </w:p>
        </w:tc>
        <w:tc>
          <w:tcPr>
            <w:tcW w:w="4820" w:type="dxa"/>
          </w:tcPr>
          <w:p>
            <w:pPr>
              <w:spacing w:after="0" w:line="560" w:lineRule="exact"/>
              <w:rPr>
                <w:rFonts w:ascii="仿宋_GB2312" w:eastAsia="仿宋_GB2312" w:cs="ArialUnicodeMS"/>
                <w:kern w:val="0"/>
                <w:sz w:val="28"/>
                <w:szCs w:val="28"/>
              </w:rPr>
            </w:pPr>
          </w:p>
        </w:tc>
        <w:tc>
          <w:tcPr>
            <w:tcW w:w="2126" w:type="dxa"/>
          </w:tcPr>
          <w:p>
            <w:pPr>
              <w:spacing w:after="0" w:line="560" w:lineRule="exact"/>
              <w:jc w:val="center"/>
              <w:rPr>
                <w:rFonts w:ascii="仿宋_GB2312" w:eastAsia="仿宋_GB2312" w:cs="ArialUnicodeMS"/>
                <w:kern w:val="0"/>
                <w:sz w:val="28"/>
                <w:szCs w:val="28"/>
              </w:rPr>
            </w:pPr>
          </w:p>
        </w:tc>
        <w:tc>
          <w:tcPr>
            <w:tcW w:w="1817" w:type="dxa"/>
          </w:tcPr>
          <w:p>
            <w:pPr>
              <w:spacing w:after="0" w:line="560" w:lineRule="exact"/>
              <w:jc w:val="center"/>
              <w:rPr>
                <w:rFonts w:ascii="仿宋_GB2312" w:eastAsia="仿宋_GB2312" w:cs="ArialUnicodeMS"/>
                <w:kern w:val="0"/>
                <w:sz w:val="28"/>
                <w:szCs w:val="28"/>
              </w:rPr>
            </w:pPr>
          </w:p>
        </w:tc>
      </w:tr>
      <w:tr>
        <w:trPr>
          <w:trHeight w:val="596"/>
        </w:trPr>
        <w:tc>
          <w:tcPr>
            <w:tcW w:w="817" w:type="dxa"/>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3</w:t>
            </w:r>
          </w:p>
        </w:tc>
        <w:tc>
          <w:tcPr>
            <w:tcW w:w="4820" w:type="dxa"/>
          </w:tcPr>
          <w:p>
            <w:pPr>
              <w:spacing w:after="0" w:line="560" w:lineRule="exact"/>
              <w:rPr>
                <w:rFonts w:ascii="仿宋_GB2312" w:eastAsia="仿宋_GB2312" w:cs="ArialUnicodeMS"/>
                <w:kern w:val="0"/>
                <w:sz w:val="28"/>
                <w:szCs w:val="28"/>
              </w:rPr>
            </w:pPr>
          </w:p>
        </w:tc>
        <w:tc>
          <w:tcPr>
            <w:tcW w:w="2126" w:type="dxa"/>
          </w:tcPr>
          <w:p>
            <w:pPr>
              <w:spacing w:after="0" w:line="560" w:lineRule="exact"/>
              <w:jc w:val="center"/>
              <w:rPr>
                <w:rFonts w:ascii="仿宋_GB2312" w:eastAsia="仿宋_GB2312" w:cs="ArialUnicodeMS"/>
                <w:kern w:val="0"/>
                <w:sz w:val="28"/>
                <w:szCs w:val="28"/>
              </w:rPr>
            </w:pPr>
          </w:p>
        </w:tc>
        <w:tc>
          <w:tcPr>
            <w:tcW w:w="1817" w:type="dxa"/>
          </w:tcPr>
          <w:p>
            <w:pPr>
              <w:spacing w:after="0" w:line="560" w:lineRule="exact"/>
              <w:jc w:val="center"/>
              <w:rPr>
                <w:rFonts w:ascii="仿宋_GB2312" w:eastAsia="仿宋_GB2312" w:cs="ArialUnicodeMS"/>
                <w:kern w:val="0"/>
                <w:sz w:val="28"/>
                <w:szCs w:val="28"/>
              </w:rPr>
            </w:pPr>
          </w:p>
        </w:tc>
      </w:tr>
      <w:tr>
        <w:trPr>
          <w:trHeight w:val="606"/>
        </w:trPr>
        <w:tc>
          <w:tcPr>
            <w:tcW w:w="817" w:type="dxa"/>
            <w:tcBorders>
              <w:bottom w:val="single" w:sz="4" w:space="0" w:color="auto"/>
            </w:tcBorders>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w:t>
            </w:r>
          </w:p>
        </w:tc>
        <w:tc>
          <w:tcPr>
            <w:tcW w:w="4820" w:type="dxa"/>
            <w:tcBorders>
              <w:bottom w:val="single" w:sz="4" w:space="0" w:color="auto"/>
            </w:tcBorders>
          </w:tcPr>
          <w:p>
            <w:pPr>
              <w:spacing w:after="0" w:line="560" w:lineRule="exact"/>
              <w:rPr>
                <w:rFonts w:ascii="仿宋_GB2312" w:eastAsia="仿宋_GB2312" w:cs="ArialUnicodeMS"/>
                <w:kern w:val="0"/>
                <w:sz w:val="28"/>
                <w:szCs w:val="28"/>
              </w:rPr>
            </w:pPr>
            <w:r>
              <w:rPr>
                <w:rFonts w:ascii="仿宋_GB2312" w:eastAsia="仿宋_GB2312" w:cs="ArialUnicodeMS" w:hint="eastAsia"/>
                <w:kern w:val="0"/>
                <w:sz w:val="28"/>
                <w:szCs w:val="28"/>
              </w:rPr>
              <w:t>……………</w:t>
            </w:r>
          </w:p>
        </w:tc>
        <w:tc>
          <w:tcPr>
            <w:tcW w:w="2126" w:type="dxa"/>
            <w:tcBorders>
              <w:bottom w:val="single" w:sz="4" w:space="0" w:color="auto"/>
            </w:tcBorders>
          </w:tcPr>
          <w:p>
            <w:pPr>
              <w:spacing w:after="0" w:line="560" w:lineRule="exact"/>
              <w:jc w:val="center"/>
              <w:rPr>
                <w:rFonts w:ascii="仿宋_GB2312" w:eastAsia="仿宋_GB2312" w:cs="ArialUnicodeMS"/>
                <w:kern w:val="0"/>
                <w:sz w:val="28"/>
                <w:szCs w:val="28"/>
              </w:rPr>
            </w:pPr>
          </w:p>
        </w:tc>
        <w:tc>
          <w:tcPr>
            <w:tcW w:w="1817" w:type="dxa"/>
            <w:tcBorders>
              <w:bottom w:val="single" w:sz="4" w:space="0" w:color="auto"/>
            </w:tcBorders>
          </w:tcPr>
          <w:p>
            <w:pPr>
              <w:spacing w:after="0" w:line="560" w:lineRule="exact"/>
              <w:jc w:val="center"/>
              <w:rPr>
                <w:rFonts w:ascii="仿宋_GB2312" w:eastAsia="仿宋_GB2312" w:cs="ArialUnicodeMS"/>
                <w:kern w:val="0"/>
                <w:sz w:val="28"/>
                <w:szCs w:val="28"/>
              </w:rPr>
            </w:pPr>
          </w:p>
        </w:tc>
      </w:tr>
      <w:tr>
        <w:trPr>
          <w:trHeight w:val="606"/>
        </w:trPr>
        <w:tc>
          <w:tcPr>
            <w:tcW w:w="9580" w:type="dxa"/>
            <w:gridSpan w:val="4"/>
            <w:tcBorders>
              <w:top w:val="single" w:sz="4" w:space="0" w:color="auto"/>
              <w:left w:val="nil"/>
              <w:bottom w:val="nil"/>
              <w:right w:val="nil"/>
            </w:tcBorders>
          </w:tcPr>
          <w:p>
            <w:pPr>
              <w:spacing w:after="0" w:line="560" w:lineRule="exact"/>
              <w:ind w:firstLineChars="200" w:firstLine="560"/>
              <w:jc w:val="left"/>
              <w:rPr>
                <w:rFonts w:ascii="仿宋_GB2312" w:eastAsia="仿宋_GB2312" w:cs="ArialUnicodeMS"/>
                <w:kern w:val="0"/>
                <w:sz w:val="28"/>
                <w:szCs w:val="28"/>
              </w:rPr>
            </w:pPr>
          </w:p>
        </w:tc>
      </w:tr>
    </w:tbl>
    <w:p>
      <w:pPr>
        <w:widowControl/>
        <w:spacing w:line="560" w:lineRule="exact"/>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sectPr>
          <w:pgSz w:w="11906" w:h="16838"/>
          <w:pgMar w:top="2098" w:right="1474" w:bottom="1984" w:left="1588" w:header="851" w:footer="992" w:gutter="0"/>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pPr>
        <w:widowControl/>
        <w:spacing w:line="1200" w:lineRule="exact"/>
        <w:jc w:val="center"/>
        <w:rPr>
          <w:rFonts w:ascii="黑体" w:eastAsia="黑体"/>
          <w:color w:val="000000"/>
          <w:sz w:val="72"/>
          <w:szCs w:val="96"/>
        </w:rPr>
      </w:pPr>
      <w:r>
        <w:rPr>
          <w:rFonts w:ascii="黑体" w:eastAsia="黑体" w:hint="eastAsia"/>
          <w:color w:val="000000"/>
          <w:sz w:val="72"/>
          <w:szCs w:val="96"/>
        </w:rPr>
        <w:t>2018年度部门决算报表</w:t>
      </w:r>
    </w:p>
    <w:p>
      <w:pPr>
        <w:widowControl/>
        <w:spacing w:line="1200" w:lineRule="exact"/>
        <w:jc w:val="center"/>
        <w:rPr>
          <w:color w:val="000000"/>
          <w:sz w:val="72"/>
          <w:szCs w:val="96"/>
        </w:rPr>
      </w:pPr>
      <w:r>
        <w:rPr>
          <w:rFonts w:ascii="黑体" w:eastAsia="黑体" w:hint="eastAsia"/>
          <w:color w:val="000000"/>
          <w:sz w:val="72"/>
          <w:szCs w:val="96"/>
        </w:rPr>
        <w:t>（见附表）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rPr>
          <w:rFonts w:ascii="宋体" w:cs="ArialUnicodeMS"/>
          <w:color w:val="000000"/>
          <w:kern w:val="0"/>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ascii="黑体" w:eastAsia="黑体" w:hint="eastAsia"/>
          <w:color w:val="000000"/>
          <w:sz w:val="96"/>
          <w:szCs w:val="96"/>
        </w:rPr>
        <w:t>第三部分</w:t>
      </w:r>
    </w:p>
    <w:p>
      <w:pPr>
        <w:widowControl/>
        <w:spacing w:line="1200" w:lineRule="exact"/>
        <w:jc w:val="center"/>
        <w:rPr>
          <w:color w:val="000000"/>
          <w:sz w:val="96"/>
          <w:szCs w:val="96"/>
        </w:rPr>
      </w:pPr>
      <w:r>
        <w:rPr>
          <w:rFonts w:ascii="黑体" w:eastAsia="黑体" w:hint="eastAsia"/>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docGrid w:type="lines" w:linePitch="312" w:charSpace="0"/>
        </w:sectPr>
      </w:pPr>
    </w:p>
    <w:p>
      <w:pPr>
        <w:pStyle w:val="2"/>
        <w:spacing w:before="0" w:after="0" w:line="580" w:lineRule="exact"/>
        <w:ind w:firstLineChars="200" w:firstLine="640"/>
        <w:rPr>
          <w:rFonts w:ascii="黑体" w:eastAsia="黑体"/>
          <w:b w:val="0"/>
          <w:bCs w:val="0"/>
        </w:rPr>
      </w:pPr>
      <w:r>
        <w:rPr>
          <w:rFonts w:ascii="黑体" w:eastAsia="黑体" w:hint="eastAsia"/>
          <w:b w:val="0"/>
          <w:bCs w:val="0"/>
        </w:rPr>
        <w:t>一、收入</w:t>
      </w:r>
      <w:r>
        <w:rPr>
          <w:rFonts w:ascii="黑体" w:eastAsia="黑体" w:cs="黑体" w:hint="eastAsia"/>
          <w:b w:val="0"/>
          <w:bCs w:val="0"/>
          <w:kern w:val="0"/>
        </w:rPr>
        <w:t>支出</w:t>
      </w:r>
      <w:r>
        <w:rPr>
          <w:rFonts w:ascii="黑体" w:eastAsia="黑体" w:hint="eastAsia"/>
          <w:b w:val="0"/>
          <w:bCs w:val="0"/>
        </w:rPr>
        <w:t>决算总体情况说明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本部门2018年度收入总计（含结转和结余）119.19万元，支出总计112.40万元，结转结余6.79万元。与2017年度决算相比，收入增加11.68万元，增长10.86%，支出增加4.89万元，增长4.55%，主要是人员经费增加调整。</w:t>
      </w:r>
    </w:p>
    <w:p>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本部门2018年度本年收入合计119.19万元，其中：财政拨款收入119.19万元，占100%。如图所示：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jc w:val="center"/>
        <w:rPr>
          <w:rFonts w:ascii="黑体" w:eastAsia="黑体" w:cs="Arial"/>
          <w:sz w:val="32"/>
          <w:szCs w:val="32"/>
        </w:rPr>
      </w:pPr>
      <w:r>
        <w:rPr>
          <w:rFonts w:ascii="黑体" w:eastAsia="黑体" w:cs="Arial"/>
          <w:sz w:val="32"/>
          <w:szCs w:val="32"/>
        </w:rPr>
        <w:drawing>
          <wp:inline distT="0" distB="0" distL="0" distR="0">
            <wp:extent cx="3638550" cy="1885950"/>
            <wp:effectExtent l="0" t="0" r="0" b="0"/>
            <wp:docPr id="1" name="图表 1"/>
            <wp:cNvGraphicFramePr>
              <a:graphicFrameLocks noChangeAspect="0"/>
            </wp:cNvGraphicFramePr>
            <a:graphic>
              <a:graphicData uri="http://schemas.openxmlformats.org/drawingml/2006/chart">
                <c:chart xmlns:c="http://schemas.openxmlformats.org/drawingml/2006/chart" r:id="rId2"/>
              </a:graphicData>
            </a:graphic>
          </wp:inline>
        </w:drawing>
      </w:r>
    </w:p>
    <w:p/>
    <w:p>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本部门2018年度本年支出合计112.40万元，其中：基本支出86.04万元，占76.55%；项目支出26.36万元，占23.45%。如图所示：</w:t>
      </w:r>
    </w:p>
    <w:p>
      <w:pPr>
        <w:jc w:val="center"/>
        <w:rPr>
          <w:rFonts w:ascii="仿宋" w:eastAsia="仿宋"/>
          <w:sz w:val="32"/>
          <w:szCs w:val="32"/>
        </w:rPr>
      </w:pPr>
      <w:r>
        <w:rPr>
          <w:rFonts w:ascii="仿宋" w:eastAsia="仿宋"/>
          <w:sz w:val="32"/>
          <w:szCs w:val="32"/>
        </w:rPr>
        <w:t>图2：支出决算结构饼状图</w:t>
      </w:r>
    </w:p>
    <w:p>
      <w:pPr>
        <w:jc w:val="center"/>
      </w:pPr>
      <w:r>
        <w:drawing>
          <wp:inline distT="0" distB="0" distL="0" distR="0">
            <wp:extent cx="3524250" cy="1857375"/>
            <wp:effectExtent l="0" t="0" r="0" b="0"/>
            <wp:docPr id="2" name="图表 2"/>
            <wp:cNvGraphicFramePr>
              <a:graphicFrameLocks noChangeAspect="0"/>
            </wp:cNvGraphicFramePr>
            <a:graphic>
              <a:graphicData uri="http://schemas.openxmlformats.org/drawingml/2006/chart">
                <c:chart xmlns:c="http://schemas.openxmlformats.org/drawingml/2006/chart" r:id="rId3"/>
              </a:graphicData>
            </a:graphic>
          </wp:inline>
        </w:drawing>
      </w:r>
    </w:p>
    <w:p>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pPr>
        <w:spacing w:after="0"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形成的财政拨款收支均为一般公共预算财政拨款，其中一般公共预算财政拨款本年收入119.19万元,比2017年度增加11.68万元，增长10.86%，主要是人员经费增加调整；本年支出112.40万元，增加4.89万元，增长4.55%，主要是人员经费增加调整。</w:t>
      </w:r>
    </w:p>
    <w:p>
      <w:pPr>
        <w:adjustRightInd w:val="0"/>
        <w:snapToGrid w:val="0"/>
        <w:spacing w:after="0" w:line="580" w:lineRule="exact"/>
        <w:jc w:val="center"/>
        <w:rPr>
          <w:rFonts w:ascii="仿宋_GB2312" w:eastAsia="仿宋_GB2312" w:cs="DengXian-Regular"/>
          <w:sz w:val="32"/>
          <w:szCs w:val="32"/>
        </w:rPr>
      </w:pPr>
      <w:r>
        <w:rPr>
          <w:rFonts w:eastAsia="仿宋_GB2312" w:hint="eastAsia"/>
          <w:sz w:val="32"/>
          <w:szCs w:val="32"/>
        </w:rPr>
        <w:t>图3：财政拨款收支情况</w:t>
      </w:r>
    </w:p>
    <w:p>
      <w:r>
        <w:drawing>
          <wp:inline distT="0" distB="0" distL="0" distR="0">
            <wp:extent cx="5400675" cy="2447924"/>
            <wp:effectExtent l="0" t="0" r="0" b="0"/>
            <wp:docPr id="3" name="图表 3"/>
            <wp:cNvGraphicFramePr>
              <a:graphicFrameLocks noChangeAspect="0"/>
            </wp:cNvGraphicFramePr>
            <a:graphic>
              <a:graphicData uri="http://schemas.openxmlformats.org/drawingml/2006/chart">
                <c:chart xmlns:c="http://schemas.openxmlformats.org/drawingml/2006/chart" r:id="rId4"/>
              </a:graphicData>
            </a:graphic>
          </wp:inline>
        </w:drawing>
      </w:r>
    </w:p>
    <w:p>
      <w:pPr>
        <w:spacing w:after="0" w:line="580" w:lineRule="exact"/>
        <w:ind w:firstLineChars="200" w:firstLine="640"/>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本部门2018年度一般公共预算财政拨款收入119.19万元，完成年初预算的100%,与年初预算持平；一般公共预算财政拨款支出112.40万元，与年初预算减少6.79万元，主要原因是人员社会保险缴费节余。</w:t>
      </w:r>
    </w:p>
    <w:p>
      <w:pPr>
        <w:adjustRightInd w:val="0"/>
        <w:snapToGrid w:val="0"/>
        <w:spacing w:after="0" w:line="580" w:lineRule="exact"/>
        <w:jc w:val="center"/>
        <w:rPr>
          <w:rFonts w:ascii="仿宋_GB2312" w:eastAsia="仿宋_GB2312" w:cs="DengXian-Regular"/>
          <w:sz w:val="24"/>
        </w:rPr>
      </w:pPr>
      <w:r>
        <w:rPr>
          <w:rFonts w:eastAsia="仿宋_GB2312" w:hint="eastAsia"/>
          <w:sz w:val="32"/>
          <w:szCs w:val="32"/>
        </w:rPr>
        <w:t>图4：财政拨款收支预决算对比情况</w:t>
      </w:r>
    </w:p>
    <w:p>
      <w:pPr>
        <w:jc w:val="center"/>
        <w:rPr>
          <w:highlight w:val="yellow"/>
        </w:rPr>
      </w:pPr>
      <w:r>
        <w:drawing>
          <wp:inline distT="0" distB="0" distL="0" distR="0">
            <wp:extent cx="4581525" cy="2228850"/>
            <wp:effectExtent l="0" t="0" r="0" b="0"/>
            <wp:docPr id="4" name="图表 4"/>
            <wp:cNvGraphicFramePr>
              <a:graphicFrameLocks noChangeAspect="0"/>
            </wp:cNvGraphicFramePr>
            <a:graphic>
              <a:graphicData uri="http://schemas.openxmlformats.org/drawingml/2006/chart">
                <c:chart xmlns:c="http://schemas.openxmlformats.org/drawingml/2006/chart" r:id="rId5"/>
              </a:graphicData>
            </a:graphic>
          </wp:inline>
        </w:drawing>
      </w:r>
    </w:p>
    <w:p>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年度财政拨款支出112.40万元，主要用于以下方面：一般公共服务（类）支出101.58万元，占90.37%；公共安全（类）支出0万元，占0%；教育（类）支出0万元，占0%；科学技术（类）支出0万元，占 0%；社会保障和就业（类）支出 7.29万元，占6.49%；医疗卫生与计划生育支出3.53万元，占3.14%。</w:t>
      </w:r>
    </w:p>
    <w:p>
      <w:pPr>
        <w:adjustRightInd w:val="0"/>
        <w:snapToGrid w:val="0"/>
        <w:spacing w:after="0" w:line="580" w:lineRule="exact"/>
        <w:jc w:val="center"/>
        <w:rPr>
          <w:rFonts w:ascii="楷体_GB2312" w:eastAsia="楷体_GB2312" w:cs="DengXian-Bold"/>
          <w:b/>
          <w:bCs/>
          <w:sz w:val="32"/>
          <w:szCs w:val="32"/>
        </w:rPr>
      </w:pPr>
      <w:r>
        <w:rPr>
          <w:rFonts w:eastAsia="仿宋_GB2312" w:hint="eastAsia"/>
          <w:sz w:val="32"/>
          <w:szCs w:val="32"/>
        </w:rPr>
        <w:t>图5：财政拨款支出决算结构（按功能分类）</w:t>
      </w:r>
    </w:p>
    <w:p>
      <w:pPr>
        <w:jc w:val="center"/>
        <w:rPr>
          <w:rFonts w:ascii="楷体_GB2312" w:eastAsia="楷体_GB2312" w:cs="DengXian-Bold"/>
          <w:b/>
          <w:bCs/>
          <w:sz w:val="32"/>
          <w:szCs w:val="32"/>
        </w:rPr>
      </w:pPr>
      <w:r>
        <w:rPr>
          <w:rStyle w:val="22"/>
        </w:rPr>
        <w:drawing>
          <wp:inline distT="0" distB="0" distL="0" distR="0">
            <wp:extent cx="4095750" cy="1895475"/>
            <wp:effectExtent l="0" t="0" r="0" b="0"/>
            <wp:docPr id="5" name="图表 5"/>
            <wp:cNvGraphicFramePr>
              <a:graphicFrameLocks noChangeAspect="0"/>
            </wp:cNvGraphicFramePr>
            <a:graphic>
              <a:graphicData uri="http://schemas.openxmlformats.org/drawingml/2006/chart">
                <c:chart xmlns:c="http://schemas.openxmlformats.org/drawingml/2006/chart" r:id="rId6"/>
              </a:graphicData>
            </a:graphic>
          </wp:inline>
        </w:drawing>
      </w:r>
    </w:p>
    <w:p>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84.64万元，其中：人员经费67.81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16.83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本部门201</w:t>
      </w:r>
      <w:r>
        <w:rPr>
          <w:rFonts w:eastAsia="仿宋_GB2312" w:hint="eastAsia"/>
          <w:sz w:val="32"/>
          <w:szCs w:val="32"/>
        </w:rPr>
        <w:t>8</w:t>
      </w:r>
      <w:r>
        <w:rPr>
          <w:rFonts w:eastAsia="仿宋_GB2312"/>
          <w:sz w:val="32"/>
          <w:szCs w:val="32"/>
        </w:rPr>
        <w:t>年度一般公共预算财政拨款“三公”经费支出共计</w:t>
      </w:r>
      <w:r>
        <w:rPr>
          <w:rFonts w:eastAsia="仿宋_GB2312" w:hint="eastAsia"/>
          <w:sz w:val="32"/>
          <w:szCs w:val="32"/>
        </w:rPr>
        <w:t>3.5</w:t>
      </w:r>
      <w:r>
        <w:rPr>
          <w:rFonts w:eastAsia="仿宋_GB2312"/>
          <w:sz w:val="32"/>
          <w:szCs w:val="32"/>
        </w:rPr>
        <w:t>万元，</w:t>
      </w:r>
      <w:r>
        <w:rPr>
          <w:rFonts w:eastAsia="仿宋_GB2312" w:hint="eastAsia"/>
          <w:sz w:val="32"/>
          <w:szCs w:val="32"/>
        </w:rPr>
        <w:t>比</w:t>
      </w:r>
      <w:r>
        <w:rPr>
          <w:rFonts w:eastAsia="仿宋_GB2312"/>
          <w:sz w:val="32"/>
          <w:szCs w:val="32"/>
        </w:rPr>
        <w:t>年初预算</w:t>
      </w:r>
      <w:r>
        <w:rPr>
          <w:rFonts w:eastAsia="仿宋_GB2312" w:hint="eastAsia"/>
          <w:sz w:val="32"/>
          <w:szCs w:val="32"/>
        </w:rPr>
        <w:t>增加0万元，增长0%，主要是</w:t>
      </w:r>
      <w:r>
        <w:rPr>
          <w:rFonts w:eastAsia="仿宋_GB2312"/>
          <w:sz w:val="32"/>
          <w:szCs w:val="32"/>
        </w:rPr>
        <w:t>一般公共预算财政拨款“三公”经费支出</w:t>
      </w:r>
      <w:r>
        <w:rPr>
          <w:rFonts w:eastAsia="仿宋_GB2312" w:hint="eastAsia"/>
          <w:sz w:val="32"/>
          <w:szCs w:val="32"/>
        </w:rPr>
        <w:t>与年初预算无增减</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年度决算一般公共预算财政拨款“三公”经费支出</w:t>
      </w:r>
      <w:r>
        <w:rPr>
          <w:rFonts w:eastAsia="仿宋_GB2312" w:hint="eastAsia"/>
          <w:sz w:val="32"/>
          <w:szCs w:val="32"/>
        </w:rPr>
        <w:t>较2017年度决算无增减变化</w:t>
      </w:r>
      <w:r>
        <w:rPr>
          <w:rFonts w:eastAsia="仿宋_GB2312"/>
          <w:sz w:val="32"/>
          <w:szCs w:val="32"/>
        </w:rPr>
        <w:t>。具体情况如下：</w:t>
      </w:r>
    </w:p>
    <w:p>
      <w:pPr>
        <w:adjustRightInd w:val="0"/>
        <w:snapToGrid w:val="0"/>
        <w:spacing w:line="584" w:lineRule="exact"/>
        <w:ind w:firstLineChars="200" w:firstLine="640"/>
        <w:rPr>
          <w:rFonts w:eastAsia="楷体_GB2312"/>
          <w:b/>
          <w:bCs/>
          <w:sz w:val="32"/>
          <w:szCs w:val="32"/>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p>
    <w:p>
      <w:pPr>
        <w:adjustRightInd w:val="0"/>
        <w:snapToGrid w:val="0"/>
        <w:spacing w:line="584" w:lineRule="exact"/>
        <w:ind w:firstLineChars="200" w:firstLine="640"/>
        <w:rPr>
          <w:rFonts w:eastAsia="仿宋_GB2312"/>
          <w:sz w:val="32"/>
          <w:szCs w:val="32"/>
        </w:rPr>
      </w:pPr>
      <w:r>
        <w:rPr>
          <w:rFonts w:eastAsia="仿宋_GB2312"/>
          <w:sz w:val="32"/>
          <w:szCs w:val="32"/>
        </w:rPr>
        <w:t>本部门201</w:t>
      </w:r>
      <w:r>
        <w:rPr>
          <w:rFonts w:eastAsia="仿宋_GB2312" w:hint="eastAsia"/>
          <w:sz w:val="32"/>
          <w:szCs w:val="32"/>
        </w:rPr>
        <w:t>8</w:t>
      </w:r>
      <w:r>
        <w:rPr>
          <w:rFonts w:eastAsia="仿宋_GB2312"/>
          <w:sz w:val="32"/>
          <w:szCs w:val="32"/>
        </w:rPr>
        <w:t>年度</w:t>
      </w:r>
      <w:r>
        <w:rPr>
          <w:rFonts w:ascii="仿宋_GB2312" w:eastAsia="仿宋_GB2312" w:cs="DengXian-Regular" w:hint="eastAsia"/>
          <w:sz w:val="32"/>
          <w:szCs w:val="32"/>
        </w:rPr>
        <w:t>因公出国（境）团组0个、共0人/参加其他单位组织的因公出国（境）团组0个、共0人/无本单位组织的出国（境）团组。</w:t>
      </w:r>
      <w:r>
        <w:rPr>
          <w:rFonts w:eastAsia="仿宋_GB2312"/>
          <w:sz w:val="32"/>
          <w:szCs w:val="32"/>
        </w:rPr>
        <w:t>因公出国（境）费支出</w:t>
      </w:r>
      <w:r>
        <w:rPr>
          <w:rFonts w:eastAsia="仿宋_GB2312" w:hint="eastAsia"/>
          <w:sz w:val="32"/>
          <w:szCs w:val="32"/>
        </w:rPr>
        <w:t>比</w:t>
      </w:r>
      <w:r>
        <w:rPr>
          <w:rFonts w:eastAsia="仿宋_GB2312"/>
          <w:sz w:val="32"/>
          <w:szCs w:val="32"/>
        </w:rPr>
        <w:t>年初预算</w:t>
      </w:r>
      <w:r>
        <w:rPr>
          <w:rFonts w:eastAsia="仿宋_GB2312" w:hint="eastAsia"/>
          <w:sz w:val="32"/>
          <w:szCs w:val="32"/>
        </w:rPr>
        <w:t>增加0</w:t>
      </w:r>
      <w:r>
        <w:rPr>
          <w:rFonts w:eastAsia="仿宋_GB2312"/>
          <w:sz w:val="32"/>
          <w:szCs w:val="32"/>
        </w:rPr>
        <w:t>万元，增长</w:t>
      </w:r>
      <w:r>
        <w:rPr>
          <w:rFonts w:eastAsia="仿宋_GB2312" w:hint="eastAsia"/>
          <w:sz w:val="32"/>
          <w:szCs w:val="32"/>
        </w:rPr>
        <w:t>0</w:t>
      </w:r>
      <w:r>
        <w:rPr>
          <w:rFonts w:eastAsia="仿宋_GB2312"/>
          <w:sz w:val="32"/>
          <w:szCs w:val="32"/>
        </w:rPr>
        <w:t>%，主要是因公出国（境）费支出</w:t>
      </w:r>
      <w:r>
        <w:rPr>
          <w:rFonts w:eastAsia="仿宋_GB2312" w:hint="eastAsia"/>
          <w:sz w:val="32"/>
          <w:szCs w:val="32"/>
        </w:rPr>
        <w:t>与年初预算无增减变化</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增加0</w:t>
      </w:r>
      <w:r>
        <w:rPr>
          <w:rFonts w:eastAsia="仿宋_GB2312"/>
          <w:sz w:val="32"/>
          <w:szCs w:val="32"/>
        </w:rPr>
        <w:t>万元，增长</w:t>
      </w:r>
      <w:r>
        <w:rPr>
          <w:rFonts w:eastAsia="仿宋_GB2312" w:hint="eastAsia"/>
          <w:sz w:val="32"/>
          <w:szCs w:val="32"/>
        </w:rPr>
        <w:t>0</w:t>
      </w:r>
      <w:r>
        <w:rPr>
          <w:rFonts w:eastAsia="仿宋_GB2312"/>
          <w:sz w:val="32"/>
          <w:szCs w:val="32"/>
        </w:rPr>
        <w:t>%，主要是因公出国（境）费支出</w:t>
      </w:r>
      <w:r>
        <w:rPr>
          <w:rFonts w:eastAsia="仿宋_GB2312" w:hint="eastAsia"/>
          <w:sz w:val="32"/>
          <w:szCs w:val="32"/>
        </w:rPr>
        <w:t>较2017年度决算无增减变化</w:t>
      </w:r>
      <w:r>
        <w:rPr>
          <w:rFonts w:eastAsia="仿宋_GB2312"/>
          <w:sz w:val="32"/>
          <w:szCs w:val="32"/>
        </w:rPr>
        <w:t>。</w:t>
      </w:r>
    </w:p>
    <w:p>
      <w:pPr>
        <w:adjustRightInd w:val="0"/>
        <w:snapToGrid w:val="0"/>
        <w:spacing w:line="584" w:lineRule="exact"/>
        <w:ind w:firstLineChars="200" w:firstLine="640"/>
        <w:rPr>
          <w:rFonts w:eastAsia="仿宋_GB2312"/>
          <w:b/>
          <w:bCs/>
          <w:sz w:val="32"/>
          <w:szCs w:val="32"/>
        </w:rPr>
      </w:pPr>
      <w:r>
        <w:rPr>
          <w:rFonts w:eastAsia="楷体_GB2312"/>
          <w:b/>
          <w:bCs/>
          <w:sz w:val="32"/>
          <w:szCs w:val="32"/>
        </w:rPr>
        <w:t>（二）公务用车购置及运行维护费支出</w:t>
      </w:r>
      <w:r>
        <w:rPr>
          <w:rFonts w:eastAsia="楷体_GB2312" w:hint="eastAsia"/>
          <w:b/>
          <w:bCs/>
          <w:sz w:val="32"/>
          <w:szCs w:val="32"/>
        </w:rPr>
        <w:t>3.5</w:t>
      </w:r>
      <w:r>
        <w:rPr>
          <w:rFonts w:eastAsia="楷体_GB2312"/>
          <w:b/>
          <w:bCs/>
          <w:sz w:val="32"/>
          <w:szCs w:val="32"/>
        </w:rPr>
        <w:t>万元。</w:t>
      </w:r>
      <w:r>
        <w:rPr>
          <w:rFonts w:ascii="仿宋_GB2312" w:eastAsia="仿宋_GB2312" w:cs="DengXian-Regular" w:hint="eastAsia"/>
          <w:sz w:val="32"/>
          <w:szCs w:val="32"/>
        </w:rPr>
        <w:t>本部门2018年度公务用车购置及运行维护费比年初预算增加0万元，增长0%，主要是公务用车购置及运行维护费较年初预算无增减变化；</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增加0万元，增长0%，主要是</w:t>
      </w:r>
      <w:r>
        <w:rPr>
          <w:rFonts w:ascii="仿宋_GB2312" w:eastAsia="仿宋_GB2312" w:cs="DengXian-Regular" w:hint="eastAsia"/>
          <w:sz w:val="32"/>
          <w:szCs w:val="32"/>
        </w:rPr>
        <w:t>公务用车购置及运行维护费较2017年度决算无增减变化</w:t>
      </w:r>
      <w:r>
        <w:rPr>
          <w:rFonts w:eastAsia="仿宋_GB2312"/>
          <w:sz w:val="32"/>
          <w:szCs w:val="32"/>
        </w:rPr>
        <w:t>。</w:t>
      </w:r>
      <w:r>
        <w:rPr>
          <w:rFonts w:eastAsia="仿宋_GB2312"/>
          <w:b/>
          <w:bCs/>
          <w:sz w:val="32"/>
          <w:szCs w:val="32"/>
        </w:rPr>
        <w:t>其中：</w:t>
      </w:r>
    </w:p>
    <w:p>
      <w:pPr>
        <w:adjustRightInd w:val="0"/>
        <w:snapToGrid w:val="0"/>
        <w:spacing w:line="584" w:lineRule="exact"/>
        <w:ind w:firstLineChars="200" w:firstLine="640"/>
        <w:rPr>
          <w:rFonts w:ascii="仿宋_GB2312" w:eastAsia="仿宋_GB2312"/>
          <w:sz w:val="32"/>
          <w:szCs w:val="32"/>
          <w:highlight w:val="yellow"/>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ascii="仿宋_GB2312" w:eastAsia="仿宋_GB2312" w:hint="eastAsia"/>
          <w:sz w:val="32"/>
          <w:szCs w:val="32"/>
        </w:rPr>
        <w:t>本部门2018年度公务用车购置数量0辆。公务用车购置费支出比年初预算增加0万元，增长0%，主要是公务用车购置费支出较年初预算无增减变化；比2017年度决算增加0万元，增长0%，主要是公务用车购置费支出较2017年度决算无增减变化。</w:t>
      </w:r>
    </w:p>
    <w:p>
      <w:pPr>
        <w:adjustRightInd w:val="0"/>
        <w:snapToGrid w:val="0"/>
        <w:spacing w:line="584" w:lineRule="exact"/>
        <w:ind w:firstLineChars="200" w:firstLine="640"/>
        <w:rPr>
          <w:rFonts w:eastAsia="仿宋_GB2312"/>
          <w:sz w:val="32"/>
          <w:szCs w:val="32"/>
        </w:rPr>
      </w:pPr>
      <w:r>
        <w:rPr>
          <w:rFonts w:eastAsia="仿宋_GB2312"/>
          <w:b/>
          <w:sz w:val="32"/>
          <w:szCs w:val="32"/>
        </w:rPr>
        <w:t>公务用车运行维护费支出</w:t>
      </w:r>
      <w:r>
        <w:rPr>
          <w:rFonts w:eastAsia="仿宋_GB2312" w:hint="eastAsia"/>
          <w:b/>
          <w:sz w:val="32"/>
          <w:szCs w:val="32"/>
        </w:rPr>
        <w:t>3.5</w:t>
      </w:r>
      <w:r>
        <w:rPr>
          <w:rFonts w:eastAsia="仿宋_GB2312"/>
          <w:b/>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年末单位公务用车保有量</w:t>
      </w:r>
      <w:r>
        <w:rPr>
          <w:rFonts w:eastAsia="仿宋_GB2312" w:hint="eastAsia"/>
          <w:sz w:val="32"/>
          <w:szCs w:val="32"/>
        </w:rPr>
        <w:t>1</w:t>
      </w:r>
      <w:r>
        <w:rPr>
          <w:rFonts w:eastAsia="仿宋_GB2312"/>
          <w:sz w:val="32"/>
          <w:szCs w:val="32"/>
        </w:rPr>
        <w:t>辆。公</w:t>
      </w:r>
      <w:r>
        <w:rPr>
          <w:rFonts w:eastAsia="仿宋_GB2312" w:hint="eastAsia"/>
          <w:sz w:val="32"/>
          <w:szCs w:val="32"/>
        </w:rPr>
        <w:t>务用</w:t>
      </w:r>
      <w:r>
        <w:rPr>
          <w:rFonts w:eastAsia="仿宋_GB2312"/>
          <w:sz w:val="32"/>
          <w:szCs w:val="32"/>
        </w:rPr>
        <w:t>车运行维护费支出</w:t>
      </w:r>
      <w:r>
        <w:rPr>
          <w:rFonts w:eastAsia="仿宋_GB2312" w:hint="eastAsia"/>
          <w:color w:val="000000"/>
          <w:sz w:val="32"/>
          <w:szCs w:val="32"/>
        </w:rPr>
        <w:t>比</w:t>
      </w:r>
      <w:r>
        <w:rPr>
          <w:rFonts w:eastAsia="仿宋_GB2312"/>
          <w:color w:val="000000"/>
          <w:sz w:val="32"/>
          <w:szCs w:val="32"/>
        </w:rPr>
        <w:t>年初预算</w:t>
      </w:r>
      <w:r>
        <w:rPr>
          <w:rFonts w:eastAsia="仿宋_GB2312" w:hint="eastAsia"/>
          <w:color w:val="000000"/>
          <w:sz w:val="32"/>
          <w:szCs w:val="32"/>
        </w:rPr>
        <w:t>增加0万元，增长0%，主要是公务用车运行维护费较年初预算</w:t>
      </w:r>
      <w:r>
        <w:rPr>
          <w:rFonts w:eastAsia="仿宋_GB2312"/>
          <w:color w:val="000000"/>
          <w:sz w:val="32"/>
          <w:szCs w:val="32"/>
        </w:rPr>
        <w:t>无增减变化</w:t>
      </w:r>
      <w:r>
        <w:rPr>
          <w:rFonts w:eastAsia="仿宋_GB2312"/>
          <w:sz w:val="32"/>
          <w:szCs w:val="32"/>
        </w:rPr>
        <w:t>；</w:t>
      </w:r>
      <w:r>
        <w:rPr>
          <w:rFonts w:eastAsia="仿宋_GB2312"/>
          <w:color w:val="000000"/>
          <w:sz w:val="32"/>
          <w:szCs w:val="32"/>
        </w:rPr>
        <w:t>较201</w:t>
      </w:r>
      <w:r>
        <w:rPr>
          <w:rFonts w:eastAsia="仿宋_GB2312" w:hint="eastAsia"/>
          <w:color w:val="000000"/>
          <w:sz w:val="32"/>
          <w:szCs w:val="32"/>
        </w:rPr>
        <w:t>7</w:t>
      </w:r>
      <w:r>
        <w:rPr>
          <w:rFonts w:eastAsia="仿宋_GB2312"/>
          <w:color w:val="000000"/>
          <w:sz w:val="32"/>
          <w:szCs w:val="32"/>
        </w:rPr>
        <w:t>年度决算</w:t>
      </w:r>
      <w:r>
        <w:rPr>
          <w:rFonts w:eastAsia="仿宋_GB2312" w:hint="eastAsia"/>
          <w:color w:val="000000"/>
          <w:sz w:val="32"/>
          <w:szCs w:val="32"/>
        </w:rPr>
        <w:t>增加0万元，增长0%，主要是公务用车运行维护费较2017年度决算</w:t>
      </w:r>
      <w:r>
        <w:rPr>
          <w:rFonts w:eastAsia="仿宋_GB2312"/>
          <w:color w:val="000000"/>
          <w:sz w:val="32"/>
          <w:szCs w:val="32"/>
        </w:rPr>
        <w:t>无增减变化</w:t>
      </w:r>
      <w:r>
        <w:rPr>
          <w:rFonts w:eastAsia="仿宋_GB2312"/>
          <w:sz w:val="32"/>
          <w:szCs w:val="32"/>
        </w:rPr>
        <w:t>。</w:t>
      </w:r>
    </w:p>
    <w:p>
      <w:pPr>
        <w:adjustRightInd w:val="0"/>
        <w:snapToGrid w:val="0"/>
        <w:spacing w:line="584" w:lineRule="exact"/>
        <w:ind w:firstLineChars="200" w:firstLine="640"/>
        <w:rPr>
          <w:rFonts w:eastAsia="楷体_GB2312"/>
          <w:b/>
          <w:bCs/>
          <w:sz w:val="32"/>
          <w:szCs w:val="32"/>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p>
    <w:p>
      <w:pPr>
        <w:adjustRightInd w:val="0"/>
        <w:snapToGrid w:val="0"/>
        <w:spacing w:after="0" w:line="580" w:lineRule="exact"/>
        <w:ind w:firstLineChars="200" w:firstLine="640"/>
        <w:rPr>
          <w:rFonts w:eastAsia="仿宋_GB2312"/>
          <w:sz w:val="32"/>
          <w:szCs w:val="32"/>
        </w:rPr>
      </w:pPr>
      <w:r>
        <w:rPr>
          <w:rFonts w:eastAsia="楷体_GB2312"/>
          <w:b/>
          <w:bCs/>
          <w:sz w:val="32"/>
          <w:szCs w:val="32"/>
        </w:rPr>
        <w:t>公务接待费支出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年度公务接待共0批次、0人次。</w:t>
      </w:r>
      <w:r>
        <w:rPr>
          <w:rFonts w:eastAsia="仿宋_GB2312" w:hint="eastAsia"/>
          <w:sz w:val="32"/>
          <w:szCs w:val="32"/>
        </w:rPr>
        <w:t>公务接待费支出比年度预算增加0万元，增长0%，主要是公务接待费支出较年初预算无增减变化；</w:t>
      </w:r>
      <w:r>
        <w:rPr>
          <w:rFonts w:eastAsia="仿宋_GB2312"/>
          <w:sz w:val="32"/>
          <w:szCs w:val="32"/>
        </w:rPr>
        <w:t>比2017</w:t>
      </w:r>
      <w:r>
        <w:rPr>
          <w:rFonts w:eastAsia="仿宋_GB2312" w:hint="eastAsia"/>
          <w:sz w:val="32"/>
          <w:szCs w:val="32"/>
        </w:rPr>
        <w:t>年度决算增加0万元，增长0%，主要是公务接待费支出较2017年度决算无增减变化。</w:t>
      </w:r>
    </w:p>
    <w:p>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pPr>
        <w:ind w:firstLineChars="250" w:firstLine="80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pPr>
        <w:ind w:firstLineChars="250" w:firstLine="800"/>
        <w:rPr>
          <w:rStyle w:val="22"/>
          <w:rFonts w:ascii="仿宋" w:eastAsia="仿宋"/>
          <w:sz w:val="32"/>
          <w:szCs w:val="32"/>
        </w:rPr>
      </w:pPr>
      <w:r>
        <w:rPr>
          <w:rStyle w:val="22"/>
          <w:rFonts w:ascii="仿宋" w:eastAsia="仿宋" w:hint="eastAsia"/>
          <w:sz w:val="32"/>
          <w:szCs w:val="32"/>
        </w:rPr>
        <w:t>2018年度科学规范的运用资金，力求节省开支，避免浪费。根据县财政预算绩效管理要求，统战部门以“部门职责—工作活动”为依据，确保部门预算项目和预算额度，清晰描述预算项目开支范围和内容，确定预算项目的绩效目标、绩效指标和评价标准，为预算绩效控制、绩效分析、绩效评价打下好的基础。</w:t>
      </w:r>
    </w:p>
    <w:p>
      <w:pPr>
        <w:autoSpaceDE w:val="0"/>
        <w:autoSpaceDN w:val="0"/>
        <w:adjustRightInd w:val="0"/>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（二）项目绩效自评结果。</w:t>
      </w:r>
    </w:p>
    <w:p>
      <w:pPr>
        <w:autoSpaceDE w:val="0"/>
        <w:autoSpaceDN w:val="0"/>
        <w:adjustRightInd w:val="0"/>
        <w:ind w:firstLineChars="200" w:firstLine="640"/>
        <w:jc w:val="left"/>
        <w:rPr>
          <w:rFonts w:ascii="仿宋_GB2312" w:eastAsia="仿宋_GB2312" w:cs="DengXian-Regular"/>
          <w:sz w:val="32"/>
          <w:szCs w:val="32"/>
        </w:rPr>
      </w:pPr>
      <w:r>
        <w:rPr>
          <w:rFonts w:ascii="仿宋" w:eastAsia="仿宋" w:cs="仿宋" w:hint="eastAsia"/>
          <w:kern w:val="0"/>
          <w:sz w:val="32"/>
          <w:szCs w:val="32"/>
        </w:rPr>
        <w:t>按照县财政预算管理要</w:t>
      </w:r>
      <w:r>
        <w:rPr>
          <w:rFonts w:ascii="仿宋" w:eastAsia="仿宋" w:cs="宋体" w:hint="eastAsia"/>
          <w:kern w:val="0"/>
          <w:sz w:val="32"/>
          <w:szCs w:val="32"/>
        </w:rPr>
        <w:t>求</w:t>
      </w:r>
      <w:r>
        <w:rPr>
          <w:rFonts w:ascii="仿宋" w:eastAsia="仿宋" w:cs="___WRD_EMBED_SUB_40" w:hint="eastAsia"/>
          <w:kern w:val="0"/>
          <w:sz w:val="32"/>
          <w:szCs w:val="32"/>
        </w:rPr>
        <w:t>，统战部门对</w:t>
      </w:r>
      <w:r>
        <w:rPr>
          <w:rFonts w:ascii="仿宋" w:eastAsia="仿宋" w:cs="·ÂËÎ" w:hint="eastAsia"/>
          <w:kern w:val="0"/>
          <w:sz w:val="32"/>
          <w:szCs w:val="32"/>
        </w:rPr>
        <w:t>2018</w:t>
      </w:r>
      <w:r>
        <w:rPr>
          <w:rFonts w:ascii="仿宋" w:eastAsia="仿宋" w:cs="仿宋" w:hint="eastAsia"/>
          <w:kern w:val="0"/>
          <w:sz w:val="32"/>
          <w:szCs w:val="32"/>
        </w:rPr>
        <w:t>年初确定的部门</w:t>
      </w:r>
      <w:r>
        <w:rPr>
          <w:rFonts w:ascii="仿宋" w:eastAsia="仿宋" w:cs="·ÂËÎ" w:hint="eastAsia"/>
          <w:kern w:val="0"/>
          <w:sz w:val="32"/>
          <w:szCs w:val="32"/>
        </w:rPr>
        <w:t>项目</w:t>
      </w:r>
      <w:r>
        <w:rPr>
          <w:rFonts w:ascii="仿宋" w:eastAsia="仿宋" w:cs="仿宋" w:hint="eastAsia"/>
          <w:kern w:val="0"/>
          <w:sz w:val="32"/>
          <w:szCs w:val="32"/>
        </w:rPr>
        <w:t>，共</w:t>
      </w:r>
      <w:r>
        <w:rPr>
          <w:rFonts w:ascii="仿宋" w:eastAsia="仿宋" w:cs="宋体" w:hint="eastAsia"/>
          <w:kern w:val="0"/>
          <w:sz w:val="32"/>
          <w:szCs w:val="32"/>
        </w:rPr>
        <w:t>涉</w:t>
      </w:r>
      <w:r>
        <w:rPr>
          <w:rFonts w:ascii="仿宋" w:eastAsia="仿宋" w:cs="___WRD_EMBED_SUB_40" w:hint="eastAsia"/>
          <w:kern w:val="0"/>
          <w:sz w:val="32"/>
          <w:szCs w:val="32"/>
        </w:rPr>
        <w:t>及预算资金</w:t>
      </w:r>
      <w:r>
        <w:rPr>
          <w:rFonts w:ascii="仿宋" w:eastAsia="仿宋" w:cs="宋体" w:hint="eastAsia"/>
          <w:kern w:val="0"/>
          <w:sz w:val="32"/>
          <w:szCs w:val="32"/>
        </w:rPr>
        <w:t>119.19</w:t>
      </w:r>
      <w:r>
        <w:rPr>
          <w:rFonts w:ascii="仿宋" w:eastAsia="仿宋" w:cs="仿宋" w:hint="eastAsia"/>
          <w:kern w:val="0"/>
          <w:sz w:val="32"/>
          <w:szCs w:val="32"/>
        </w:rPr>
        <w:t>万元，绩效自评</w:t>
      </w:r>
      <w:r>
        <w:rPr>
          <w:rFonts w:ascii="仿宋" w:eastAsia="仿宋" w:cs="宋体" w:hint="eastAsia"/>
          <w:kern w:val="0"/>
          <w:sz w:val="32"/>
          <w:szCs w:val="32"/>
        </w:rPr>
        <w:t>覆盖率达</w:t>
      </w:r>
      <w:r>
        <w:rPr>
          <w:rFonts w:ascii="仿宋" w:eastAsia="仿宋" w:cs="___WRD_EMBED_SUB_40" w:hint="eastAsia"/>
          <w:kern w:val="0"/>
          <w:sz w:val="32"/>
          <w:szCs w:val="32"/>
        </w:rPr>
        <w:t>到</w:t>
      </w:r>
      <w:r>
        <w:rPr>
          <w:rFonts w:ascii="仿宋" w:eastAsia="仿宋" w:cs="·ÂËÎ" w:hint="eastAsia"/>
          <w:kern w:val="0"/>
          <w:sz w:val="32"/>
          <w:szCs w:val="32"/>
        </w:rPr>
        <w:t>100%</w:t>
      </w:r>
      <w:r>
        <w:rPr>
          <w:rFonts w:ascii="仿宋" w:eastAsia="仿宋" w:cs="仿宋" w:hint="eastAsia"/>
          <w:kern w:val="0"/>
          <w:sz w:val="32"/>
          <w:szCs w:val="32"/>
        </w:rPr>
        <w:t>。</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p>
    <w:p>
      <w:pPr>
        <w:adjustRightInd w:val="0"/>
        <w:snapToGrid w:val="0"/>
        <w:spacing w:after="0" w:line="580" w:lineRule="exact"/>
        <w:ind w:firstLineChars="200" w:firstLine="640"/>
        <w:rPr>
          <w:rFonts w:ascii="仿宋" w:eastAsia="仿宋" w:cs="DengXian-Regular"/>
          <w:sz w:val="32"/>
          <w:szCs w:val="32"/>
        </w:rPr>
      </w:pPr>
      <w:r>
        <w:rPr>
          <w:rFonts w:ascii="仿宋" w:eastAsia="仿宋" w:cs="宋体" w:hint="eastAsia"/>
          <w:sz w:val="32"/>
          <w:szCs w:val="32"/>
        </w:rPr>
        <w:t>宗教工作经费项目，</w:t>
      </w:r>
      <w:r>
        <w:rPr>
          <w:rFonts w:ascii="仿宋" w:eastAsia="仿宋" w:cs="仿宋" w:hint="eastAsia"/>
          <w:kern w:val="0"/>
          <w:sz w:val="32"/>
          <w:szCs w:val="32"/>
        </w:rPr>
        <w:t>根据全县宗教</w:t>
      </w:r>
      <w:r>
        <w:rPr>
          <w:rFonts w:ascii="仿宋" w:eastAsia="仿宋" w:cs="___WRD_EMBED_SUB_40" w:hint="eastAsia"/>
          <w:kern w:val="0"/>
          <w:sz w:val="32"/>
          <w:szCs w:val="32"/>
        </w:rPr>
        <w:t>工作计</w:t>
      </w:r>
      <w:r>
        <w:rPr>
          <w:rFonts w:ascii="仿宋" w:eastAsia="仿宋" w:cs="宋体" w:hint="eastAsia"/>
          <w:kern w:val="0"/>
          <w:sz w:val="32"/>
          <w:szCs w:val="32"/>
        </w:rPr>
        <w:t>划</w:t>
      </w:r>
      <w:r>
        <w:rPr>
          <w:rFonts w:ascii="仿宋" w:eastAsia="仿宋" w:cs="___WRD_EMBED_SUB_40" w:hint="eastAsia"/>
          <w:kern w:val="0"/>
          <w:sz w:val="32"/>
          <w:szCs w:val="32"/>
        </w:rPr>
        <w:t>要</w:t>
      </w:r>
      <w:r>
        <w:rPr>
          <w:rFonts w:ascii="仿宋" w:eastAsia="仿宋" w:cs="宋体" w:hint="eastAsia"/>
          <w:kern w:val="0"/>
          <w:sz w:val="32"/>
          <w:szCs w:val="32"/>
        </w:rPr>
        <w:t>求</w:t>
      </w:r>
      <w:r>
        <w:rPr>
          <w:rFonts w:ascii="仿宋" w:eastAsia="仿宋" w:cs="___WRD_EMBED_SUB_40" w:hint="eastAsia"/>
          <w:kern w:val="0"/>
          <w:sz w:val="32"/>
          <w:szCs w:val="32"/>
        </w:rPr>
        <w:t>，制定年度工作任务，经县统战部部门办公会通过，上报主管领导同意，结合</w:t>
      </w:r>
      <w:r>
        <w:rPr>
          <w:rFonts w:ascii="仿宋" w:eastAsia="仿宋" w:cs="Arial"/>
          <w:sz w:val="32"/>
          <w:szCs w:val="32"/>
        </w:rPr>
        <w:t>坚持党的宗教工作基本方针，全面贯彻党的宗教信仰自由政策，依法管理宗教事务，坚持独立自主自办原则，积极引导宗教与社会主义社会相适应</w:t>
      </w:r>
      <w:r>
        <w:rPr>
          <w:rFonts w:ascii="仿宋" w:eastAsia="仿宋" w:cs="Arial" w:hint="eastAsia"/>
          <w:sz w:val="32"/>
          <w:szCs w:val="32"/>
        </w:rPr>
        <w:t>的</w:t>
      </w:r>
      <w:r>
        <w:rPr>
          <w:rFonts w:ascii="仿宋" w:eastAsia="仿宋" w:cs="___WRD_EMBED_SUB_40" w:hint="eastAsia"/>
          <w:kern w:val="0"/>
          <w:sz w:val="32"/>
          <w:szCs w:val="32"/>
        </w:rPr>
        <w:t>实际工作需要，按需安排经费支出，全面保障</w:t>
      </w:r>
      <w:r>
        <w:rPr>
          <w:rFonts w:ascii="仿宋" w:eastAsia="仿宋" w:cs="DengXian-Regular" w:hint="eastAsia"/>
          <w:sz w:val="32"/>
          <w:szCs w:val="32"/>
        </w:rPr>
        <w:t>宗教工作的顺利进行。</w:t>
      </w:r>
      <w:r>
        <w:rPr>
          <w:rFonts w:ascii="仿宋" w:eastAsia="仿宋" w:cs="宋体" w:hint="eastAsia"/>
          <w:sz w:val="32"/>
          <w:szCs w:val="32"/>
        </w:rPr>
        <w:t>任务完成率100%，很</w:t>
      </w:r>
      <w:r>
        <w:rPr>
          <w:rFonts w:ascii="仿宋" w:eastAsia="仿宋" w:cs="___WRD_EMBED_SUB_40" w:hint="eastAsia"/>
          <w:sz w:val="32"/>
          <w:szCs w:val="32"/>
        </w:rPr>
        <w:t>好的完成</w:t>
      </w:r>
      <w:r>
        <w:rPr>
          <w:rFonts w:ascii="仿宋" w:eastAsia="仿宋" w:cs="宋体" w:hint="eastAsia"/>
          <w:sz w:val="32"/>
          <w:szCs w:val="32"/>
        </w:rPr>
        <w:t>了</w:t>
      </w:r>
      <w:r>
        <w:rPr>
          <w:rFonts w:ascii="仿宋" w:eastAsia="仿宋" w:cs="___WRD_EMBED_SUB_40" w:hint="eastAsia"/>
          <w:sz w:val="32"/>
          <w:szCs w:val="32"/>
        </w:rPr>
        <w:t>职</w:t>
      </w:r>
      <w:r>
        <w:rPr>
          <w:rFonts w:ascii="仿宋" w:eastAsia="仿宋" w:cs="宋体" w:hint="eastAsia"/>
          <w:sz w:val="32"/>
          <w:szCs w:val="32"/>
        </w:rPr>
        <w:t>责</w:t>
      </w:r>
      <w:r>
        <w:rPr>
          <w:rFonts w:ascii="仿宋" w:eastAsia="仿宋" w:cs="___WRD_EMBED_SUB_40" w:hint="eastAsia"/>
          <w:sz w:val="32"/>
          <w:szCs w:val="32"/>
        </w:rPr>
        <w:t>活动绩效指标评价标</w:t>
      </w:r>
      <w:r>
        <w:rPr>
          <w:rFonts w:ascii="仿宋" w:eastAsia="仿宋" w:cs="宋体" w:hint="eastAsia"/>
          <w:sz w:val="32"/>
          <w:szCs w:val="32"/>
        </w:rPr>
        <w:t>准</w:t>
      </w:r>
      <w:r>
        <w:rPr>
          <w:rFonts w:ascii="仿宋" w:eastAsia="仿宋" w:cs="DengXian-Regular" w:hint="eastAsia"/>
          <w:sz w:val="32"/>
          <w:szCs w:val="32"/>
        </w:rPr>
        <w:t>。</w:t>
      </w:r>
    </w:p>
    <w:p>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（一）机关运行经费情况</w:t>
      </w:r>
    </w:p>
    <w:p>
      <w:pPr>
        <w:widowControl/>
        <w:spacing w:line="584" w:lineRule="exact"/>
        <w:ind w:firstLineChars="200" w:firstLine="640"/>
        <w:jc w:val="left"/>
      </w:pPr>
      <w:r>
        <w:rPr>
          <w:rFonts w:ascii="仿宋_GB2312" w:eastAsia="仿宋_GB2312" w:cs="DengXian-Regular" w:hint="eastAsia"/>
          <w:sz w:val="32"/>
          <w:szCs w:val="32"/>
        </w:rPr>
        <w:t>本部门2018年度机关运行经费支出18.23万元，</w:t>
      </w:r>
      <w:r>
        <w:rPr>
          <w:rFonts w:ascii="仿宋_GB2312" w:eastAsia="仿宋_GB2312" w:cs="DengXian-Regular"/>
          <w:sz w:val="32"/>
          <w:szCs w:val="32"/>
        </w:rPr>
        <w:t>比</w:t>
      </w:r>
      <w:r>
        <w:rPr>
          <w:rFonts w:ascii="仿宋_GB2312" w:eastAsia="仿宋_GB2312" w:cs="DengXian-Regular" w:hint="eastAsia"/>
          <w:sz w:val="32"/>
          <w:szCs w:val="32"/>
        </w:rPr>
        <w:t>年初预算数增</w:t>
      </w:r>
      <w:r>
        <w:rPr>
          <w:rFonts w:ascii="仿宋_GB2312" w:eastAsia="仿宋_GB2312" w:cs="DengXian-Regular"/>
          <w:sz w:val="32"/>
          <w:szCs w:val="32"/>
        </w:rPr>
        <w:t>加0万元，增长0%，主要是无人员增减变化</w:t>
      </w:r>
      <w:bookmarkStart w:id="0" w:name="_GoBack"/>
      <w:bookmarkEnd w:id="0"/>
      <w:r>
        <w:rPr>
          <w:rFonts w:ascii="仿宋_GB2312" w:eastAsia="仿宋_GB2312" w:cs="DengXian-Regular" w:hint="eastAsia"/>
          <w:sz w:val="32"/>
          <w:szCs w:val="32"/>
        </w:rPr>
        <w:t>。</w:t>
      </w:r>
      <w:r>
        <w:rPr>
          <w:rFonts w:eastAsia="仿宋_GB2312"/>
          <w:sz w:val="32"/>
          <w:szCs w:val="32"/>
        </w:rPr>
        <w:t>较201</w:t>
      </w:r>
      <w:r>
        <w:rPr>
          <w:rFonts w:eastAsia="仿宋_GB2312" w:hint="eastAsia"/>
          <w:sz w:val="32"/>
          <w:szCs w:val="32"/>
        </w:rPr>
        <w:t>7</w:t>
      </w:r>
      <w:r>
        <w:rPr>
          <w:rFonts w:eastAsia="仿宋_GB2312"/>
          <w:sz w:val="32"/>
          <w:szCs w:val="32"/>
        </w:rPr>
        <w:t>年度决算减少</w:t>
      </w:r>
      <w:r>
        <w:rPr>
          <w:rFonts w:eastAsia="仿宋_GB2312" w:hint="eastAsia"/>
          <w:sz w:val="32"/>
          <w:szCs w:val="32"/>
        </w:rPr>
        <w:t>7.97</w:t>
      </w:r>
      <w:r>
        <w:rPr>
          <w:rFonts w:eastAsia="仿宋_GB2312"/>
          <w:sz w:val="32"/>
          <w:szCs w:val="32"/>
        </w:rPr>
        <w:t>万元，降低</w:t>
      </w:r>
      <w:r>
        <w:rPr>
          <w:rFonts w:eastAsia="仿宋_GB2312" w:hint="eastAsia"/>
          <w:sz w:val="32"/>
          <w:szCs w:val="32"/>
        </w:rPr>
        <w:t>30.42</w:t>
      </w:r>
      <w:r>
        <w:rPr>
          <w:rFonts w:eastAsia="仿宋_GB2312"/>
          <w:sz w:val="32"/>
          <w:szCs w:val="32"/>
        </w:rPr>
        <w:t>%，主要是</w:t>
      </w:r>
      <w:r>
        <w:rPr>
          <w:rFonts w:eastAsia="仿宋_GB2312" w:hint="eastAsia"/>
          <w:sz w:val="32"/>
          <w:szCs w:val="32"/>
        </w:rPr>
        <w:t>本年度</w:t>
      </w:r>
      <w:r>
        <w:rPr>
          <w:rFonts w:ascii="仿宋_GB2312" w:eastAsia="仿宋_GB2312" w:cs="仿宋_GB2312" w:hint="eastAsia"/>
          <w:color w:val="484747"/>
          <w:sz w:val="32"/>
          <w:szCs w:val="32"/>
        </w:rPr>
        <w:t>减少了工商联换届经费和政协换届经费。</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（二）政府采购情况</w:t>
      </w:r>
    </w:p>
    <w:p>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本部门2018年度政府采购支出总额0.8万元，从采购类型来看，</w:t>
      </w:r>
      <w:r>
        <w:rPr>
          <w:rFonts w:ascii="仿宋_GB2312" w:eastAsia="仿宋_GB2312" w:cs="仿宋_GB2312"/>
          <w:color w:val="000000"/>
          <w:kern w:val="0"/>
          <w:sz w:val="32"/>
          <w:szCs w:val="32"/>
        </w:rPr>
        <w:t>政府采购货物支出</w:t>
      </w:r>
      <w:r>
        <w:rPr>
          <w:rFonts w:ascii="仿宋_GB2312" w:eastAsia="仿宋_GB2312" w:cs="仿宋_GB2312" w:hint="eastAsia"/>
          <w:color w:val="000000"/>
          <w:kern w:val="0"/>
          <w:sz w:val="32"/>
          <w:szCs w:val="32"/>
        </w:rPr>
        <w:t>0.8</w:t>
      </w:r>
      <w:r>
        <w:rPr>
          <w:rFonts w:ascii="仿宋_GB2312" w:eastAsia="仿宋_GB2312" w:cs="仿宋_GB2312"/>
          <w:color w:val="000000"/>
          <w:kern w:val="0"/>
          <w:sz w:val="32"/>
          <w:szCs w:val="32"/>
        </w:rPr>
        <w:t>万元、政府采购工程支出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万元、政府采购服务支出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万元。授予中小企业合同金</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万元，占政府采购支出总额的</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其中授予小微企业合同金额</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 xml:space="preserve">万元，占政府采购支出总额的 </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（三）国有资产占用情况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1辆，与上年持平。其中，副部（省）级及以上领导用车0辆，主要领导干部用车0辆，机要通信用车1辆，应急保障用车0辆，执法执勤用车0辆，特种专业技术用车0辆，离退休干部用车0辆，其他用车0辆0；单位价值</w:t>
      </w:r>
      <w:r>
        <w:rPr>
          <w:rFonts w:ascii="仿宋_GB2312" w:eastAsia="仿宋_GB2312" w:cs="TimesNewRomanPSMT" w:hint="eastAsia"/>
          <w:sz w:val="32"/>
          <w:szCs w:val="32"/>
        </w:rPr>
        <w:t>50</w:t>
      </w:r>
      <w:r>
        <w:rPr>
          <w:rFonts w:ascii="仿宋_GB2312" w:eastAsia="仿宋_GB2312" w:cs="DengXian-Regular" w:hint="eastAsia"/>
          <w:sz w:val="32"/>
          <w:szCs w:val="32"/>
        </w:rPr>
        <w:t>万元以上通用设备0台（套），与上年无增减变化，单位价值</w:t>
      </w:r>
      <w:r>
        <w:rPr>
          <w:rFonts w:ascii="仿宋_GB2312" w:eastAsia="仿宋_GB2312" w:cs="TimesNewRomanPSMT" w:hint="eastAsia"/>
          <w:sz w:val="32"/>
          <w:szCs w:val="32"/>
        </w:rPr>
        <w:t>100</w:t>
      </w:r>
      <w:r>
        <w:rPr>
          <w:rFonts w:ascii="仿宋_GB2312" w:eastAsia="仿宋_GB2312" w:cs="DengXian-Regular" w:hint="eastAsia"/>
          <w:sz w:val="32"/>
          <w:szCs w:val="32"/>
        </w:rPr>
        <w:t>万元以上专用设备0台（套），与上年无增减变化。</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（四）其他需要说明的情况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1、本部门2018年末结转结余6.79万元，结转资金为人员社会保障缴费费用。</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Chars="200" w:firstLine="880"/>
        <w:jc w:val="left"/>
        <w:rPr>
          <w:rFonts w:ascii="宋体" w:eastAsia="宋体" w:cs="MS-UIGothic,Bold"/>
          <w:b/>
          <w:bCs/>
          <w:kern w:val="0"/>
          <w:sz w:val="44"/>
          <w:szCs w:val="44"/>
        </w:rPr>
        <w:sectPr>
          <w:pgSz w:w="11906" w:h="16838"/>
          <w:pgMar w:top="2098" w:right="1474" w:bottom="1984" w:left="1588" w:header="851" w:footer="992" w:gutter="0"/>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pPr>
        <w:widowControl/>
        <w:spacing w:line="1200" w:lineRule="exact"/>
        <w:jc w:val="center"/>
        <w:rPr>
          <w:color w:val="000000"/>
          <w:sz w:val="96"/>
          <w:szCs w:val="96"/>
        </w:rPr>
      </w:pPr>
      <w:r>
        <w:rPr>
          <w:rFonts w:ascii="黑体" w:eastAsia="黑体" w:hint="eastAsia"/>
          <w:color w:val="000000"/>
          <w:sz w:val="96"/>
          <w:szCs w:val="96"/>
        </w:rPr>
        <w:t>名词解释</w:t>
      </w:r>
    </w:p>
    <w:p>
      <w:pPr>
        <w:rPr>
          <w:rFonts w:ascii="宋体" w:cs="ArialUnicodeMS"/>
          <w:color w:val="000000"/>
          <w:kern w:val="0"/>
        </w:rPr>
        <w:sectPr>
          <w:pgSz w:w="11906" w:h="16838"/>
          <w:pgMar w:top="2098" w:right="1474" w:bottom="1984" w:left="1588" w:header="851" w:footer="992" w:gutter="0"/>
          <w:docGrid w:type="lines" w:linePitch="312" w:charSpace="0"/>
        </w:sectPr>
      </w:pP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Chars="200" w:firstLine="640"/>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楷体">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ArialUnicodeMS">
    <w:altName w:val="Malgun Gothic"/>
    <w:panose1 w:val="00000000000000000000"/>
    <w:charset w:val="81"/>
    <w:family w:val="auto"/>
    <w:pitch w:val="variable"/>
    <w:sig w:usb0="00000000" w:usb1="00000000" w:usb2="00000010" w:usb3="00000000" w:csb0="00080001" w:csb1="00000000"/>
  </w:font>
  <w:font w:name="MS-UIGothic,Bold">
    <w:altName w:val="Malgun Gothic"/>
    <w:panose1 w:val="00000000000000000000"/>
    <w:charset w:val="81"/>
    <w:family w:val="auto"/>
    <w:pitch w:val="variable"/>
    <w:sig w:usb0="00000000" w:usb1="0000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DengXian-Regular">
    <w:altName w:val="宋体"/>
    <w:panose1 w:val="00000000000000000000"/>
    <w:charset w:val="86"/>
    <w:family w:val="auto"/>
    <w:pitch w:val="variable"/>
    <w:sig w:usb0="00000000" w:usb1="00000000" w:usb2="00000010"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variable"/>
    <w:sig w:usb0="800002BF" w:usb1="38CF7CFA" w:usb2="00000016" w:usb3="00000000" w:csb0="00040001" w:csb1="00000000"/>
  </w:font>
  <w:font w:name="楷体_GB2312">
    <w:altName w:val="楷体"/>
    <w:panose1 w:val="00000000000000000000"/>
    <w:charset w:val="86"/>
    <w:family w:val="modern"/>
    <w:pitch w:val="variable"/>
    <w:sig w:usb0="00000001" w:usb1="080E0000" w:usb2="00000010" w:usb3="00000000" w:csb0="00040000" w:csb1="00000000"/>
  </w:font>
  <w:font w:name="DengXian-Bold">
    <w:altName w:val="宋体"/>
    <w:panose1 w:val="00000000000000000000"/>
    <w:charset w:val="86"/>
    <w:family w:val="auto"/>
    <w:pitch w:val="variable"/>
    <w:sig w:usb0="00000000" w:usb1="00000000" w:usb2="00000010" w:usb3="00000000" w:csb0="00040001" w:csb1="00000000"/>
  </w:font>
  <w:font w:name="___WRD_EMBED_SUB_40">
    <w:altName w:val="黑体"/>
    <w:panose1 w:val="00000000000000000000"/>
    <w:charset w:val="86"/>
    <w:family w:val="modern"/>
    <w:pitch w:val="variable"/>
    <w:sig w:usb0="00000001" w:usb1="080E0000" w:usb2="00000010" w:usb3="00000000" w:csb0="00040000" w:csb1="00000000"/>
  </w:font>
  <w:font w:name="·ÂËÎ">
    <w:altName w:val="Arial"/>
    <w:panose1 w:val="00000000000000000000"/>
    <w:charset w:val="00"/>
    <w:family w:val="moder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NewRomanPSMT">
    <w:altName w:val="Arial"/>
    <w:panose1 w:val="00000000000000000000"/>
    <w:charset w:val="00"/>
    <w:family w:val="swiss"/>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45DB9A87"/>
    <w:multiLevelType w:val="singleLevel"/>
    <w:tmpl w:val="45DB9A87"/>
    <w:lvl w:ilvl="0">
      <w:start w:val="3"/>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displayBackgroundShape/>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after="160" w:line="480" w:lineRule="auto"/>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Calibri" w:eastAsia="宋体" w:cs="Arial" w:hAnsi="Calibri"/>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before="280" w:after="290" w:line="377" w:lineRule="auto"/>
      <w:outlineLvl w:val="3"/>
    </w:pPr>
    <w:rPr>
      <w:rFonts w:ascii="Calibri" w:eastAsia="宋体" w:cs="Arial" w:hAnsi="Calibri"/>
      <w:b/>
      <w:bCs/>
      <w:sz w:val="28"/>
      <w:szCs w:val="28"/>
    </w:rPr>
  </w:style>
  <w:style w:type="character" w:default="1" w:styleId="10">
    <w:name w:val="Default Paragraph Font"/>
  </w:style>
  <w:style w:type="paragraph" w:styleId="15">
    <w:name w:val="Date"/>
    <w:basedOn w:val="0"/>
    <w:next w:val="0"/>
    <w:pPr>
      <w:ind w:leftChars="2500" w:left="2500"/>
    </w:p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rFonts w:ascii="Cambria" w:eastAsia="黑体" w:cs="Times New Roman" w:hAnsi="Cambria"/>
      <w:sz w:val="18"/>
      <w:szCs w:val="18"/>
    </w:rPr>
  </w:style>
  <w:style w:type="paragraph" w:styleId="18">
    <w:name w:val="header"/>
    <w:basedOn w:val="0"/>
    <w:pPr>
      <w:pBdr>
        <w:bottom w:val="single" w:sz="6" w:space="1" w:color="auto"/>
      </w:pBdr>
      <w:tabs>
        <w:tab w:val="center" w:pos="4153"/>
        <w:tab w:val="right" w:pos="8306"/>
      </w:tabs>
      <w:snapToGrid w:val="0"/>
      <w:jc w:val="center"/>
    </w:pPr>
    <w:rPr>
      <w:rFonts w:ascii="Cambria" w:eastAsia="黑体" w:cs="Times New Roman" w:hAnsi="Cambria"/>
      <w:sz w:val="18"/>
      <w:szCs w:val="18"/>
    </w:rPr>
  </w:style>
  <w:style w:type="paragraph" w:styleId="19">
    <w:name w:val="Subtitle"/>
    <w:basedOn w:val="0"/>
    <w:next w:val="0"/>
    <w:pPr>
      <w:widowControl/>
      <w:spacing w:after="200" w:line="276" w:lineRule="auto"/>
      <w:jc w:val="left"/>
    </w:pPr>
    <w:rPr>
      <w:rFonts w:ascii="Calibri" w:eastAsia="宋体" w:cs="Arial" w:hAnsi="Calibri"/>
      <w:i/>
      <w:iCs/>
      <w:color w:val="F0A22E"/>
      <w:spacing w:val="15"/>
      <w:kern w:val="0"/>
      <w:sz w:val="24"/>
    </w:rPr>
  </w:style>
  <w:style w:type="paragraph" w:styleId="20">
    <w:name w:val="Title"/>
    <w:basedOn w:val="0"/>
    <w:next w:val="0"/>
    <w:pPr>
      <w:widowControl/>
      <w:pBdr>
        <w:bottom w:val="single" w:sz="8" w:space="4" w:color="F0A22E"/>
      </w:pBdr>
      <w:spacing w:after="300"/>
      <w:contextualSpacing/>
      <w:jc w:val="left"/>
    </w:pPr>
    <w:rPr>
      <w:rFonts w:ascii="Calibri" w:eastAsia="宋体" w:cs="Arial" w:hAnsi="Calibri"/>
      <w:color w:val="3A2C24"/>
      <w:spacing w:val="5"/>
      <w:kern w:val="28"/>
      <w:sz w:val="52"/>
      <w:szCs w:val="52"/>
    </w:rPr>
  </w:style>
  <w:style w:type="paragraph" w:styleId="21">
    <w:name w:val="No Spacing"/>
    <w:pPr>
      <w:spacing w:after="160" w:line="480" w:lineRule="auto"/>
    </w:pPr>
    <w:rPr>
      <w:rFonts w:ascii="Cambria" w:eastAsia="黑体" w:cs="Times New Roman" w:hAnsi="Cambria"/>
      <w:sz w:val="22"/>
      <w:szCs w:val="22"/>
      <w:lang w:val="en-US" w:eastAsia="zh-CN" w:bidi="ar-SA"/>
    </w:rPr>
  </w:style>
  <w:style w:type="character" w:customStyle="1" w:styleId="22">
    <w:name w:val="Style1"/>
    <w:basedOn w:val="10"/>
    <w:rPr>
      <w:rFonts w:ascii="Cambria" w:eastAsia="黑体" w:cs="Times New Roman" w:hAnsi="Cambria"/>
      <w:sz w:val="22"/>
      <w:szCs w:val="22"/>
      <w:lang w:eastAsia="zh-CN"/>
    </w:rPr>
  </w:style>
  <w:style w:type="character" w:customStyle="1" w:styleId="23">
    <w:name w:val="Style2"/>
    <w:basedOn w:val="10"/>
    <w:rPr>
      <w:rFonts w:ascii="Cambria" w:eastAsia="黑体" w:cs="Times New Roman" w:hAnsi="Cambria"/>
      <w:sz w:val="22"/>
      <w:szCs w:val="22"/>
      <w:lang w:eastAsia="zh-CN"/>
    </w:rPr>
  </w:style>
  <w:style w:type="character" w:customStyle="1" w:styleId="24">
    <w:name w:val="Style3"/>
    <w:basedOn w:val="10"/>
    <w:rPr>
      <w:rFonts w:ascii="Cambria" w:eastAsia="黑体" w:cs="Times New Roman" w:hAnsi="Cambria"/>
      <w:szCs w:val="22"/>
      <w:lang w:eastAsia="zh-CN"/>
    </w:rPr>
  </w:style>
  <w:style w:type="character" w:customStyle="1" w:styleId="25">
    <w:name w:val="Style4"/>
    <w:basedOn w:val="10"/>
    <w:rPr>
      <w:rFonts w:ascii="Cambria" w:eastAsia="黑体" w:cs="Times New Roman" w:hAnsi="Cambria"/>
      <w:szCs w:val="22"/>
      <w:lang w:eastAsia="zh-CN"/>
    </w:rPr>
  </w:style>
  <w:style w:type="character" w:customStyle="1" w:styleId="26">
    <w:name w:val="Style5"/>
    <w:basedOn w:val="10"/>
    <w:rPr>
      <w:rFonts w:ascii="Cambria" w:eastAsia="黑体" w:cs="Times New Roman" w:hAnsi="Cambria"/>
      <w:sz w:val="22"/>
      <w:szCs w:val="22"/>
      <w:lang w:eastAsia="zh-CN"/>
    </w:rPr>
  </w:style>
  <w:style w:type="paragraph" w:styleId="27">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chart" Target="charts/chart3.xml"/><Relationship Id="rId5" Type="http://schemas.openxmlformats.org/officeDocument/2006/relationships/chart" Target="charts/chart4.xml"/><Relationship Id="rId6" Type="http://schemas.openxmlformats.org/officeDocument/2006/relationships/chart" Target="charts/chart5.xml"/><Relationship Id="rId7" Type="http://schemas.openxmlformats.org/officeDocument/2006/relationships/styles" Target="styles.xml"/><Relationship Id="rId8" Type="http://schemas.openxmlformats.org/officeDocument/2006/relationships/numbering" Target="numbering.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char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char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char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char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char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a:ln>
              <a:noFill/>
            </a:ln>
          </c:spPr>
          <c:dPt>
            <c:idx val="0"/>
            <c:bubble3D val="0"/>
            <c:spPr>
              <a:solidFill>
                <a:srgbClr val="F0A22E"/>
              </a:solidFill>
            </c:spPr>
          </c:dPt>
          <c:dPt>
            <c:idx val="1"/>
            <c:bubble3D val="0"/>
            <c:spPr>
              <a:solidFill>
                <a:srgbClr val="A5644E"/>
              </a:solidFill>
            </c:spPr>
          </c:dPt>
          <c:dPt>
            <c:idx val="2"/>
            <c:bubble3D val="0"/>
            <c:spPr>
              <a:solidFill>
                <a:srgbClr val="B58B80"/>
              </a:solidFill>
            </c:spPr>
          </c:dPt>
          <c:dPt>
            <c:idx val="3"/>
            <c:bubble3D val="0"/>
            <c:spPr>
              <a:solidFill>
                <a:srgbClr val="C3986D"/>
              </a:solidFill>
            </c:spPr>
          </c:dPt>
          <c:dLbls>
            <c:spPr>
              <a:noFill/>
              <a:ln>
                <a:noFill/>
              </a:ln>
            </c:spPr>
            <c:txPr>
              <a:bodyPr vert="horz"/>
              <a:lstStyle/>
              <a:p>
                <a:pPr>
                  <a:defRPr sz="1000" b="0" i="0" u="none" strike="noStrike" baseline="0">
                    <a:solidFill>
                      <a:srgbClr val="000000"/>
                    </a:solidFill>
                    <a:latin typeface="Times New Roman"/>
                    <a:ea typeface="宋体"/>
                    <a:cs typeface="Arial"/>
                  </a:defRPr>
                </a:pPr>
                <a:endParaRPr lang="zh-CN"/>
              </a:p>
            </c:txPr>
            <c:numFmt formatCode="General" sourceLinked="1"/>
            <c:showLegendKey val="0"/>
            <c:showVal val="1"/>
            <c:showCatName val="0"/>
            <c:showSerName val="0"/>
            <c:showPercent val="0"/>
            <c:showBubbleSize val="0"/>
            <c:showLeaderLines val="1"/>
          </c:dLbls>
          <c:cat>
            <c:strRef>
              <c:f>'Sheet1'!$A$2:$A$5</c:f>
              <c:strCache>
                <c:ptCount val="4"/>
                <c:pt idx="0">
                  <c:v>财政拨款</c:v>
                </c:pt>
              </c:strCache>
            </c:strRef>
          </c:cat>
          <c:val>
            <c:numRef>
              <c:f>'Sheet1'!$B$2:$B$5</c:f>
              <c:numCache>
                <c:formatCode>General</c:formatCode>
                <c:ptCount val="4"/>
                <c:pt idx="0">
                  <c:v>1.0</c:v>
                </c:pt>
              </c:numCache>
            </c:numRef>
          </c:val>
        </c:ser>
        <c:firstSliceAng val="0"/>
      </c:pieChart>
      <c:spPr>
        <a:noFill/>
      </c:spPr>
    </c:plotArea>
    <c:legend>
      <c:legendPos val="r"/>
      <c:layout/>
      <c:overlay val="0"/>
      <c:spPr>
        <a:noFill/>
        <a:ln>
          <a:noFill/>
        </a:ln>
      </c:spPr>
      <c:txPr>
        <a:bodyPr/>
        <a:lstStyle/>
        <a:p>
          <a:pPr>
            <a:defRPr sz="1000" b="0" i="0" u="none" strike="noStrike" baseline="0">
              <a:solidFill>
                <a:srgbClr val="000000"/>
              </a:solidFill>
              <a:latin typeface="Times New Roman"/>
              <a:ea typeface="宋体"/>
              <a:cs typeface="Arial"/>
            </a:defRPr>
          </a:pPr>
          <a:endParaRPr lang="zh-CN"/>
        </a:p>
      </c:txPr>
      <c:legendEntry>
        <c:idx val="1"/>
        <c:delete val="1"/>
      </c:legendEntry>
      <c:legendEntry>
        <c:idx val="2"/>
        <c:delete val="1"/>
      </c:legendEntry>
      <c:legendEntry>
        <c:idx val="3"/>
        <c:delete val="1"/>
      </c:legendEntry>
    </c:legend>
    <c:plotVisOnly val="1"/>
    <c:dispBlanksAs val="zero"/>
    <c:showDLblsOverMax val="0"/>
  </c:chart>
  <c:spPr/>
  <c:txPr>
    <a:bodyPr/>
    <a:lstStyle/>
    <a:p>
      <a:pPr>
        <a:defRPr sz="1000" b="0" i="0" u="none" strike="noStrike" baseline="0">
          <a:solidFill>
            <a:srgbClr val="000000"/>
          </a:solidFill>
          <a:latin typeface="Times New Roman"/>
          <a:ea typeface="宋体"/>
          <a:cs typeface="Arial"/>
        </a:defRPr>
      </a:pPr>
      <a:endParaRPr lang="zh-CN"/>
    </a:p>
  </c:txPr>
  <c:printSettings>
    <c:headerFooter/>
    <c:pageMargins b="0.75" l="0.7" r="0.7" t="0.75" header="0.3" footer="0.3"/>
    <c:pageSetup/>
  </c:printSettings>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 (2)'!$B$1</c:f>
              <c:strCache>
                <c:ptCount val="1"/>
                <c:pt idx="0">
                  <c:v>销售额</c:v>
                </c:pt>
              </c:strCache>
            </c:strRef>
          </c:tx>
          <c:spPr>
            <a:ln>
              <a:noFill/>
            </a:ln>
          </c:spPr>
          <c:dPt>
            <c:idx val="0"/>
            <c:bubble3D val="0"/>
            <c:spPr>
              <a:solidFill>
                <a:srgbClr val="F0A22E"/>
              </a:solidFill>
            </c:spPr>
          </c:dPt>
          <c:dPt>
            <c:idx val="1"/>
            <c:bubble3D val="0"/>
            <c:spPr>
              <a:solidFill>
                <a:srgbClr val="A5644E"/>
              </a:solidFill>
            </c:spPr>
          </c:dPt>
          <c:dLbls>
            <c:spPr>
              <a:noFill/>
              <a:ln>
                <a:noFill/>
              </a:ln>
            </c:spPr>
            <c:txPr>
              <a:bodyPr vert="horz"/>
              <a:lstStyle/>
              <a:p>
                <a:pPr>
                  <a:defRPr sz="1000" b="0" i="0" u="none" strike="noStrike" baseline="0">
                    <a:solidFill>
                      <a:srgbClr val="000000"/>
                    </a:solidFill>
                    <a:latin typeface="Times New Roman"/>
                    <a:ea typeface="宋体"/>
                    <a:cs typeface="Arial"/>
                  </a:defRPr>
                </a:pPr>
                <a:endParaRPr lang="zh-CN"/>
              </a:p>
            </c:txPr>
            <c:numFmt formatCode="0.00%" sourceLinked="1"/>
            <c:showLegendKey val="0"/>
            <c:showVal val="1"/>
            <c:showCatName val="0"/>
            <c:showSerName val="0"/>
            <c:showPercent val="0"/>
            <c:showBubbleSize val="0"/>
            <c:showLeaderLines val="1"/>
          </c:dLbls>
          <c:cat>
            <c:strRef>
              <c:f>'Sheet1 (2)'!$A$2:$A$3</c:f>
              <c:strCache>
                <c:ptCount val="2"/>
                <c:pt idx="0">
                  <c:v>基本支出</c:v>
                </c:pt>
                <c:pt idx="1">
                  <c:v>项目支出</c:v>
                </c:pt>
              </c:strCache>
            </c:strRef>
          </c:cat>
          <c:val>
            <c:numRef>
              <c:f>'Sheet1 (2)'!$B$2:$B$3</c:f>
              <c:numCache>
                <c:formatCode>0.00%</c:formatCode>
                <c:ptCount val="2"/>
                <c:pt idx="0">
                  <c:v>0.7655</c:v>
                </c:pt>
                <c:pt idx="1">
                  <c:v>0.2345</c:v>
                </c:pt>
              </c:numCache>
            </c:numRef>
          </c:val>
        </c:ser>
        <c:firstSliceAng val="0"/>
      </c:pieChart>
      <c:spPr>
        <a:noFill/>
      </c:spPr>
    </c:plotArea>
    <c:legend>
      <c:legendPos val="r"/>
      <c:layout/>
      <c:overlay val="0"/>
      <c:spPr>
        <a:noFill/>
        <a:ln>
          <a:noFill/>
        </a:ln>
      </c:spPr>
      <c:txPr>
        <a:bodyPr/>
        <a:lstStyle/>
        <a:p>
          <a:pPr>
            <a:defRPr sz="1000" b="0" i="0" u="none" strike="noStrike" baseline="0">
              <a:solidFill>
                <a:srgbClr val="000000"/>
              </a:solidFill>
              <a:latin typeface="Times New Roman"/>
              <a:ea typeface="宋体"/>
              <a:cs typeface="Arial"/>
            </a:defRPr>
          </a:pPr>
          <a:endParaRPr lang="zh-CN"/>
        </a:p>
      </c:txPr>
    </c:legend>
    <c:plotVisOnly val="1"/>
    <c:dispBlanksAs val="zero"/>
    <c:showDLblsOverMax val="0"/>
  </c:chart>
  <c:spPr/>
  <c:txPr>
    <a:bodyPr/>
    <a:lstStyle/>
    <a:p>
      <a:pPr>
        <a:defRPr sz="1000" b="0" i="0" u="none" strike="noStrike" baseline="0">
          <a:solidFill>
            <a:srgbClr val="000000"/>
          </a:solidFill>
          <a:latin typeface="Times New Roman"/>
          <a:ea typeface="宋体"/>
          <a:cs typeface="Arial"/>
        </a:defRPr>
      </a:pPr>
      <a:endParaRPr lang="zh-CN"/>
    </a:p>
  </c:txPr>
  <c:printSettings>
    <c:headerFooter/>
    <c:pageMargins b="0.75" l="0.7" r="0.7" t="0.75" header="0.3" footer="0.3"/>
    <c:pageSetup/>
  </c:printSettings>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Arial"/>
              </a:defRPr>
            </a:pPr>
            <a:r>
              <a:rPr lang="zh-CN"/>
              <a:t>单位：万元</a:t>
            </a:r>
          </a:p>
        </c:rich>
      </c:tx>
      <c:layout/>
      <c:overlay val="0"/>
      <c:spPr>
        <a:ln>
          <a:noFill/>
        </a:ln>
      </c:spPr>
    </c:title>
    <c:autoTitleDeleted val="0"/>
    <c:plotArea>
      <c:layout/>
      <c:barChart>
        <c:barDir val="col"/>
        <c:grouping val="clustered"/>
        <c:varyColors val="0"/>
        <c:ser>
          <c:idx val="0"/>
          <c:order val="0"/>
          <c:tx>
            <c:strRef>
              <c:f>'Sheet1 (3)'!$B$1</c:f>
              <c:strCache>
                <c:ptCount val="1"/>
                <c:pt idx="0">
                  <c:v>单位：万元</c:v>
                </c:pt>
              </c:strCache>
            </c:strRef>
          </c:tx>
          <c:spPr>
            <a:solidFill>
              <a:srgbClr val="F0A22E"/>
            </a:solidFill>
            <a:ln>
              <a:noFill/>
            </a:ln>
          </c:spPr>
          <c:invertIfNegative val="0"/>
          <c:dLbls>
            <c:spPr>
              <a:noFill/>
              <a:ln>
                <a:noFill/>
              </a:ln>
            </c:spPr>
            <c:txPr>
              <a:bodyPr vert="horz"/>
              <a:lstStyle/>
              <a:p>
                <a:pPr>
                  <a:defRPr sz="1000" b="0" i="0" u="none" strike="noStrike" baseline="0">
                    <a:solidFill>
                      <a:srgbClr val="000000"/>
                    </a:solidFill>
                    <a:latin typeface="Times New Roman"/>
                    <a:ea typeface="宋体"/>
                    <a:cs typeface="Arial"/>
                  </a:defRPr>
                </a:pPr>
                <a:endParaRPr lang="zh-CN"/>
              </a:p>
            </c:txPr>
            <c:numFmt formatCode="General" sourceLinked="1"/>
            <c:dLblPos val="outEnd"/>
            <c:showLegendKey val="0"/>
            <c:showVal val="1"/>
            <c:showCatName val="0"/>
            <c:showSerName val="0"/>
            <c:showPercent val="0"/>
            <c:showBubbleSize val="0"/>
            <c:showLeaderLines val="0"/>
          </c:dLbls>
          <c:cat>
            <c:strRef>
              <c:f>'Sheet1 (3)'!$A$2:$A$5</c:f>
              <c:strCache>
                <c:ptCount val="4"/>
                <c:pt idx="0">
                  <c:v>2018年决算收入</c:v>
                </c:pt>
                <c:pt idx="1">
                  <c:v>2018年决算支出</c:v>
                </c:pt>
                <c:pt idx="2">
                  <c:v>2017年决算收入</c:v>
                </c:pt>
                <c:pt idx="3">
                  <c:v>2017年决算支出</c:v>
                </c:pt>
              </c:strCache>
            </c:strRef>
          </c:cat>
          <c:val>
            <c:numRef>
              <c:f>'Sheet1 (3)'!$B$2:$B$5</c:f>
              <c:numCache>
                <c:formatCode>General</c:formatCode>
                <c:ptCount val="4"/>
                <c:pt idx="0">
                  <c:v>119.19</c:v>
                </c:pt>
                <c:pt idx="1">
                  <c:v>112.4</c:v>
                </c:pt>
                <c:pt idx="2">
                  <c:v>107.51</c:v>
                </c:pt>
                <c:pt idx="3">
                  <c:v>107.51</c:v>
                </c:pt>
              </c:numCache>
            </c:numRef>
          </c:val>
        </c:ser>
        <c:gapWidth val="150"/>
        <c:axId val="0"/>
        <c:axId val="1"/>
      </c:barChart>
      <c:catAx>
        <c:axId val="0"/>
        <c:scaling>
          <c:orientation val="minMax"/>
        </c:scaling>
        <c:delete val="0"/>
        <c:axPos val="b"/>
        <c:numFmt formatCode="General" sourceLinked="1"/>
        <c:majorTickMark val="out"/>
        <c:minorTickMark val="none"/>
        <c:tickLblPos val="nextTo"/>
        <c:txPr>
          <a:bodyPr/>
          <a:lstStyle/>
          <a:p>
            <a:pPr>
              <a:defRPr sz="1000" b="0" i="0" u="none" strike="noStrike" baseline="0">
                <a:solidFill>
                  <a:srgbClr val="000000"/>
                </a:solidFill>
                <a:latin typeface="Times New Roman"/>
                <a:ea typeface="宋体"/>
                <a:cs typeface="Arial"/>
              </a:defRPr>
            </a:pPr>
            <a:endParaRPr lang="zh-CN"/>
          </a:p>
        </c:txPr>
        <c:crosses val="autoZero"/>
        <c:auto val="1"/>
        <c:lblOffset val="100"/>
        <c:lblAlgn val="ctr"/>
        <c:noMultiLvlLbl val="0"/>
        <c:crossAx val="1"/>
      </c:catAx>
      <c:valAx>
        <c:axId val="1"/>
        <c:scaling>
          <c:orientation val="minMax"/>
        </c:scaling>
        <c:delete val="0"/>
        <c:axPos val="l"/>
        <c:majorGridlines/>
        <c:numFmt formatCode="General" sourceLinked="1"/>
        <c:majorTickMark val="out"/>
        <c:minorTickMark val="none"/>
        <c:tickLblPos val="nextTo"/>
        <c:txPr>
          <a:bodyPr/>
          <a:lstStyle/>
          <a:p>
            <a:pPr>
              <a:defRPr sz="1000" b="0" i="0" u="none" strike="noStrike" baseline="0">
                <a:solidFill>
                  <a:srgbClr val="000000"/>
                </a:solidFill>
                <a:latin typeface="Times New Roman"/>
                <a:ea typeface="宋体"/>
                <a:cs typeface="Arial"/>
              </a:defRPr>
            </a:pPr>
            <a:endParaRPr lang="zh-CN"/>
          </a:p>
        </c:txPr>
        <c:crossesAt val="1.0"/>
        <c:crossBetween val="between"/>
        <c:crossAx val="0"/>
      </c:valAx>
      <c:spPr>
        <a:solidFill>
          <a:srgbClr val="FFFFFF"/>
        </a:solidFill>
      </c:spPr>
    </c:plotArea>
    <c:plotVisOnly val="1"/>
    <c:dispBlanksAs val="gap"/>
    <c:showDLblsOverMax val="0"/>
  </c:chart>
  <c:spPr/>
  <c:txPr>
    <a:bodyPr/>
    <a:lstStyle/>
    <a:p>
      <a:pPr>
        <a:defRPr sz="1000" b="0" i="0" u="none" strike="noStrike" baseline="0">
          <a:solidFill>
            <a:srgbClr val="000000"/>
          </a:solidFill>
          <a:latin typeface="Times New Roman"/>
          <a:ea typeface="宋体"/>
          <a:cs typeface="Arial"/>
        </a:defRPr>
      </a:pPr>
      <a:endParaRPr lang="zh-CN"/>
    </a:p>
  </c:txPr>
  <c:printSettings>
    <c:headerFooter/>
    <c:pageMargins b="0.75" l="0.7" r="0.7" t="0.75" header="0.3" footer="0.3"/>
    <c:pageSetup/>
  </c:printSettings>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Arial"/>
              </a:defRPr>
            </a:pPr>
            <a:r>
              <a:rPr lang="zh-CN"/>
              <a:t>单位：万元</a:t>
            </a:r>
          </a:p>
        </c:rich>
      </c:tx>
      <c:layout/>
      <c:overlay val="0"/>
      <c:spPr>
        <a:ln>
          <a:noFill/>
        </a:ln>
      </c:spPr>
    </c:title>
    <c:autoTitleDeleted val="1"/>
    <c:plotArea>
      <c:layout/>
      <c:barChart>
        <c:barDir val="col"/>
        <c:grouping val="clustered"/>
        <c:varyColors val="0"/>
        <c:ser>
          <c:idx val="0"/>
          <c:order val="0"/>
          <c:tx>
            <c:strRef>
              <c:f>'Sheet1 (4)'!$B$1</c:f>
              <c:strCache>
                <c:ptCount val="1"/>
                <c:pt idx="0">
                  <c:v>系列 1</c:v>
                </c:pt>
              </c:strCache>
            </c:strRef>
          </c:tx>
          <c:spPr>
            <a:solidFill>
              <a:srgbClr val="F0A22E"/>
            </a:solidFill>
            <a:ln>
              <a:noFill/>
            </a:ln>
          </c:spPr>
          <c:invertIfNegative val="0"/>
          <c:dLbls>
            <c:spPr>
              <a:noFill/>
              <a:ln>
                <a:noFill/>
              </a:ln>
            </c:spPr>
            <c:txPr>
              <a:bodyPr vert="horz"/>
              <a:lstStyle/>
              <a:p>
                <a:pPr>
                  <a:defRPr sz="1000" b="0" i="0" u="none" strike="noStrike" baseline="0">
                    <a:solidFill>
                      <a:srgbClr val="000000"/>
                    </a:solidFill>
                    <a:latin typeface="Times New Roman"/>
                    <a:ea typeface="宋体"/>
                    <a:cs typeface="Arial"/>
                  </a:defRPr>
                </a:pPr>
                <a:endParaRPr lang="zh-CN"/>
              </a:p>
            </c:txPr>
            <c:numFmt formatCode="General" sourceLinked="1"/>
            <c:dLblPos val="outEnd"/>
            <c:showLegendKey val="0"/>
            <c:showVal val="1"/>
            <c:showCatName val="0"/>
            <c:showSerName val="0"/>
            <c:showPercent val="0"/>
            <c:showBubbleSize val="0"/>
            <c:showLeaderLines val="0"/>
          </c:dLbls>
          <c:cat>
            <c:strRef>
              <c:f>'Sheet1 (4)'!$A$2:$A$5</c:f>
              <c:strCache>
                <c:ptCount val="4"/>
                <c:pt idx="0">
                  <c:v>2018年决算收入</c:v>
                </c:pt>
                <c:pt idx="1">
                  <c:v>2018年预算收入</c:v>
                </c:pt>
                <c:pt idx="2">
                  <c:v>2018年决算支出</c:v>
                </c:pt>
                <c:pt idx="3">
                  <c:v>2018年预算支出</c:v>
                </c:pt>
              </c:strCache>
            </c:strRef>
          </c:cat>
          <c:val>
            <c:numRef>
              <c:f>'Sheet1 (4)'!$B$2:$B$5</c:f>
              <c:numCache>
                <c:formatCode>General</c:formatCode>
                <c:ptCount val="4"/>
                <c:pt idx="0">
                  <c:v>119.19</c:v>
                </c:pt>
                <c:pt idx="1">
                  <c:v>119.19</c:v>
                </c:pt>
                <c:pt idx="2">
                  <c:v>112.4</c:v>
                </c:pt>
                <c:pt idx="3">
                  <c:v>119.19</c:v>
                </c:pt>
              </c:numCache>
            </c:numRef>
          </c:val>
        </c:ser>
        <c:gapWidth val="150"/>
        <c:axId val="0"/>
        <c:axId val="1"/>
      </c:barChart>
      <c:catAx>
        <c:axId val="0"/>
        <c:scaling>
          <c:orientation val="minMax"/>
        </c:scaling>
        <c:delete val="0"/>
        <c:axPos val="b"/>
        <c:numFmt formatCode="General" sourceLinked="1"/>
        <c:majorTickMark val="out"/>
        <c:minorTickMark val="none"/>
        <c:tickLblPos val="nextTo"/>
        <c:txPr>
          <a:bodyPr/>
          <a:lstStyle/>
          <a:p>
            <a:pPr>
              <a:defRPr sz="1000" b="0" i="0" u="none" strike="noStrike" baseline="0">
                <a:solidFill>
                  <a:srgbClr val="000000"/>
                </a:solidFill>
                <a:latin typeface="Times New Roman"/>
                <a:ea typeface="宋体"/>
                <a:cs typeface="Arial"/>
              </a:defRPr>
            </a:pPr>
            <a:endParaRPr lang="zh-CN"/>
          </a:p>
        </c:txPr>
        <c:crosses val="autoZero"/>
        <c:auto val="1"/>
        <c:lblOffset val="100"/>
        <c:lblAlgn val="ctr"/>
        <c:noMultiLvlLbl val="0"/>
        <c:crossAx val="1"/>
      </c:catAx>
      <c:valAx>
        <c:axId val="1"/>
        <c:scaling>
          <c:orientation val="minMax"/>
        </c:scaling>
        <c:delete val="0"/>
        <c:axPos val="l"/>
        <c:majorGridlines/>
        <c:numFmt formatCode="General" sourceLinked="1"/>
        <c:majorTickMark val="out"/>
        <c:minorTickMark val="none"/>
        <c:tickLblPos val="nextTo"/>
        <c:txPr>
          <a:bodyPr/>
          <a:lstStyle/>
          <a:p>
            <a:pPr>
              <a:defRPr sz="1000" b="0" i="0" u="none" strike="noStrike" baseline="0">
                <a:solidFill>
                  <a:srgbClr val="000000"/>
                </a:solidFill>
                <a:latin typeface="Times New Roman"/>
                <a:ea typeface="宋体"/>
                <a:cs typeface="Arial"/>
              </a:defRPr>
            </a:pPr>
            <a:endParaRPr lang="zh-CN"/>
          </a:p>
        </c:txPr>
        <c:crossesAt val="1.0"/>
        <c:crossBetween val="between"/>
        <c:crossAx val="0"/>
      </c:valAx>
      <c:spPr>
        <a:solidFill>
          <a:srgbClr val="FFFFFF"/>
        </a:solidFill>
      </c:spPr>
    </c:plotArea>
    <c:plotVisOnly val="1"/>
    <c:dispBlanksAs val="gap"/>
    <c:showDLblsOverMax val="0"/>
  </c:chart>
  <c:spPr/>
  <c:txPr>
    <a:bodyPr/>
    <a:lstStyle/>
    <a:p>
      <a:pPr>
        <a:defRPr sz="1000" b="0" i="0" u="none" strike="noStrike" baseline="0">
          <a:solidFill>
            <a:srgbClr val="000000"/>
          </a:solidFill>
          <a:latin typeface="Times New Roman"/>
          <a:ea typeface="宋体"/>
          <a:cs typeface="Arial"/>
        </a:defRPr>
      </a:pPr>
      <a:endParaRPr lang="zh-CN"/>
    </a:p>
  </c:txPr>
  <c:printSettings>
    <c:headerFooter/>
    <c:pageMargins b="0.75" l="0.7" r="0.7" t="0.75" header="0.3" footer="0.3"/>
    <c:pageSetup/>
  </c:printSettings>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 (5)'!$B$1</c:f>
              <c:strCache>
                <c:ptCount val="1"/>
                <c:pt idx="0">
                  <c:v>销售额</c:v>
                </c:pt>
              </c:strCache>
            </c:strRef>
          </c:tx>
          <c:spPr>
            <a:ln>
              <a:noFill/>
            </a:ln>
          </c:spPr>
          <c:dPt>
            <c:idx val="0"/>
            <c:bubble3D val="0"/>
            <c:spPr>
              <a:solidFill>
                <a:srgbClr val="F0A22E"/>
              </a:solidFill>
            </c:spPr>
          </c:dPt>
          <c:dPt>
            <c:idx val="1"/>
            <c:bubble3D val="0"/>
            <c:spPr>
              <a:solidFill>
                <a:srgbClr val="A5644E"/>
              </a:solidFill>
            </c:spPr>
          </c:dPt>
          <c:dPt>
            <c:idx val="2"/>
            <c:bubble3D val="0"/>
            <c:spPr>
              <a:solidFill>
                <a:srgbClr val="B58B80"/>
              </a:solidFill>
            </c:spPr>
          </c:dPt>
          <c:dLbls>
            <c:spPr>
              <a:noFill/>
              <a:ln>
                <a:noFill/>
              </a:ln>
            </c:spPr>
            <c:txPr>
              <a:bodyPr vert="horz"/>
              <a:lstStyle/>
              <a:p>
                <a:pPr>
                  <a:defRPr sz="1000" b="0" i="0" u="none" strike="noStrike" baseline="0">
                    <a:solidFill>
                      <a:srgbClr val="000000"/>
                    </a:solidFill>
                    <a:latin typeface="Times New Roman"/>
                    <a:ea typeface="宋体"/>
                    <a:cs typeface="Arial"/>
                  </a:defRPr>
                </a:pPr>
                <a:endParaRPr lang="zh-CN"/>
              </a:p>
            </c:txPr>
            <c:numFmt formatCode="0.00%" sourceLinked="1"/>
            <c:showLegendKey val="0"/>
            <c:showVal val="1"/>
            <c:showCatName val="0"/>
            <c:showSerName val="0"/>
            <c:showPercent val="0"/>
            <c:showBubbleSize val="0"/>
            <c:showLeaderLines val="1"/>
          </c:dLbls>
          <c:cat>
            <c:strRef>
              <c:f>'Sheet1 (5)'!$A$2:$A$4</c:f>
              <c:strCache>
                <c:ptCount val="3"/>
                <c:pt idx="0">
                  <c:v>一般公共服务（类）</c:v>
                </c:pt>
                <c:pt idx="1">
                  <c:v>社会保障和就业（类）</c:v>
                </c:pt>
                <c:pt idx="2">
                  <c:v>医疗卫生与计划生育</c:v>
                </c:pt>
              </c:strCache>
            </c:strRef>
          </c:cat>
          <c:val>
            <c:numRef>
              <c:f>'Sheet1 (5)'!$B$2:$B$4</c:f>
              <c:numCache>
                <c:formatCode>0.00%</c:formatCode>
                <c:ptCount val="3"/>
                <c:pt idx="0">
                  <c:v>0.9037</c:v>
                </c:pt>
                <c:pt idx="1">
                  <c:v>0.0649</c:v>
                </c:pt>
                <c:pt idx="2">
                  <c:v>0.0314</c:v>
                </c:pt>
              </c:numCache>
            </c:numRef>
          </c:val>
        </c:ser>
        <c:firstSliceAng val="0"/>
      </c:pieChart>
      <c:spPr>
        <a:noFill/>
      </c:spPr>
    </c:plotArea>
    <c:legend>
      <c:legendPos val="r"/>
      <c:layout/>
      <c:overlay val="0"/>
      <c:spPr>
        <a:noFill/>
        <a:ln>
          <a:noFill/>
        </a:ln>
      </c:spPr>
      <c:txPr>
        <a:bodyPr/>
        <a:lstStyle/>
        <a:p>
          <a:pPr>
            <a:defRPr sz="1000" b="0" i="0" u="none" strike="noStrike" baseline="0">
              <a:solidFill>
                <a:srgbClr val="000000"/>
              </a:solidFill>
              <a:latin typeface="Times New Roman"/>
              <a:ea typeface="宋体"/>
              <a:cs typeface="Arial"/>
            </a:defRPr>
          </a:pPr>
          <a:endParaRPr lang="zh-CN"/>
        </a:p>
      </c:txPr>
    </c:legend>
    <c:plotVisOnly val="1"/>
    <c:dispBlanksAs val="zero"/>
    <c:showDLblsOverMax val="0"/>
  </c:chart>
  <c:spPr/>
  <c:txPr>
    <a:bodyPr/>
    <a:lstStyle/>
    <a:p>
      <a:pPr>
        <a:defRPr sz="1000" b="0" i="0" u="none" strike="noStrike" baseline="0">
          <a:solidFill>
            <a:srgbClr val="000000"/>
          </a:solidFill>
          <a:latin typeface="Times New Roman"/>
          <a:ea typeface="宋体"/>
          <a:cs typeface="Arial"/>
        </a:defRPr>
      </a:pPr>
      <a:endParaRPr lang="zh-CN"/>
    </a:p>
  </c:txPr>
  <c:printSettings>
    <c:headerFooter/>
    <c:pageMargins b="0.75" l="0.7" r="0.7" t="0.75" header="0.3" footer="0.3"/>
    <c:pageSetup/>
  </c:printSettings>
  <c:externalData r:id="rId1">
    <c:autoUpdate val="0"/>
  </c:externalData>
</c:chartSpace>
</file>

<file path=docProps/app.xml><?xml version="1.0" encoding="utf-8"?>
<Properties xmlns="http://schemas.openxmlformats.org/officeDocument/2006/extended-properties">
  <Template>Normal.eit</Template>
  <TotalTime>30</TotalTime>
  <Application>Yozo_Office27021597764231179</Application>
  <Pages>20</Pages>
  <Words>4726</Words>
  <Characters>5055</Characters>
  <Lines>312</Lines>
  <Paragraphs>119</Paragraphs>
  <CharactersWithSpaces>5097</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2017年度部门决算</dc:title>
  <dc:subject>石家庄市xxx部门</dc:subject>
  <dc:creator>User</dc:creator>
  <cp:lastModifiedBy>dccz</cp:lastModifiedBy>
  <cp:revision>36</cp:revision>
  <cp:lastPrinted>2019-09-27T00:42:00Z</cp:lastPrinted>
  <dcterms:created xsi:type="dcterms:W3CDTF">2019-09-26T01:09:00Z</dcterms:created>
  <dcterms:modified xsi:type="dcterms:W3CDTF">2021-06-01T03:45:41Z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2052-11.1.0.10000</vt:lpwstr>
  </property>
</Properties>
</file>