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7C24" w:rsidRDefault="00737C24">
      <w:pPr>
        <w:widowControl/>
        <w:spacing w:line="1200" w:lineRule="exact"/>
        <w:jc w:val="center"/>
        <w:rPr>
          <w:rFonts w:ascii="黑体" w:eastAsia="黑体"/>
          <w:color w:val="000000"/>
          <w:sz w:val="96"/>
          <w:szCs w:val="96"/>
        </w:rPr>
      </w:pPr>
    </w:p>
    <w:p w:rsidR="00737C24" w:rsidRDefault="00737C24">
      <w:pPr>
        <w:widowControl/>
        <w:spacing w:line="1200" w:lineRule="exact"/>
        <w:jc w:val="center"/>
        <w:rPr>
          <w:rFonts w:ascii="黑体" w:eastAsia="黑体"/>
          <w:color w:val="000000"/>
          <w:sz w:val="96"/>
          <w:szCs w:val="96"/>
        </w:rPr>
      </w:pPr>
    </w:p>
    <w:p w:rsidR="00737C24" w:rsidRDefault="00E5420A">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737C24" w:rsidRDefault="00737C24">
      <w:pPr>
        <w:widowControl/>
        <w:jc w:val="center"/>
        <w:rPr>
          <w:rFonts w:ascii="黑体" w:eastAsia="黑体"/>
          <w:color w:val="002060"/>
          <w:sz w:val="72"/>
          <w:szCs w:val="72"/>
        </w:rPr>
      </w:pPr>
    </w:p>
    <w:p w:rsidR="00737C24" w:rsidRDefault="00737C24">
      <w:pPr>
        <w:widowControl/>
        <w:jc w:val="center"/>
        <w:rPr>
          <w:rFonts w:ascii="黑体" w:eastAsia="黑体"/>
          <w:b/>
          <w:sz w:val="72"/>
          <w:szCs w:val="72"/>
        </w:rPr>
      </w:pPr>
    </w:p>
    <w:p w:rsidR="00737C24" w:rsidRDefault="00737C24">
      <w:pPr>
        <w:widowControl/>
        <w:jc w:val="center"/>
        <w:rPr>
          <w:rFonts w:ascii="黑体" w:eastAsia="黑体"/>
          <w:b/>
          <w:sz w:val="72"/>
          <w:szCs w:val="72"/>
        </w:rPr>
      </w:pPr>
    </w:p>
    <w:p w:rsidR="00737C24" w:rsidRDefault="00737C24">
      <w:pPr>
        <w:widowControl/>
        <w:jc w:val="center"/>
        <w:rPr>
          <w:rFonts w:ascii="黑体" w:eastAsia="黑体"/>
          <w:b/>
          <w:sz w:val="72"/>
          <w:szCs w:val="72"/>
        </w:rPr>
      </w:pPr>
    </w:p>
    <w:p w:rsidR="00737C24" w:rsidRDefault="00737C24">
      <w:pPr>
        <w:widowControl/>
        <w:jc w:val="center"/>
        <w:rPr>
          <w:rFonts w:ascii="黑体" w:eastAsia="黑体"/>
          <w:b/>
          <w:sz w:val="72"/>
          <w:szCs w:val="72"/>
        </w:rPr>
      </w:pPr>
    </w:p>
    <w:p w:rsidR="00737C24" w:rsidRDefault="00737C24">
      <w:pPr>
        <w:widowControl/>
        <w:jc w:val="center"/>
        <w:rPr>
          <w:rFonts w:ascii="黑体" w:eastAsia="黑体"/>
          <w:b/>
          <w:sz w:val="72"/>
          <w:szCs w:val="72"/>
        </w:rPr>
      </w:pPr>
    </w:p>
    <w:p w:rsidR="00737C24" w:rsidRDefault="00E5420A" w:rsidP="00737C24">
      <w:pPr>
        <w:widowControl/>
        <w:ind w:firstLineChars="650" w:firstLine="2871"/>
        <w:rPr>
          <w:rFonts w:ascii="楷体" w:eastAsia="楷体" w:cs="楷体"/>
          <w:b/>
          <w:sz w:val="44"/>
          <w:szCs w:val="44"/>
        </w:rPr>
        <w:sectPr w:rsidR="00737C24">
          <w:footerReference w:type="default" r:id="rId7"/>
          <w:pgSz w:w="11906" w:h="16838"/>
          <w:pgMar w:top="2098" w:right="1474" w:bottom="1985" w:left="1588" w:header="851" w:footer="217" w:gutter="0"/>
          <w:cols w:space="720"/>
          <w:docGrid w:type="lines" w:linePitch="312"/>
        </w:sectPr>
      </w:pPr>
      <w:r>
        <w:rPr>
          <w:rFonts w:hint="eastAsia"/>
          <w:b/>
          <w:sz w:val="44"/>
          <w:szCs w:val="44"/>
        </w:rPr>
        <w:t>大城县统计局</w:t>
      </w:r>
    </w:p>
    <w:p w:rsidR="00737C24" w:rsidRDefault="00E5420A" w:rsidP="00737C24">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rsidR="00737C24" w:rsidRDefault="00737C24">
      <w:pPr>
        <w:widowControl/>
        <w:spacing w:line="580" w:lineRule="exact"/>
        <w:ind w:firstLineChars="200" w:firstLine="640"/>
        <w:rPr>
          <w:rFonts w:eastAsia="黑体"/>
          <w:sz w:val="32"/>
          <w:szCs w:val="32"/>
        </w:rPr>
      </w:pPr>
    </w:p>
    <w:p w:rsidR="00737C24" w:rsidRDefault="00E5420A">
      <w:pPr>
        <w:widowControl/>
        <w:spacing w:before="167" w:line="584"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一、大城县统计局概况</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（一）部门职责</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（二）机构设置</w:t>
      </w:r>
    </w:p>
    <w:p w:rsidR="00737C24" w:rsidRDefault="00E5420A">
      <w:pPr>
        <w:widowControl/>
        <w:spacing w:before="167" w:line="584"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二、大城县统计局</w:t>
      </w:r>
      <w:r>
        <w:rPr>
          <w:rFonts w:ascii="Verdana" w:hAnsi="Verdana" w:cs="宋体"/>
          <w:color w:val="484747"/>
          <w:kern w:val="0"/>
          <w:sz w:val="32"/>
          <w:szCs w:val="32"/>
        </w:rPr>
        <w:t>201</w:t>
      </w:r>
      <w:r>
        <w:rPr>
          <w:rFonts w:ascii="Verdana" w:hAnsi="Verdana" w:cs="宋体" w:hint="eastAsia"/>
          <w:color w:val="484747"/>
          <w:kern w:val="0"/>
          <w:sz w:val="32"/>
          <w:szCs w:val="32"/>
        </w:rPr>
        <w:t>8</w:t>
      </w:r>
      <w:r>
        <w:rPr>
          <w:rFonts w:ascii="Verdana" w:hAnsi="Verdana" w:cs="宋体"/>
          <w:color w:val="484747"/>
          <w:kern w:val="0"/>
          <w:sz w:val="32"/>
          <w:szCs w:val="32"/>
        </w:rPr>
        <w:t>年度部门决算报表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（一）收入支出决算总表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（二）收入决算表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（三）支出决算表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（四）财政拨款收入支出决算总表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（五）一般公共预算财政拨款支出决算表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（六）一般公共预算财政拨款基本支出决算表</w:t>
      </w:r>
    </w:p>
    <w:p w:rsidR="00737C24" w:rsidRDefault="00E5420A">
      <w:pPr>
        <w:widowControl/>
        <w:spacing w:before="167" w:line="584" w:lineRule="atLeast"/>
        <w:ind w:firstLine="1280"/>
        <w:jc w:val="left"/>
        <w:rPr>
          <w:rFonts w:ascii="Verdana" w:hAnsi="Verdana" w:cs="宋体"/>
          <w:color w:val="484747"/>
          <w:kern w:val="0"/>
          <w:sz w:val="23"/>
          <w:szCs w:val="23"/>
        </w:rPr>
      </w:pPr>
      <w:r>
        <w:rPr>
          <w:rFonts w:ascii="Verdana" w:hAnsi="Verdana" w:cs="宋体"/>
          <w:color w:val="484747"/>
          <w:kern w:val="0"/>
          <w:sz w:val="32"/>
          <w:szCs w:val="32"/>
        </w:rPr>
        <w:t>（七）政府性基金预算财政拨款收入支出决算表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（八）国有资本经营预算财政拨款支出决算表</w:t>
      </w:r>
    </w:p>
    <w:p w:rsidR="00737C24" w:rsidRDefault="00E5420A">
      <w:pPr>
        <w:widowControl/>
        <w:spacing w:before="167" w:line="584" w:lineRule="atLeast"/>
        <w:ind w:firstLine="1280"/>
        <w:jc w:val="left"/>
        <w:rPr>
          <w:rFonts w:ascii="Verdana" w:hAnsi="Verdana" w:cs="宋体"/>
          <w:color w:val="484747"/>
          <w:kern w:val="0"/>
          <w:sz w:val="23"/>
          <w:szCs w:val="23"/>
        </w:rPr>
      </w:pPr>
      <w:r>
        <w:rPr>
          <w:rFonts w:ascii="Verdana" w:hAnsi="Verdana" w:cs="宋体"/>
          <w:color w:val="484747"/>
          <w:kern w:val="0"/>
          <w:sz w:val="32"/>
          <w:szCs w:val="32"/>
        </w:rPr>
        <w:t>（九）</w:t>
      </w:r>
      <w:r>
        <w:rPr>
          <w:rFonts w:ascii="Verdana" w:hAnsi="Verdana" w:cs="宋体"/>
          <w:color w:val="484747"/>
          <w:kern w:val="0"/>
          <w:sz w:val="32"/>
          <w:szCs w:val="32"/>
        </w:rPr>
        <w:t>“</w:t>
      </w:r>
      <w:r>
        <w:rPr>
          <w:rFonts w:ascii="Verdana" w:hAnsi="Verdana" w:cs="宋体"/>
          <w:color w:val="484747"/>
          <w:kern w:val="0"/>
          <w:sz w:val="32"/>
          <w:szCs w:val="32"/>
        </w:rPr>
        <w:t>三公</w:t>
      </w:r>
      <w:r>
        <w:rPr>
          <w:rFonts w:ascii="Verdana" w:hAnsi="Verdana" w:cs="宋体"/>
          <w:color w:val="484747"/>
          <w:kern w:val="0"/>
          <w:sz w:val="32"/>
          <w:szCs w:val="32"/>
        </w:rPr>
        <w:t>”</w:t>
      </w:r>
      <w:r>
        <w:rPr>
          <w:rFonts w:ascii="Verdana" w:hAnsi="Verdana" w:cs="宋体"/>
          <w:color w:val="484747"/>
          <w:kern w:val="0"/>
          <w:sz w:val="32"/>
          <w:szCs w:val="32"/>
        </w:rPr>
        <w:t>经费及相关信息统计表</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lastRenderedPageBreak/>
        <w:t>（十）政府采购情况表</w:t>
      </w:r>
    </w:p>
    <w:p w:rsidR="00737C24" w:rsidRDefault="00E5420A">
      <w:pPr>
        <w:widowControl/>
        <w:spacing w:before="167" w:line="584"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三、</w:t>
      </w:r>
      <w:r>
        <w:rPr>
          <w:rFonts w:ascii="Verdana" w:hAnsi="Verdana" w:cs="宋体"/>
          <w:color w:val="484747"/>
          <w:kern w:val="0"/>
          <w:sz w:val="23"/>
          <w:szCs w:val="23"/>
        </w:rPr>
        <w:t> </w:t>
      </w:r>
      <w:r>
        <w:rPr>
          <w:rFonts w:ascii="Verdana" w:hAnsi="Verdana" w:cs="宋体"/>
          <w:color w:val="484747"/>
          <w:kern w:val="0"/>
          <w:sz w:val="32"/>
          <w:szCs w:val="32"/>
        </w:rPr>
        <w:t>大城县统计局</w:t>
      </w:r>
      <w:r>
        <w:rPr>
          <w:rFonts w:ascii="Verdana" w:hAnsi="Verdana" w:cs="宋体"/>
          <w:color w:val="484747"/>
          <w:kern w:val="0"/>
          <w:sz w:val="32"/>
          <w:szCs w:val="32"/>
        </w:rPr>
        <w:t>201</w:t>
      </w:r>
      <w:r>
        <w:rPr>
          <w:rFonts w:ascii="Verdana" w:hAnsi="Verdana" w:cs="宋体" w:hint="eastAsia"/>
          <w:color w:val="484747"/>
          <w:kern w:val="0"/>
          <w:sz w:val="32"/>
          <w:szCs w:val="32"/>
        </w:rPr>
        <w:t>8</w:t>
      </w:r>
      <w:r>
        <w:rPr>
          <w:rFonts w:ascii="Verdana" w:hAnsi="Verdana" w:cs="宋体"/>
          <w:color w:val="484747"/>
          <w:kern w:val="0"/>
          <w:sz w:val="32"/>
          <w:szCs w:val="32"/>
        </w:rPr>
        <w:t>年度部门决算情况说明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（一）收入支出决算总体情况说明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（二）收入决算情况说明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（三）支出决算情况说明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（四）财政拨款收入支出决算总体情况说明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（五）</w:t>
      </w:r>
      <w:r>
        <w:rPr>
          <w:rFonts w:ascii="Verdana" w:hAnsi="Verdana" w:cs="宋体"/>
          <w:color w:val="484747"/>
          <w:kern w:val="0"/>
          <w:sz w:val="32"/>
          <w:szCs w:val="32"/>
        </w:rPr>
        <w:t>“</w:t>
      </w:r>
      <w:r>
        <w:rPr>
          <w:rFonts w:ascii="Verdana" w:hAnsi="Verdana" w:cs="宋体"/>
          <w:color w:val="484747"/>
          <w:kern w:val="0"/>
          <w:sz w:val="32"/>
          <w:szCs w:val="32"/>
        </w:rPr>
        <w:t>三公</w:t>
      </w:r>
      <w:r>
        <w:rPr>
          <w:rFonts w:ascii="Verdana" w:hAnsi="Verdana" w:cs="宋体"/>
          <w:color w:val="484747"/>
          <w:kern w:val="0"/>
          <w:sz w:val="32"/>
          <w:szCs w:val="32"/>
        </w:rPr>
        <w:t>”</w:t>
      </w:r>
      <w:r>
        <w:rPr>
          <w:rFonts w:ascii="Verdana" w:hAnsi="Verdana" w:cs="宋体"/>
          <w:color w:val="484747"/>
          <w:kern w:val="0"/>
          <w:sz w:val="32"/>
          <w:szCs w:val="32"/>
        </w:rPr>
        <w:t>经费支出决算情况说明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（六）机关运行经费的支出情况的说明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（七）绩效预算信息</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（八）政府采购情况的说明</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（九）国有资产信息</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（十）其他需要说明的</w:t>
      </w:r>
      <w:r>
        <w:rPr>
          <w:rFonts w:ascii="Verdana" w:hAnsi="Verdana" w:cs="宋体"/>
          <w:color w:val="484747"/>
          <w:kern w:val="0"/>
          <w:sz w:val="32"/>
          <w:szCs w:val="32"/>
        </w:rPr>
        <w:t>情况（</w:t>
      </w:r>
      <w:r>
        <w:rPr>
          <w:rFonts w:ascii="Verdana" w:hAnsi="Verdana" w:cs="宋体"/>
          <w:color w:val="3E3E3E"/>
          <w:kern w:val="0"/>
          <w:sz w:val="32"/>
          <w:szCs w:val="32"/>
        </w:rPr>
        <w:t>没有注明：无其他需要说明的情况</w:t>
      </w:r>
      <w:r>
        <w:rPr>
          <w:rFonts w:ascii="Verdana" w:hAnsi="Verdana" w:cs="宋体"/>
          <w:color w:val="484747"/>
          <w:kern w:val="0"/>
          <w:sz w:val="32"/>
          <w:szCs w:val="32"/>
        </w:rPr>
        <w:t>）</w:t>
      </w:r>
    </w:p>
    <w:p w:rsidR="00737C24" w:rsidRDefault="00E5420A">
      <w:pPr>
        <w:widowControl/>
        <w:spacing w:before="167" w:line="584" w:lineRule="atLeast"/>
        <w:ind w:firstLine="1273"/>
        <w:jc w:val="left"/>
        <w:rPr>
          <w:rFonts w:ascii="Verdana" w:hAnsi="Verdana" w:cs="宋体"/>
          <w:color w:val="484747"/>
          <w:kern w:val="0"/>
          <w:sz w:val="23"/>
          <w:szCs w:val="23"/>
        </w:rPr>
      </w:pPr>
      <w:r>
        <w:rPr>
          <w:rFonts w:ascii="Verdana" w:hAnsi="Verdana" w:cs="宋体"/>
          <w:color w:val="484747"/>
          <w:kern w:val="0"/>
          <w:sz w:val="32"/>
          <w:szCs w:val="32"/>
        </w:rPr>
        <w:t>四、名词解释</w:t>
      </w:r>
    </w:p>
    <w:p w:rsidR="00737C24" w:rsidRDefault="00E5420A">
      <w:pPr>
        <w:widowControl/>
        <w:spacing w:before="167" w:line="584" w:lineRule="atLeast"/>
        <w:ind w:firstLine="633"/>
        <w:jc w:val="left"/>
        <w:rPr>
          <w:rFonts w:ascii="Verdana" w:hAnsi="Verdana" w:cs="宋体"/>
          <w:color w:val="484747"/>
          <w:kern w:val="0"/>
          <w:sz w:val="32"/>
          <w:szCs w:val="32"/>
        </w:rPr>
      </w:pPr>
      <w:r>
        <w:rPr>
          <w:rFonts w:ascii="Verdana" w:hAnsi="Verdana" w:cs="宋体"/>
          <w:color w:val="484747"/>
          <w:kern w:val="0"/>
          <w:sz w:val="32"/>
          <w:szCs w:val="32"/>
        </w:rPr>
        <w:t>对专业性较强的名词进行解释（比如：一般公共预算财政拨款收入、事业收入、基本支出、项目支出等）</w:t>
      </w:r>
    </w:p>
    <w:p w:rsidR="00737C24" w:rsidRDefault="00737C24">
      <w:pPr>
        <w:widowControl/>
        <w:spacing w:line="580" w:lineRule="exact"/>
        <w:ind w:firstLineChars="200" w:firstLine="640"/>
        <w:rPr>
          <w:rFonts w:eastAsia="黑体"/>
          <w:sz w:val="32"/>
          <w:szCs w:val="32"/>
        </w:rPr>
      </w:pPr>
    </w:p>
    <w:p w:rsidR="00737C24" w:rsidRDefault="00737C24"/>
    <w:p w:rsidR="00737C24" w:rsidRDefault="00737C24">
      <w:pPr>
        <w:widowControl/>
        <w:jc w:val="center"/>
        <w:rPr>
          <w:rFonts w:ascii="黑体" w:eastAsia="黑体"/>
          <w:color w:val="000000"/>
          <w:sz w:val="96"/>
          <w:szCs w:val="96"/>
        </w:rPr>
      </w:pPr>
    </w:p>
    <w:p w:rsidR="00737C24" w:rsidRDefault="00737C24">
      <w:pPr>
        <w:widowControl/>
        <w:jc w:val="center"/>
        <w:rPr>
          <w:rFonts w:ascii="黑体" w:eastAsia="黑体"/>
          <w:color w:val="000000"/>
          <w:sz w:val="96"/>
          <w:szCs w:val="96"/>
        </w:rPr>
      </w:pPr>
    </w:p>
    <w:p w:rsidR="00737C24" w:rsidRDefault="00737C24">
      <w:pPr>
        <w:widowControl/>
        <w:jc w:val="center"/>
        <w:rPr>
          <w:rFonts w:ascii="黑体" w:eastAsia="黑体"/>
          <w:color w:val="000000"/>
          <w:sz w:val="96"/>
          <w:szCs w:val="96"/>
        </w:rPr>
      </w:pPr>
    </w:p>
    <w:p w:rsidR="00737C24" w:rsidRDefault="00E5420A">
      <w:pPr>
        <w:widowControl/>
        <w:jc w:val="center"/>
        <w:rPr>
          <w:rFonts w:ascii="黑体" w:eastAsia="黑体"/>
          <w:color w:val="000000"/>
          <w:sz w:val="96"/>
          <w:szCs w:val="96"/>
        </w:rPr>
      </w:pPr>
      <w:r>
        <w:rPr>
          <w:rFonts w:ascii="黑体" w:eastAsia="黑体" w:hint="eastAsia"/>
          <w:color w:val="000000"/>
          <w:sz w:val="96"/>
          <w:szCs w:val="96"/>
        </w:rPr>
        <w:t>第一部分</w:t>
      </w:r>
      <w:r>
        <w:rPr>
          <w:rFonts w:ascii="黑体" w:eastAsia="黑体" w:hint="eastAsia"/>
          <w:color w:val="000000"/>
          <w:sz w:val="96"/>
          <w:szCs w:val="96"/>
        </w:rPr>
        <w:t xml:space="preserve">  </w:t>
      </w:r>
      <w:r>
        <w:rPr>
          <w:rFonts w:ascii="黑体" w:eastAsia="黑体" w:hint="eastAsia"/>
          <w:color w:val="000000"/>
          <w:sz w:val="96"/>
          <w:szCs w:val="96"/>
        </w:rPr>
        <w:t>部门概况</w:t>
      </w:r>
    </w:p>
    <w:p w:rsidR="00737C24" w:rsidRDefault="00737C24">
      <w:pPr>
        <w:widowControl/>
        <w:jc w:val="center"/>
        <w:rPr>
          <w:rFonts w:ascii="黑体" w:eastAsia="黑体"/>
          <w:color w:val="000000"/>
          <w:sz w:val="96"/>
          <w:szCs w:val="96"/>
        </w:rPr>
      </w:pPr>
    </w:p>
    <w:p w:rsidR="00737C24" w:rsidRDefault="00737C24">
      <w:pPr>
        <w:widowControl/>
        <w:jc w:val="center"/>
        <w:rPr>
          <w:rFonts w:ascii="黑体" w:eastAsia="黑体"/>
          <w:color w:val="000000"/>
          <w:sz w:val="96"/>
          <w:szCs w:val="96"/>
        </w:rPr>
      </w:pPr>
    </w:p>
    <w:p w:rsidR="00737C24" w:rsidRDefault="00737C24">
      <w:pPr>
        <w:widowControl/>
        <w:jc w:val="center"/>
        <w:rPr>
          <w:rFonts w:ascii="黑体" w:eastAsia="黑体"/>
          <w:color w:val="000000"/>
          <w:sz w:val="96"/>
          <w:szCs w:val="96"/>
        </w:rPr>
      </w:pPr>
    </w:p>
    <w:p w:rsidR="00737C24" w:rsidRDefault="00737C24">
      <w:pPr>
        <w:widowControl/>
        <w:jc w:val="center"/>
        <w:rPr>
          <w:color w:val="000000"/>
          <w:sz w:val="96"/>
          <w:szCs w:val="96"/>
        </w:rPr>
      </w:pPr>
    </w:p>
    <w:p w:rsidR="00737C24" w:rsidRDefault="00E5420A">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县统计局是县政府主管全县综合统计和国民经济核算工作的职能部门。统计工作必须适应建立社会主义市场经济体制和改革开放的要求，及时、准确、全面地反映国民经济运行态势，科学地剖析宏观经济中各种错综复杂的关系，并揭示其发展变化规律，适时向宏观决策者、管理者提供优质、高效的信息和咨询，并对国民经济运行实施严格有效的监督。其主要职责是：</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1</w:t>
      </w:r>
      <w:r>
        <w:rPr>
          <w:rFonts w:ascii="Verdana" w:hAnsi="Verdana" w:cs="宋体"/>
          <w:color w:val="484747"/>
          <w:kern w:val="0"/>
          <w:sz w:val="32"/>
          <w:szCs w:val="32"/>
        </w:rPr>
        <w:t>、依照国家、省、市颁布的法律、法规、政策和计划，制定地方性统计工作规章制度和实施方案，检查监督统计法律、法规的实施。</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2</w:t>
      </w:r>
      <w:r>
        <w:rPr>
          <w:rFonts w:ascii="Verdana" w:hAnsi="Verdana" w:cs="宋体"/>
          <w:color w:val="484747"/>
          <w:kern w:val="0"/>
          <w:sz w:val="32"/>
          <w:szCs w:val="32"/>
        </w:rPr>
        <w:t>、制定地方统计调查制度，组织领导协调全县各乡镇、各部门的统计工作</w:t>
      </w:r>
      <w:r>
        <w:rPr>
          <w:rFonts w:ascii="Verdana" w:hAnsi="Verdana" w:cs="宋体"/>
          <w:color w:val="484747"/>
          <w:kern w:val="0"/>
          <w:sz w:val="32"/>
          <w:szCs w:val="32"/>
        </w:rPr>
        <w:t>，定期完成省、市下达的</w:t>
      </w:r>
      <w:r>
        <w:rPr>
          <w:rFonts w:ascii="Verdana" w:hAnsi="Verdana" w:cs="宋体"/>
          <w:color w:val="484747"/>
          <w:kern w:val="0"/>
          <w:sz w:val="32"/>
          <w:szCs w:val="32"/>
        </w:rPr>
        <w:t>33</w:t>
      </w:r>
      <w:r>
        <w:rPr>
          <w:rFonts w:ascii="Verdana" w:hAnsi="Verdana" w:cs="宋体"/>
          <w:color w:val="484747"/>
          <w:kern w:val="0"/>
          <w:sz w:val="32"/>
          <w:szCs w:val="32"/>
        </w:rPr>
        <w:t>个专业（投资、房地产、建筑业、贸易、服务业、计算站、劳动、科技、社会、住户、产量抽样、农村信息、农林牧渔、产业化、产量、县卡、乡卡、城镇住户、综合、</w:t>
      </w:r>
      <w:r>
        <w:rPr>
          <w:rFonts w:ascii="Verdana" w:hAnsi="Verdana" w:cs="宋体"/>
          <w:color w:val="484747"/>
          <w:kern w:val="0"/>
          <w:sz w:val="32"/>
          <w:szCs w:val="32"/>
        </w:rPr>
        <w:t>GDP</w:t>
      </w:r>
      <w:r>
        <w:rPr>
          <w:rFonts w:ascii="Verdana" w:hAnsi="Verdana" w:cs="宋体"/>
          <w:color w:val="484747"/>
          <w:kern w:val="0"/>
          <w:sz w:val="32"/>
          <w:szCs w:val="32"/>
        </w:rPr>
        <w:t>、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lastRenderedPageBreak/>
        <w:t>3</w:t>
      </w:r>
      <w:r>
        <w:rPr>
          <w:rFonts w:ascii="Verdana" w:hAnsi="Verdana" w:cs="宋体"/>
          <w:color w:val="484747"/>
          <w:kern w:val="0"/>
          <w:sz w:val="32"/>
          <w:szCs w:val="32"/>
        </w:rPr>
        <w:t>、贯彻执行国家国民经济核算制度，搞好投入产出调查，核算全县地区生产总值。</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4</w:t>
      </w:r>
      <w:r>
        <w:rPr>
          <w:rFonts w:ascii="Verdana" w:hAnsi="Verdana" w:cs="宋体"/>
          <w:color w:val="484747"/>
          <w:kern w:val="0"/>
          <w:sz w:val="32"/>
          <w:szCs w:val="32"/>
        </w:rPr>
        <w:t>、在县政府的领导下，</w:t>
      </w:r>
      <w:r>
        <w:rPr>
          <w:rFonts w:ascii="Verdana" w:hAnsi="Verdana" w:cs="宋体"/>
          <w:color w:val="484747"/>
          <w:kern w:val="0"/>
          <w:sz w:val="32"/>
          <w:szCs w:val="32"/>
        </w:rPr>
        <w:t>会同有关部门统一领导和组织完成国家、省、市、县的重大国情国力的抽样调查和全面普查。</w:t>
      </w:r>
      <w:r>
        <w:rPr>
          <w:rFonts w:ascii="Verdana" w:hAnsi="Verdana" w:cs="宋体"/>
          <w:color w:val="484747"/>
          <w:kern w:val="0"/>
          <w:sz w:val="32"/>
          <w:szCs w:val="32"/>
        </w:rPr>
        <w:t>2017</w:t>
      </w:r>
      <w:r>
        <w:rPr>
          <w:rFonts w:ascii="Verdana" w:hAnsi="Verdana" w:cs="宋体"/>
          <w:color w:val="484747"/>
          <w:kern w:val="0"/>
          <w:sz w:val="32"/>
          <w:szCs w:val="32"/>
        </w:rPr>
        <w:t>年重点搞好第三次全国农业普查总结和</w:t>
      </w:r>
      <w:r>
        <w:rPr>
          <w:rFonts w:ascii="Verdana" w:hAnsi="Verdana" w:cs="宋体"/>
          <w:color w:val="484747"/>
          <w:kern w:val="0"/>
          <w:sz w:val="32"/>
          <w:szCs w:val="32"/>
        </w:rPr>
        <w:t>RD</w:t>
      </w:r>
      <w:r>
        <w:rPr>
          <w:rFonts w:ascii="Verdana" w:hAnsi="Verdana" w:cs="宋体"/>
          <w:color w:val="484747"/>
          <w:kern w:val="0"/>
          <w:sz w:val="32"/>
          <w:szCs w:val="32"/>
        </w:rPr>
        <w:t>资源清查、人口劳动力调查、养殖大户畜禽调查、对城乡居民生活统计、价格统计、农产量统计、规模以下工业统计、社会消费品零售总额、服务业等行业进行抽样调查。</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5</w:t>
      </w:r>
      <w:r>
        <w:rPr>
          <w:rFonts w:ascii="Verdana" w:hAnsi="Verdana" w:cs="宋体"/>
          <w:color w:val="484747"/>
          <w:kern w:val="0"/>
          <w:sz w:val="32"/>
          <w:szCs w:val="32"/>
        </w:rPr>
        <w:t>、统一核定、管理、公布、出版全县的统计资料，定期发布全县国民经济和社会发展情况统计公报。</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6</w:t>
      </w:r>
      <w:r>
        <w:rPr>
          <w:rFonts w:ascii="Verdana" w:hAnsi="Verdana" w:cs="宋体"/>
          <w:color w:val="484747"/>
          <w:kern w:val="0"/>
          <w:sz w:val="32"/>
          <w:szCs w:val="32"/>
        </w:rPr>
        <w:t>、完成省市交付的城镇</w:t>
      </w:r>
      <w:r>
        <w:rPr>
          <w:rFonts w:ascii="Verdana" w:hAnsi="Verdana" w:cs="宋体"/>
          <w:color w:val="484747"/>
          <w:kern w:val="0"/>
          <w:sz w:val="32"/>
          <w:szCs w:val="32"/>
        </w:rPr>
        <w:t>50</w:t>
      </w:r>
      <w:r>
        <w:rPr>
          <w:rFonts w:ascii="Verdana" w:hAnsi="Verdana" w:cs="宋体"/>
          <w:color w:val="484747"/>
          <w:kern w:val="0"/>
          <w:sz w:val="32"/>
          <w:szCs w:val="32"/>
        </w:rPr>
        <w:t>户、农村</w:t>
      </w:r>
      <w:r>
        <w:rPr>
          <w:rFonts w:ascii="Verdana" w:hAnsi="Verdana" w:cs="宋体"/>
          <w:color w:val="484747"/>
          <w:kern w:val="0"/>
          <w:sz w:val="32"/>
          <w:szCs w:val="32"/>
        </w:rPr>
        <w:t>100</w:t>
      </w:r>
      <w:r>
        <w:rPr>
          <w:rFonts w:ascii="Verdana" w:hAnsi="Verdana" w:cs="宋体"/>
          <w:color w:val="484747"/>
          <w:kern w:val="0"/>
          <w:sz w:val="32"/>
          <w:szCs w:val="32"/>
        </w:rPr>
        <w:t>户的统计调查任务。</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7</w:t>
      </w:r>
      <w:r>
        <w:rPr>
          <w:rFonts w:ascii="Verdana" w:hAnsi="Verdana" w:cs="宋体"/>
          <w:color w:val="484747"/>
          <w:kern w:val="0"/>
          <w:sz w:val="32"/>
          <w:szCs w:val="32"/>
        </w:rPr>
        <w:t>、负责省市对县级领导干部和部门有限目标的主要经济指标考核和统计数字监测任务。</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8</w:t>
      </w:r>
      <w:r>
        <w:rPr>
          <w:rFonts w:ascii="Verdana" w:hAnsi="Verdana" w:cs="宋体"/>
          <w:color w:val="484747"/>
          <w:kern w:val="0"/>
          <w:sz w:val="32"/>
          <w:szCs w:val="32"/>
        </w:rPr>
        <w:t>、负责全县统计业务技术培训的学历教育。加强对乡镇统计站和基层单位的业务指导。开展统计工作和统计科学的学术交流。</w:t>
      </w:r>
    </w:p>
    <w:p w:rsidR="00737C24" w:rsidRDefault="00E5420A">
      <w:pPr>
        <w:widowControl/>
        <w:spacing w:before="167" w:line="420" w:lineRule="atLeast"/>
        <w:ind w:firstLine="640"/>
        <w:jc w:val="left"/>
        <w:rPr>
          <w:rFonts w:ascii="Verdana" w:hAnsi="Verdana" w:cs="宋体"/>
          <w:color w:val="484747"/>
          <w:kern w:val="0"/>
          <w:sz w:val="23"/>
          <w:szCs w:val="23"/>
        </w:rPr>
      </w:pPr>
      <w:r>
        <w:rPr>
          <w:rFonts w:ascii="Verdana" w:hAnsi="Verdana" w:cs="宋体"/>
          <w:color w:val="484747"/>
          <w:kern w:val="0"/>
          <w:sz w:val="32"/>
          <w:szCs w:val="32"/>
        </w:rPr>
        <w:t>9</w:t>
      </w:r>
      <w:r>
        <w:rPr>
          <w:rFonts w:ascii="Verdana" w:hAnsi="Verdana" w:cs="宋体"/>
          <w:color w:val="484747"/>
          <w:kern w:val="0"/>
          <w:sz w:val="32"/>
          <w:szCs w:val="32"/>
        </w:rPr>
        <w:t>、承办县政府交办的其他事项。</w:t>
      </w:r>
    </w:p>
    <w:p w:rsidR="00737C24" w:rsidRDefault="00E5420A">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二、机构设置</w:t>
      </w:r>
    </w:p>
    <w:p w:rsidR="00737C24" w:rsidRDefault="00E5420A">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675"/>
        <w:gridCol w:w="3795"/>
        <w:gridCol w:w="2445"/>
        <w:gridCol w:w="2665"/>
      </w:tblGrid>
      <w:tr w:rsidR="00737C24">
        <w:trPr>
          <w:trHeight w:val="811"/>
        </w:trPr>
        <w:tc>
          <w:tcPr>
            <w:tcW w:w="675" w:type="dxa"/>
            <w:vAlign w:val="center"/>
          </w:tcPr>
          <w:p w:rsidR="00737C24" w:rsidRDefault="00E5420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795" w:type="dxa"/>
            <w:vAlign w:val="center"/>
          </w:tcPr>
          <w:p w:rsidR="00737C24" w:rsidRDefault="00E5420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737C24" w:rsidRDefault="00E5420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737C24" w:rsidRDefault="00E5420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737C24">
        <w:trPr>
          <w:trHeight w:val="596"/>
        </w:trPr>
        <w:tc>
          <w:tcPr>
            <w:tcW w:w="675" w:type="dxa"/>
          </w:tcPr>
          <w:p w:rsidR="00737C24" w:rsidRDefault="00E5420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795" w:type="dxa"/>
          </w:tcPr>
          <w:p w:rsidR="00737C24" w:rsidRDefault="00E5420A">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廊坊市大城县统计局</w:t>
            </w:r>
            <w:r>
              <w:rPr>
                <w:rFonts w:ascii="仿宋_GB2312" w:eastAsia="仿宋_GB2312" w:cs="ArialUnicodeMS" w:hint="eastAsia"/>
                <w:kern w:val="0"/>
                <w:sz w:val="28"/>
                <w:szCs w:val="28"/>
              </w:rPr>
              <w:t>(</w:t>
            </w:r>
            <w:r>
              <w:rPr>
                <w:rFonts w:ascii="仿宋_GB2312" w:eastAsia="仿宋_GB2312" w:cs="ArialUnicodeMS" w:hint="eastAsia"/>
                <w:kern w:val="0"/>
                <w:sz w:val="28"/>
                <w:szCs w:val="28"/>
              </w:rPr>
              <w:t>本级</w:t>
            </w:r>
            <w:r>
              <w:rPr>
                <w:rFonts w:ascii="仿宋_GB2312" w:eastAsia="仿宋_GB2312" w:cs="ArialUnicodeMS" w:hint="eastAsia"/>
                <w:kern w:val="0"/>
                <w:sz w:val="28"/>
                <w:szCs w:val="28"/>
              </w:rPr>
              <w:t>)</w:t>
            </w:r>
          </w:p>
        </w:tc>
        <w:tc>
          <w:tcPr>
            <w:tcW w:w="2445" w:type="dxa"/>
          </w:tcPr>
          <w:p w:rsidR="00737C24" w:rsidRDefault="00E5420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737C24" w:rsidRDefault="00E5420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737C24">
        <w:trPr>
          <w:trHeight w:val="596"/>
        </w:trPr>
        <w:tc>
          <w:tcPr>
            <w:tcW w:w="675" w:type="dxa"/>
          </w:tcPr>
          <w:p w:rsidR="00737C24" w:rsidRDefault="00E5420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3795" w:type="dxa"/>
          </w:tcPr>
          <w:p w:rsidR="00737C24" w:rsidRDefault="00737C24">
            <w:pPr>
              <w:spacing w:after="0" w:line="560" w:lineRule="exact"/>
              <w:rPr>
                <w:rFonts w:ascii="仿宋_GB2312" w:eastAsia="仿宋_GB2312" w:cs="ArialUnicodeMS"/>
                <w:kern w:val="0"/>
                <w:sz w:val="28"/>
                <w:szCs w:val="28"/>
              </w:rPr>
            </w:pPr>
          </w:p>
        </w:tc>
        <w:tc>
          <w:tcPr>
            <w:tcW w:w="2445" w:type="dxa"/>
          </w:tcPr>
          <w:p w:rsidR="00737C24" w:rsidRDefault="00737C24">
            <w:pPr>
              <w:spacing w:after="0" w:line="560" w:lineRule="exact"/>
              <w:jc w:val="center"/>
              <w:rPr>
                <w:rFonts w:ascii="仿宋_GB2312" w:eastAsia="仿宋_GB2312" w:cs="ArialUnicodeMS"/>
                <w:kern w:val="0"/>
                <w:sz w:val="28"/>
                <w:szCs w:val="28"/>
              </w:rPr>
            </w:pPr>
          </w:p>
        </w:tc>
        <w:tc>
          <w:tcPr>
            <w:tcW w:w="2665" w:type="dxa"/>
          </w:tcPr>
          <w:p w:rsidR="00737C24" w:rsidRDefault="00737C24">
            <w:pPr>
              <w:spacing w:after="0" w:line="560" w:lineRule="exact"/>
              <w:jc w:val="center"/>
              <w:rPr>
                <w:rFonts w:ascii="仿宋_GB2312" w:eastAsia="仿宋_GB2312" w:cs="ArialUnicodeMS"/>
                <w:kern w:val="0"/>
                <w:sz w:val="28"/>
                <w:szCs w:val="28"/>
              </w:rPr>
            </w:pPr>
          </w:p>
        </w:tc>
      </w:tr>
      <w:tr w:rsidR="00737C24">
        <w:trPr>
          <w:trHeight w:val="596"/>
        </w:trPr>
        <w:tc>
          <w:tcPr>
            <w:tcW w:w="675" w:type="dxa"/>
          </w:tcPr>
          <w:p w:rsidR="00737C24" w:rsidRDefault="00E5420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3795" w:type="dxa"/>
          </w:tcPr>
          <w:p w:rsidR="00737C24" w:rsidRDefault="00737C24">
            <w:pPr>
              <w:spacing w:after="0" w:line="560" w:lineRule="exact"/>
              <w:rPr>
                <w:rFonts w:ascii="仿宋_GB2312" w:eastAsia="仿宋_GB2312" w:cs="ArialUnicodeMS"/>
                <w:kern w:val="0"/>
                <w:sz w:val="28"/>
                <w:szCs w:val="28"/>
              </w:rPr>
            </w:pPr>
          </w:p>
        </w:tc>
        <w:tc>
          <w:tcPr>
            <w:tcW w:w="2445" w:type="dxa"/>
          </w:tcPr>
          <w:p w:rsidR="00737C24" w:rsidRDefault="00737C24">
            <w:pPr>
              <w:spacing w:after="0" w:line="560" w:lineRule="exact"/>
              <w:jc w:val="center"/>
              <w:rPr>
                <w:rFonts w:ascii="仿宋_GB2312" w:eastAsia="仿宋_GB2312" w:cs="ArialUnicodeMS"/>
                <w:kern w:val="0"/>
                <w:sz w:val="28"/>
                <w:szCs w:val="28"/>
              </w:rPr>
            </w:pPr>
          </w:p>
        </w:tc>
        <w:tc>
          <w:tcPr>
            <w:tcW w:w="2665" w:type="dxa"/>
          </w:tcPr>
          <w:p w:rsidR="00737C24" w:rsidRDefault="00737C24">
            <w:pPr>
              <w:spacing w:after="0" w:line="560" w:lineRule="exact"/>
              <w:jc w:val="center"/>
              <w:rPr>
                <w:rFonts w:ascii="仿宋_GB2312" w:eastAsia="仿宋_GB2312" w:cs="ArialUnicodeMS"/>
                <w:kern w:val="0"/>
                <w:sz w:val="28"/>
                <w:szCs w:val="28"/>
              </w:rPr>
            </w:pPr>
          </w:p>
        </w:tc>
      </w:tr>
      <w:tr w:rsidR="00737C24">
        <w:trPr>
          <w:trHeight w:val="606"/>
        </w:trPr>
        <w:tc>
          <w:tcPr>
            <w:tcW w:w="675" w:type="dxa"/>
            <w:tcBorders>
              <w:bottom w:val="single" w:sz="4" w:space="0" w:color="auto"/>
            </w:tcBorders>
          </w:tcPr>
          <w:p w:rsidR="00737C24" w:rsidRDefault="00737C24">
            <w:pPr>
              <w:spacing w:after="0" w:line="560" w:lineRule="exact"/>
              <w:jc w:val="center"/>
              <w:rPr>
                <w:rFonts w:ascii="仿宋_GB2312" w:eastAsia="仿宋_GB2312" w:cs="ArialUnicodeMS"/>
                <w:kern w:val="0"/>
                <w:sz w:val="28"/>
                <w:szCs w:val="28"/>
              </w:rPr>
            </w:pPr>
          </w:p>
        </w:tc>
        <w:tc>
          <w:tcPr>
            <w:tcW w:w="3795" w:type="dxa"/>
            <w:tcBorders>
              <w:bottom w:val="single" w:sz="4" w:space="0" w:color="auto"/>
            </w:tcBorders>
          </w:tcPr>
          <w:p w:rsidR="00737C24" w:rsidRDefault="00737C24">
            <w:pPr>
              <w:spacing w:after="0" w:line="560" w:lineRule="exact"/>
              <w:rPr>
                <w:rFonts w:ascii="仿宋_GB2312" w:eastAsia="仿宋_GB2312" w:cs="ArialUnicodeMS"/>
                <w:kern w:val="0"/>
                <w:sz w:val="28"/>
                <w:szCs w:val="28"/>
              </w:rPr>
            </w:pPr>
          </w:p>
        </w:tc>
        <w:tc>
          <w:tcPr>
            <w:tcW w:w="2445" w:type="dxa"/>
            <w:tcBorders>
              <w:bottom w:val="single" w:sz="4" w:space="0" w:color="auto"/>
            </w:tcBorders>
          </w:tcPr>
          <w:p w:rsidR="00737C24" w:rsidRDefault="00737C24">
            <w:pPr>
              <w:spacing w:after="0" w:line="560" w:lineRule="exact"/>
              <w:jc w:val="center"/>
              <w:rPr>
                <w:rFonts w:ascii="仿宋_GB2312" w:eastAsia="仿宋_GB2312" w:cs="ArialUnicodeMS"/>
                <w:kern w:val="0"/>
                <w:sz w:val="28"/>
                <w:szCs w:val="28"/>
              </w:rPr>
            </w:pPr>
          </w:p>
        </w:tc>
        <w:tc>
          <w:tcPr>
            <w:tcW w:w="2665" w:type="dxa"/>
            <w:tcBorders>
              <w:bottom w:val="single" w:sz="4" w:space="0" w:color="auto"/>
            </w:tcBorders>
          </w:tcPr>
          <w:p w:rsidR="00737C24" w:rsidRDefault="00737C24">
            <w:pPr>
              <w:spacing w:after="0" w:line="560" w:lineRule="exact"/>
              <w:jc w:val="center"/>
              <w:rPr>
                <w:rFonts w:ascii="仿宋_GB2312" w:eastAsia="仿宋_GB2312" w:cs="ArialUnicodeMS"/>
                <w:kern w:val="0"/>
                <w:sz w:val="28"/>
                <w:szCs w:val="28"/>
              </w:rPr>
            </w:pPr>
          </w:p>
        </w:tc>
      </w:tr>
    </w:tbl>
    <w:p w:rsidR="00737C24" w:rsidRDefault="00737C24">
      <w:pPr>
        <w:widowControl/>
        <w:spacing w:line="560" w:lineRule="exact"/>
        <w:jc w:val="center"/>
        <w:rPr>
          <w:rFonts w:ascii="黑体" w:eastAsia="黑体" w:cs="MS-UIGothic,Bold"/>
          <w:bCs/>
          <w:kern w:val="0"/>
          <w:sz w:val="52"/>
          <w:szCs w:val="52"/>
        </w:rPr>
        <w:sectPr w:rsidR="00737C24">
          <w:pgSz w:w="11906" w:h="16838"/>
          <w:pgMar w:top="2098" w:right="1474" w:bottom="1984" w:left="1588" w:header="851" w:footer="992" w:gutter="0"/>
          <w:cols w:space="720"/>
          <w:docGrid w:type="lines" w:linePitch="312"/>
        </w:sectPr>
      </w:pPr>
    </w:p>
    <w:p w:rsidR="00737C24" w:rsidRDefault="00737C24">
      <w:pPr>
        <w:widowControl/>
        <w:spacing w:line="1200" w:lineRule="exact"/>
        <w:jc w:val="center"/>
        <w:rPr>
          <w:rFonts w:ascii="黑体" w:eastAsia="黑体"/>
          <w:color w:val="000000"/>
          <w:sz w:val="72"/>
          <w:szCs w:val="96"/>
        </w:rPr>
      </w:pPr>
    </w:p>
    <w:p w:rsidR="00737C24" w:rsidRDefault="00737C24">
      <w:pPr>
        <w:widowControl/>
        <w:spacing w:line="1200" w:lineRule="exact"/>
        <w:jc w:val="center"/>
        <w:rPr>
          <w:rFonts w:ascii="黑体" w:eastAsia="黑体"/>
          <w:color w:val="000000"/>
          <w:sz w:val="72"/>
          <w:szCs w:val="96"/>
        </w:rPr>
      </w:pPr>
    </w:p>
    <w:p w:rsidR="00737C24" w:rsidRDefault="00737C24">
      <w:pPr>
        <w:widowControl/>
        <w:spacing w:line="1200" w:lineRule="exact"/>
        <w:jc w:val="center"/>
        <w:rPr>
          <w:rFonts w:ascii="黑体" w:eastAsia="黑体"/>
          <w:color w:val="000000"/>
          <w:sz w:val="72"/>
          <w:szCs w:val="96"/>
        </w:rPr>
      </w:pPr>
    </w:p>
    <w:p w:rsidR="00737C24" w:rsidRDefault="00E5420A">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737C24" w:rsidRDefault="00E5420A">
      <w:pPr>
        <w:widowControl/>
        <w:spacing w:line="1200" w:lineRule="exact"/>
        <w:jc w:val="center"/>
        <w:rPr>
          <w:rFonts w:ascii="黑体" w:eastAsia="黑体"/>
          <w:color w:val="000000"/>
          <w:sz w:val="72"/>
          <w:szCs w:val="96"/>
        </w:rPr>
      </w:pPr>
      <w:r>
        <w:rPr>
          <w:rFonts w:ascii="黑体" w:eastAsia="黑体" w:hint="eastAsia"/>
          <w:color w:val="000000"/>
          <w:sz w:val="72"/>
          <w:szCs w:val="96"/>
        </w:rPr>
        <w:t>2018</w:t>
      </w:r>
      <w:r>
        <w:rPr>
          <w:rFonts w:ascii="黑体" w:eastAsia="黑体" w:hint="eastAsia"/>
          <w:color w:val="000000"/>
          <w:sz w:val="72"/>
          <w:szCs w:val="96"/>
        </w:rPr>
        <w:t>年度部门决算报表</w:t>
      </w:r>
    </w:p>
    <w:p w:rsidR="00737C24" w:rsidRDefault="00E5420A">
      <w:pPr>
        <w:widowControl/>
        <w:spacing w:line="1200" w:lineRule="exact"/>
        <w:jc w:val="center"/>
        <w:rPr>
          <w:color w:val="000000"/>
          <w:sz w:val="72"/>
          <w:szCs w:val="96"/>
        </w:rPr>
      </w:pPr>
      <w:r>
        <w:rPr>
          <w:rFonts w:ascii="黑体" w:eastAsia="黑体" w:hint="eastAsia"/>
          <w:color w:val="000000"/>
          <w:sz w:val="72"/>
          <w:szCs w:val="96"/>
        </w:rPr>
        <w:t>（见附表）</w:t>
      </w:r>
    </w:p>
    <w:p w:rsidR="00737C24" w:rsidRDefault="00737C24">
      <w:pPr>
        <w:widowControl/>
        <w:spacing w:line="560" w:lineRule="exact"/>
        <w:jc w:val="center"/>
        <w:rPr>
          <w:rFonts w:ascii="黑体" w:eastAsia="黑体" w:cs="MS-UIGothic,Bold"/>
          <w:bCs/>
          <w:kern w:val="0"/>
          <w:sz w:val="52"/>
          <w:szCs w:val="52"/>
        </w:rPr>
      </w:pPr>
    </w:p>
    <w:p w:rsidR="00737C24" w:rsidRDefault="00737C24">
      <w:pPr>
        <w:widowControl/>
        <w:spacing w:line="560" w:lineRule="exact"/>
        <w:jc w:val="center"/>
        <w:rPr>
          <w:rFonts w:ascii="黑体" w:eastAsia="黑体" w:cs="MS-UIGothic,Bold"/>
          <w:bCs/>
          <w:kern w:val="0"/>
          <w:sz w:val="52"/>
          <w:szCs w:val="52"/>
        </w:rPr>
      </w:pPr>
    </w:p>
    <w:p w:rsidR="00737C24" w:rsidRDefault="00737C24">
      <w:pPr>
        <w:rPr>
          <w:rFonts w:ascii="宋体" w:cs="ArialUnicodeMS"/>
          <w:color w:val="000000"/>
          <w:kern w:val="0"/>
        </w:rPr>
      </w:pPr>
    </w:p>
    <w:p w:rsidR="00737C24" w:rsidRDefault="00737C24">
      <w:pPr>
        <w:rPr>
          <w:rFonts w:ascii="宋体" w:cs="ArialUnicodeMS"/>
          <w:color w:val="000000"/>
          <w:kern w:val="0"/>
        </w:rPr>
        <w:sectPr w:rsidR="00737C24">
          <w:pgSz w:w="11906" w:h="16838"/>
          <w:pgMar w:top="2098" w:right="1474" w:bottom="1984" w:left="1588" w:header="851" w:footer="992" w:gutter="0"/>
          <w:cols w:space="720"/>
          <w:docGrid w:type="lines" w:linePitch="312"/>
        </w:sectPr>
      </w:pPr>
    </w:p>
    <w:p w:rsidR="00737C24" w:rsidRDefault="00737C24">
      <w:pPr>
        <w:widowControl/>
        <w:spacing w:line="1200" w:lineRule="exact"/>
        <w:jc w:val="center"/>
        <w:rPr>
          <w:rFonts w:ascii="黑体" w:eastAsia="黑体"/>
          <w:color w:val="000000"/>
          <w:sz w:val="96"/>
          <w:szCs w:val="96"/>
        </w:rPr>
      </w:pPr>
    </w:p>
    <w:p w:rsidR="00737C24" w:rsidRDefault="00737C24">
      <w:pPr>
        <w:widowControl/>
        <w:spacing w:line="1200" w:lineRule="exact"/>
        <w:jc w:val="center"/>
        <w:rPr>
          <w:rFonts w:ascii="黑体" w:eastAsia="黑体"/>
          <w:color w:val="000000"/>
          <w:sz w:val="96"/>
          <w:szCs w:val="96"/>
        </w:rPr>
      </w:pPr>
    </w:p>
    <w:p w:rsidR="00737C24" w:rsidRDefault="00E5420A">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737C24" w:rsidRDefault="00E5420A">
      <w:pPr>
        <w:widowControl/>
        <w:spacing w:line="1200" w:lineRule="exact"/>
        <w:jc w:val="center"/>
        <w:rPr>
          <w:color w:val="000000"/>
          <w:sz w:val="96"/>
          <w:szCs w:val="96"/>
        </w:rPr>
      </w:pPr>
      <w:r>
        <w:rPr>
          <w:rFonts w:ascii="黑体" w:eastAsia="黑体" w:hint="eastAsia"/>
          <w:color w:val="000000"/>
          <w:sz w:val="96"/>
          <w:szCs w:val="96"/>
        </w:rPr>
        <w:t>部门决算情况说明</w:t>
      </w:r>
    </w:p>
    <w:p w:rsidR="00737C24" w:rsidRDefault="00737C24">
      <w:pPr>
        <w:rPr>
          <w:rFonts w:ascii="宋体" w:cs="ArialUnicodeMS"/>
          <w:color w:val="000000"/>
          <w:kern w:val="0"/>
        </w:rPr>
        <w:sectPr w:rsidR="00737C24">
          <w:pgSz w:w="11906" w:h="16838"/>
          <w:pgMar w:top="2098" w:right="1474" w:bottom="1984" w:left="1588" w:header="851" w:footer="992" w:gutter="0"/>
          <w:cols w:space="720"/>
          <w:docGrid w:type="lines" w:linePitch="312"/>
        </w:sectPr>
      </w:pPr>
    </w:p>
    <w:p w:rsidR="00737C24" w:rsidRDefault="00E5420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年度收入总计（含结转和结余）</w:t>
      </w:r>
      <w:r>
        <w:rPr>
          <w:rFonts w:ascii="仿宋_GB2312" w:eastAsia="仿宋_GB2312" w:cs="DengXian-Regular" w:hint="eastAsia"/>
          <w:sz w:val="32"/>
          <w:szCs w:val="32"/>
        </w:rPr>
        <w:t>460.45</w:t>
      </w:r>
      <w:r>
        <w:rPr>
          <w:rFonts w:ascii="仿宋_GB2312" w:eastAsia="仿宋_GB2312" w:cs="DengXian-Regular" w:hint="eastAsia"/>
          <w:sz w:val="32"/>
          <w:szCs w:val="32"/>
        </w:rPr>
        <w:t>万元，支出总计</w:t>
      </w:r>
      <w:r>
        <w:rPr>
          <w:rFonts w:ascii="仿宋_GB2312" w:eastAsia="仿宋_GB2312" w:cs="DengXian-Regular" w:hint="eastAsia"/>
          <w:sz w:val="32"/>
          <w:szCs w:val="32"/>
        </w:rPr>
        <w:t>403.03</w:t>
      </w:r>
      <w:r>
        <w:rPr>
          <w:rFonts w:ascii="仿宋_GB2312" w:eastAsia="仿宋_GB2312" w:cs="DengXian-Regular" w:hint="eastAsia"/>
          <w:sz w:val="32"/>
          <w:szCs w:val="32"/>
        </w:rPr>
        <w:t>万元，结转和结余</w:t>
      </w:r>
      <w:r>
        <w:rPr>
          <w:rFonts w:ascii="仿宋_GB2312" w:eastAsia="仿宋_GB2312" w:cs="DengXian-Regular" w:hint="eastAsia"/>
          <w:sz w:val="32"/>
          <w:szCs w:val="32"/>
        </w:rPr>
        <w:t>57.42</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年度决算相比，收入减少</w:t>
      </w:r>
      <w:r>
        <w:rPr>
          <w:rFonts w:ascii="仿宋_GB2312" w:eastAsia="仿宋_GB2312" w:cs="DengXian-Regular" w:hint="eastAsia"/>
          <w:sz w:val="32"/>
          <w:szCs w:val="32"/>
        </w:rPr>
        <w:t>3.79</w:t>
      </w:r>
      <w:r>
        <w:rPr>
          <w:rFonts w:ascii="仿宋_GB2312" w:eastAsia="仿宋_GB2312" w:cs="DengXian-Regular" w:hint="eastAsia"/>
          <w:sz w:val="32"/>
          <w:szCs w:val="32"/>
        </w:rPr>
        <w:t>万元，下降</w:t>
      </w:r>
      <w:r>
        <w:rPr>
          <w:rFonts w:ascii="仿宋_GB2312" w:eastAsia="仿宋_GB2312" w:cs="DengXian-Regular" w:hint="eastAsia"/>
          <w:sz w:val="32"/>
          <w:szCs w:val="32"/>
        </w:rPr>
        <w:t>0.82%</w:t>
      </w:r>
      <w:r>
        <w:rPr>
          <w:rFonts w:ascii="仿宋_GB2312" w:eastAsia="仿宋_GB2312" w:cs="DengXian-Regular" w:hint="eastAsia"/>
          <w:sz w:val="32"/>
          <w:szCs w:val="32"/>
        </w:rPr>
        <w:t>；支出减少</w:t>
      </w:r>
      <w:r>
        <w:rPr>
          <w:rFonts w:ascii="仿宋_GB2312" w:eastAsia="仿宋_GB2312" w:cs="DengXian-Regular" w:hint="eastAsia"/>
          <w:sz w:val="32"/>
          <w:szCs w:val="32"/>
        </w:rPr>
        <w:t>58.5</w:t>
      </w:r>
      <w:r>
        <w:rPr>
          <w:rFonts w:ascii="仿宋_GB2312" w:eastAsia="仿宋_GB2312" w:cs="DengXian-Regular" w:hint="eastAsia"/>
          <w:sz w:val="32"/>
          <w:szCs w:val="32"/>
        </w:rPr>
        <w:t>万元，下降</w:t>
      </w:r>
      <w:r>
        <w:rPr>
          <w:rFonts w:ascii="仿宋_GB2312" w:eastAsia="仿宋_GB2312" w:cs="DengXian-Regular" w:hint="eastAsia"/>
          <w:sz w:val="32"/>
          <w:szCs w:val="32"/>
        </w:rPr>
        <w:t>14.52%</w:t>
      </w:r>
      <w:r>
        <w:rPr>
          <w:rFonts w:ascii="仿宋_GB2312" w:eastAsia="仿宋_GB2312" w:cs="DengXian-Regular" w:hint="eastAsia"/>
          <w:sz w:val="32"/>
          <w:szCs w:val="32"/>
        </w:rPr>
        <w:t>，主要是普查活动项目支出减少。</w:t>
      </w:r>
    </w:p>
    <w:p w:rsidR="00737C24" w:rsidRDefault="00E5420A">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457.74</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453.94</w:t>
      </w:r>
      <w:r>
        <w:rPr>
          <w:rFonts w:ascii="仿宋_GB2312" w:eastAsia="仿宋_GB2312" w:cs="DengXian-Regular" w:hint="eastAsia"/>
          <w:sz w:val="32"/>
          <w:szCs w:val="32"/>
        </w:rPr>
        <w:t>万元，占</w:t>
      </w:r>
      <w:r>
        <w:rPr>
          <w:rFonts w:ascii="仿宋_GB2312" w:eastAsia="仿宋_GB2312" w:cs="DengXian-Regular" w:hint="eastAsia"/>
          <w:sz w:val="32"/>
          <w:szCs w:val="32"/>
        </w:rPr>
        <w:t>99.17%</w:t>
      </w:r>
      <w:r>
        <w:rPr>
          <w:rFonts w:ascii="仿宋_GB2312" w:eastAsia="仿宋_GB2312" w:cs="DengXian-Regular" w:hint="eastAsia"/>
          <w:sz w:val="32"/>
          <w:szCs w:val="32"/>
        </w:rPr>
        <w:t>；其他收入</w:t>
      </w:r>
      <w:r>
        <w:rPr>
          <w:rFonts w:ascii="仿宋_GB2312" w:eastAsia="仿宋_GB2312" w:cs="DengXian-Regular" w:hint="eastAsia"/>
          <w:sz w:val="32"/>
          <w:szCs w:val="32"/>
        </w:rPr>
        <w:t>3.8</w:t>
      </w:r>
      <w:r>
        <w:rPr>
          <w:rFonts w:ascii="仿宋_GB2312" w:eastAsia="仿宋_GB2312" w:cs="DengXian-Regular" w:hint="eastAsia"/>
          <w:sz w:val="32"/>
          <w:szCs w:val="32"/>
        </w:rPr>
        <w:t>万元，占</w:t>
      </w:r>
      <w:r>
        <w:rPr>
          <w:rFonts w:ascii="仿宋_GB2312" w:eastAsia="仿宋_GB2312" w:cs="DengXian-Regular" w:hint="eastAsia"/>
          <w:sz w:val="32"/>
          <w:szCs w:val="32"/>
        </w:rPr>
        <w:t>0.83%</w:t>
      </w:r>
      <w:r>
        <w:rPr>
          <w:rFonts w:ascii="仿宋_GB2312" w:eastAsia="仿宋_GB2312" w:cs="DengXian-Regular" w:hint="eastAsia"/>
          <w:sz w:val="32"/>
          <w:szCs w:val="32"/>
        </w:rPr>
        <w:t>。如图所示：</w:t>
      </w:r>
    </w:p>
    <w:p w:rsidR="00737C24" w:rsidRDefault="00E5420A">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737C24" w:rsidRDefault="00E5420A">
      <w:pPr>
        <w:jc w:val="center"/>
        <w:rPr>
          <w:rFonts w:ascii="黑体" w:eastAsia="黑体" w:cs="Arial"/>
          <w:sz w:val="32"/>
          <w:szCs w:val="32"/>
        </w:rPr>
      </w:pPr>
      <w:r>
        <w:rPr>
          <w:rFonts w:ascii="黑体" w:eastAsia="黑体" w:cs="Arial"/>
          <w:noProof/>
          <w:sz w:val="32"/>
          <w:szCs w:val="32"/>
        </w:rPr>
        <w:drawing>
          <wp:inline distT="0" distB="0" distL="0" distR="0">
            <wp:extent cx="4048124" cy="2857500"/>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7C24" w:rsidRDefault="00E5420A">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403.03</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303.71</w:t>
      </w:r>
      <w:r>
        <w:rPr>
          <w:rFonts w:ascii="仿宋_GB2312" w:eastAsia="仿宋_GB2312" w:cs="DengXian-Regular" w:hint="eastAsia"/>
          <w:sz w:val="32"/>
          <w:szCs w:val="32"/>
        </w:rPr>
        <w:t>万元，占</w:t>
      </w:r>
      <w:r>
        <w:rPr>
          <w:rFonts w:ascii="仿宋_GB2312" w:eastAsia="仿宋_GB2312" w:cs="DengXian-Regular" w:hint="eastAsia"/>
          <w:sz w:val="32"/>
          <w:szCs w:val="32"/>
        </w:rPr>
        <w:t>75.36%</w:t>
      </w:r>
      <w:r>
        <w:rPr>
          <w:rFonts w:ascii="仿宋_GB2312" w:eastAsia="仿宋_GB2312" w:cs="DengXian-Regular" w:hint="eastAsia"/>
          <w:sz w:val="32"/>
          <w:szCs w:val="32"/>
        </w:rPr>
        <w:t>；项目支出</w:t>
      </w:r>
      <w:r>
        <w:rPr>
          <w:rFonts w:ascii="仿宋_GB2312" w:eastAsia="仿宋_GB2312" w:cs="DengXian-Regular" w:hint="eastAsia"/>
          <w:sz w:val="32"/>
          <w:szCs w:val="32"/>
        </w:rPr>
        <w:t>99.32</w:t>
      </w:r>
      <w:r>
        <w:rPr>
          <w:rFonts w:ascii="仿宋_GB2312" w:eastAsia="仿宋_GB2312" w:cs="DengXian-Regular" w:hint="eastAsia"/>
          <w:sz w:val="32"/>
          <w:szCs w:val="32"/>
        </w:rPr>
        <w:t>万元，占</w:t>
      </w:r>
      <w:r>
        <w:rPr>
          <w:rFonts w:ascii="仿宋_GB2312" w:eastAsia="仿宋_GB2312" w:cs="DengXian-Regular" w:hint="eastAsia"/>
          <w:sz w:val="32"/>
          <w:szCs w:val="32"/>
        </w:rPr>
        <w:t>24.64%</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737C24" w:rsidRDefault="00E5420A">
      <w:pPr>
        <w:pStyle w:val="a9"/>
        <w:ind w:firstLineChars="750" w:firstLine="240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737C24" w:rsidRDefault="00E5420A">
      <w:pPr>
        <w:jc w:val="center"/>
        <w:rPr>
          <w:rFonts w:ascii="仿宋_GB2312" w:eastAsia="仿宋_GB2312" w:cs="DengXian-Regular"/>
          <w:sz w:val="32"/>
          <w:szCs w:val="32"/>
        </w:rPr>
      </w:pPr>
      <w:r>
        <w:rPr>
          <w:rStyle w:val="Style1"/>
          <w:noProof/>
        </w:rPr>
        <w:drawing>
          <wp:inline distT="0" distB="0" distL="0" distR="0">
            <wp:extent cx="2486025" cy="1552575"/>
            <wp:effectExtent l="0" t="0" r="0" b="0"/>
            <wp:docPr id="2"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C24" w:rsidRDefault="00E5420A">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737C24" w:rsidRDefault="00E5420A" w:rsidP="00737C24">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453.94</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47.1</w:t>
      </w:r>
      <w:r>
        <w:rPr>
          <w:rFonts w:ascii="仿宋_GB2312" w:eastAsia="仿宋_GB2312" w:cs="DengXian-Regular" w:hint="eastAsia"/>
          <w:sz w:val="32"/>
          <w:szCs w:val="32"/>
        </w:rPr>
        <w:t>万元，增长</w:t>
      </w:r>
      <w:r>
        <w:rPr>
          <w:rFonts w:ascii="仿宋_GB2312" w:eastAsia="仿宋_GB2312" w:cs="DengXian-Regular" w:hint="eastAsia"/>
          <w:sz w:val="32"/>
          <w:szCs w:val="32"/>
        </w:rPr>
        <w:t>10.42%</w:t>
      </w:r>
      <w:r>
        <w:rPr>
          <w:rFonts w:ascii="仿宋_GB2312" w:eastAsia="仿宋_GB2312" w:cs="DengXian-Regular" w:hint="eastAsia"/>
          <w:sz w:val="32"/>
          <w:szCs w:val="32"/>
        </w:rPr>
        <w:t>，主要是经</w:t>
      </w:r>
      <w:r>
        <w:rPr>
          <w:rFonts w:ascii="宋体" w:cs="宋体" w:hint="eastAsia"/>
          <w:sz w:val="32"/>
          <w:szCs w:val="32"/>
        </w:rPr>
        <w:t>济</w:t>
      </w:r>
      <w:r>
        <w:rPr>
          <w:rFonts w:ascii="仿宋_GB2312" w:eastAsia="仿宋_GB2312" w:cs="DengXian-Regular" w:hint="eastAsia"/>
          <w:sz w:val="32"/>
          <w:szCs w:val="32"/>
        </w:rPr>
        <w:t>普查项目经费需</w:t>
      </w:r>
      <w:r>
        <w:rPr>
          <w:rFonts w:ascii="宋体" w:cs="宋体" w:hint="eastAsia"/>
          <w:sz w:val="32"/>
          <w:szCs w:val="32"/>
        </w:rPr>
        <w:t>求增加</w:t>
      </w:r>
      <w:r>
        <w:rPr>
          <w:rFonts w:ascii="仿宋_GB2312" w:eastAsia="仿宋_GB2312" w:cs="DengXian-Regular" w:hint="eastAsia"/>
          <w:sz w:val="32"/>
          <w:szCs w:val="32"/>
        </w:rPr>
        <w:t>；本年支出</w:t>
      </w:r>
      <w:r>
        <w:rPr>
          <w:rFonts w:ascii="仿宋_GB2312" w:eastAsia="仿宋_GB2312" w:cs="DengXian-Regular" w:hint="eastAsia"/>
          <w:sz w:val="32"/>
          <w:szCs w:val="32"/>
        </w:rPr>
        <w:t>401.07</w:t>
      </w:r>
      <w:r>
        <w:rPr>
          <w:rFonts w:ascii="仿宋_GB2312" w:eastAsia="仿宋_GB2312" w:cs="DengXian-Regular" w:hint="eastAsia"/>
          <w:sz w:val="32"/>
          <w:szCs w:val="32"/>
        </w:rPr>
        <w:t>万元，减少</w:t>
      </w:r>
      <w:r>
        <w:rPr>
          <w:rFonts w:ascii="仿宋_GB2312" w:eastAsia="仿宋_GB2312" w:cs="DengXian-Regular" w:hint="eastAsia"/>
          <w:sz w:val="32"/>
          <w:szCs w:val="32"/>
        </w:rPr>
        <w:t>42.44</w:t>
      </w:r>
      <w:r>
        <w:rPr>
          <w:rFonts w:ascii="仿宋_GB2312" w:eastAsia="仿宋_GB2312" w:cs="DengXian-Regular" w:hint="eastAsia"/>
          <w:sz w:val="32"/>
          <w:szCs w:val="32"/>
        </w:rPr>
        <w:t>万元，降低</w:t>
      </w:r>
      <w:r>
        <w:rPr>
          <w:rFonts w:ascii="仿宋_GB2312" w:eastAsia="仿宋_GB2312" w:cs="DengXian-Regular" w:hint="eastAsia"/>
          <w:sz w:val="32"/>
          <w:szCs w:val="32"/>
        </w:rPr>
        <w:t>10.58%</w:t>
      </w:r>
      <w:r>
        <w:rPr>
          <w:rFonts w:ascii="仿宋_GB2312" w:eastAsia="仿宋_GB2312" w:cs="DengXian-Regular" w:hint="eastAsia"/>
          <w:sz w:val="32"/>
          <w:szCs w:val="32"/>
        </w:rPr>
        <w:t>，主要是项目经费支出减少。</w:t>
      </w:r>
    </w:p>
    <w:p w:rsidR="00737C24" w:rsidRDefault="00E5420A">
      <w:pPr>
        <w:jc w:val="center"/>
        <w:rPr>
          <w:rStyle w:val="Style5"/>
          <w:rFonts w:ascii="仿宋" w:eastAsia="仿宋"/>
          <w:sz w:val="32"/>
          <w:szCs w:val="32"/>
        </w:rPr>
      </w:pPr>
      <w:r>
        <w:rPr>
          <w:rFonts w:ascii="仿宋" w:eastAsia="仿宋" w:hint="eastAsia"/>
          <w:sz w:val="32"/>
          <w:szCs w:val="32"/>
        </w:rPr>
        <w:t>图</w:t>
      </w:r>
      <w:r>
        <w:rPr>
          <w:rFonts w:ascii="仿宋" w:eastAsia="仿宋" w:hint="eastAsia"/>
          <w:sz w:val="32"/>
          <w:szCs w:val="32"/>
        </w:rPr>
        <w:t>3</w:t>
      </w:r>
      <w:r>
        <w:rPr>
          <w:rFonts w:ascii="仿宋" w:eastAsia="仿宋" w:hint="eastAsia"/>
          <w:sz w:val="32"/>
          <w:szCs w:val="32"/>
        </w:rPr>
        <w:t>：财政拨款收支情况</w:t>
      </w:r>
      <w:r>
        <w:rPr>
          <w:rFonts w:ascii="仿宋" w:eastAsia="仿宋"/>
          <w:noProof/>
          <w:sz w:val="32"/>
          <w:szCs w:val="32"/>
        </w:rPr>
        <w:drawing>
          <wp:inline distT="0" distB="0" distL="0" distR="0">
            <wp:extent cx="4562475" cy="2562225"/>
            <wp:effectExtent l="0" t="0" r="0" b="0"/>
            <wp:docPr id="3" name="图表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C24" w:rsidRDefault="00E5420A" w:rsidP="00737C24">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737C24" w:rsidRDefault="00E5420A">
      <w:pPr>
        <w:ind w:firstLineChars="200" w:firstLine="640"/>
        <w:rPr>
          <w:rFonts w:ascii="仿宋_GB2312" w:eastAsia="仿宋_GB2312" w:cs="DengXian-Regular"/>
          <w:sz w:val="32"/>
          <w:szCs w:val="32"/>
          <w:highlight w:val="yellow"/>
        </w:rPr>
      </w:pPr>
      <w:r>
        <w:rPr>
          <w:rFonts w:ascii="仿宋" w:eastAsia="仿宋" w:hint="eastAsia"/>
          <w:sz w:val="32"/>
          <w:szCs w:val="32"/>
        </w:rPr>
        <w:t>本部门</w:t>
      </w:r>
      <w:r>
        <w:rPr>
          <w:rFonts w:ascii="仿宋" w:eastAsia="仿宋" w:hint="eastAsia"/>
          <w:sz w:val="32"/>
          <w:szCs w:val="32"/>
        </w:rPr>
        <w:t>2018</w:t>
      </w:r>
      <w:r>
        <w:rPr>
          <w:rFonts w:ascii="仿宋" w:eastAsia="仿宋" w:hint="eastAsia"/>
          <w:sz w:val="32"/>
          <w:szCs w:val="32"/>
        </w:rPr>
        <w:t>年度一般公共预算财政拨款收入</w:t>
      </w:r>
      <w:r>
        <w:rPr>
          <w:rFonts w:ascii="仿宋" w:eastAsia="仿宋" w:hint="eastAsia"/>
          <w:sz w:val="32"/>
          <w:szCs w:val="32"/>
        </w:rPr>
        <w:t>453.94</w:t>
      </w:r>
      <w:r>
        <w:rPr>
          <w:rFonts w:ascii="仿宋" w:eastAsia="仿宋" w:hint="eastAsia"/>
          <w:sz w:val="32"/>
          <w:szCs w:val="32"/>
        </w:rPr>
        <w:t>万元，完成年初预算的</w:t>
      </w:r>
      <w:r>
        <w:rPr>
          <w:rFonts w:ascii="仿宋" w:eastAsia="仿宋" w:hint="eastAsia"/>
          <w:sz w:val="32"/>
          <w:szCs w:val="32"/>
        </w:rPr>
        <w:t>114.88%,</w:t>
      </w:r>
      <w:r>
        <w:rPr>
          <w:rFonts w:ascii="仿宋" w:eastAsia="仿宋" w:hint="eastAsia"/>
          <w:sz w:val="32"/>
          <w:szCs w:val="32"/>
        </w:rPr>
        <w:t>比年初预算增加</w:t>
      </w:r>
      <w:r>
        <w:rPr>
          <w:rFonts w:ascii="仿宋" w:eastAsia="仿宋" w:hint="eastAsia"/>
          <w:sz w:val="32"/>
          <w:szCs w:val="32"/>
        </w:rPr>
        <w:t>58.8</w:t>
      </w:r>
      <w:r>
        <w:rPr>
          <w:rFonts w:ascii="仿宋" w:eastAsia="仿宋" w:hint="eastAsia"/>
          <w:sz w:val="32"/>
          <w:szCs w:val="32"/>
        </w:rPr>
        <w:t>万元，决算数大于预算</w:t>
      </w:r>
      <w:proofErr w:type="gramStart"/>
      <w:r>
        <w:rPr>
          <w:rFonts w:ascii="仿宋" w:eastAsia="仿宋" w:hint="eastAsia"/>
          <w:sz w:val="32"/>
          <w:szCs w:val="32"/>
        </w:rPr>
        <w:t>数主要</w:t>
      </w:r>
      <w:proofErr w:type="gramEnd"/>
      <w:r>
        <w:rPr>
          <w:rFonts w:ascii="仿宋" w:eastAsia="仿宋" w:hint="eastAsia"/>
          <w:sz w:val="32"/>
          <w:szCs w:val="32"/>
        </w:rPr>
        <w:t>是人员增加经费调整，经济普查项目经费支出调整；本年支出</w:t>
      </w:r>
      <w:r>
        <w:rPr>
          <w:rFonts w:ascii="仿宋" w:eastAsia="仿宋" w:hint="eastAsia"/>
          <w:sz w:val="32"/>
          <w:szCs w:val="32"/>
        </w:rPr>
        <w:t>403.03</w:t>
      </w:r>
      <w:r>
        <w:rPr>
          <w:rFonts w:ascii="仿宋" w:eastAsia="仿宋" w:hint="eastAsia"/>
          <w:sz w:val="32"/>
          <w:szCs w:val="32"/>
        </w:rPr>
        <w:t>万元，完成年初预算的</w:t>
      </w:r>
      <w:r>
        <w:rPr>
          <w:rFonts w:ascii="仿宋" w:eastAsia="仿宋" w:hint="eastAsia"/>
          <w:sz w:val="32"/>
          <w:szCs w:val="32"/>
        </w:rPr>
        <w:t>102%,</w:t>
      </w:r>
      <w:r>
        <w:rPr>
          <w:rFonts w:ascii="仿宋" w:eastAsia="仿宋" w:hint="eastAsia"/>
          <w:sz w:val="32"/>
          <w:szCs w:val="32"/>
        </w:rPr>
        <w:t>比年初预算增加</w:t>
      </w:r>
      <w:r>
        <w:rPr>
          <w:rFonts w:ascii="仿宋" w:eastAsia="仿宋" w:hint="eastAsia"/>
          <w:sz w:val="32"/>
          <w:szCs w:val="32"/>
        </w:rPr>
        <w:t>7.89</w:t>
      </w:r>
      <w:r>
        <w:rPr>
          <w:rFonts w:ascii="仿宋" w:eastAsia="仿宋" w:hint="eastAsia"/>
          <w:sz w:val="32"/>
          <w:szCs w:val="32"/>
        </w:rPr>
        <w:t>万元，决算数大于预算</w:t>
      </w:r>
      <w:proofErr w:type="gramStart"/>
      <w:r>
        <w:rPr>
          <w:rFonts w:ascii="仿宋" w:eastAsia="仿宋" w:hint="eastAsia"/>
          <w:sz w:val="32"/>
          <w:szCs w:val="32"/>
        </w:rPr>
        <w:t>数主要</w:t>
      </w:r>
      <w:proofErr w:type="gramEnd"/>
      <w:r>
        <w:rPr>
          <w:rFonts w:ascii="仿宋" w:eastAsia="仿宋" w:hint="eastAsia"/>
          <w:sz w:val="32"/>
          <w:szCs w:val="32"/>
        </w:rPr>
        <w:t>是人员增加经费调整，经济普查项目经费支出调整。</w:t>
      </w:r>
    </w:p>
    <w:p w:rsidR="00737C24" w:rsidRDefault="00E5420A">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737C24" w:rsidRDefault="00E5420A">
      <w:pPr>
        <w:jc w:val="center"/>
        <w:rPr>
          <w:highlight w:val="yellow"/>
        </w:rPr>
      </w:pPr>
      <w:r>
        <w:rPr>
          <w:noProof/>
        </w:rPr>
        <w:drawing>
          <wp:inline distT="0" distB="0" distL="0" distR="0">
            <wp:extent cx="4981575" cy="2524125"/>
            <wp:effectExtent l="0" t="0" r="0" b="0"/>
            <wp:docPr id="4" name="图表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C24" w:rsidRDefault="00E5420A">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737C24" w:rsidRDefault="00E5420A">
      <w:pPr>
        <w:ind w:firstLineChars="200" w:firstLine="640"/>
        <w:rPr>
          <w:rFonts w:ascii="仿宋" w:eastAsia="仿宋"/>
          <w:sz w:val="32"/>
          <w:szCs w:val="32"/>
        </w:rPr>
      </w:pPr>
      <w:r>
        <w:rPr>
          <w:rFonts w:ascii="仿宋" w:eastAsia="仿宋" w:hint="eastAsia"/>
          <w:sz w:val="32"/>
          <w:szCs w:val="32"/>
        </w:rPr>
        <w:t xml:space="preserve">2018 </w:t>
      </w:r>
      <w:r>
        <w:rPr>
          <w:rFonts w:ascii="仿宋" w:eastAsia="仿宋" w:hint="eastAsia"/>
          <w:sz w:val="32"/>
          <w:szCs w:val="32"/>
        </w:rPr>
        <w:t>年度财政拨款支出</w:t>
      </w:r>
      <w:r>
        <w:rPr>
          <w:rFonts w:ascii="仿宋" w:eastAsia="仿宋" w:hint="eastAsia"/>
          <w:sz w:val="32"/>
          <w:szCs w:val="32"/>
        </w:rPr>
        <w:t>401.07</w:t>
      </w:r>
      <w:r>
        <w:rPr>
          <w:rFonts w:ascii="仿宋" w:eastAsia="仿宋" w:hint="eastAsia"/>
          <w:sz w:val="32"/>
          <w:szCs w:val="32"/>
        </w:rPr>
        <w:t>万元，主要用于以下方面一般公共服务（类）支出</w:t>
      </w:r>
      <w:r>
        <w:rPr>
          <w:rFonts w:ascii="仿宋" w:eastAsia="仿宋" w:hint="eastAsia"/>
          <w:sz w:val="32"/>
          <w:szCs w:val="32"/>
        </w:rPr>
        <w:t>356.76</w:t>
      </w:r>
      <w:r>
        <w:rPr>
          <w:rFonts w:ascii="仿宋" w:eastAsia="仿宋" w:hint="eastAsia"/>
          <w:sz w:val="32"/>
          <w:szCs w:val="32"/>
        </w:rPr>
        <w:t>万元，占</w:t>
      </w:r>
      <w:r>
        <w:rPr>
          <w:rFonts w:ascii="仿宋" w:eastAsia="仿宋" w:hint="eastAsia"/>
          <w:sz w:val="32"/>
          <w:szCs w:val="32"/>
        </w:rPr>
        <w:t>88.95%</w:t>
      </w:r>
      <w:r>
        <w:rPr>
          <w:rFonts w:ascii="仿宋" w:eastAsia="仿宋" w:hint="eastAsia"/>
          <w:sz w:val="32"/>
          <w:szCs w:val="32"/>
        </w:rPr>
        <w:t>；社会保障和就业（类）支出</w:t>
      </w:r>
      <w:r>
        <w:rPr>
          <w:rFonts w:ascii="仿宋" w:eastAsia="仿宋" w:hint="eastAsia"/>
          <w:sz w:val="32"/>
          <w:szCs w:val="32"/>
        </w:rPr>
        <w:t>29.59</w:t>
      </w:r>
      <w:r>
        <w:rPr>
          <w:rFonts w:ascii="仿宋" w:eastAsia="仿宋" w:hint="eastAsia"/>
          <w:sz w:val="32"/>
          <w:szCs w:val="32"/>
        </w:rPr>
        <w:t>万元，占</w:t>
      </w:r>
      <w:r>
        <w:rPr>
          <w:rFonts w:ascii="仿宋" w:eastAsia="仿宋" w:hint="eastAsia"/>
          <w:sz w:val="32"/>
          <w:szCs w:val="32"/>
        </w:rPr>
        <w:t>7.38%</w:t>
      </w:r>
      <w:r>
        <w:rPr>
          <w:rFonts w:ascii="仿宋" w:eastAsia="仿宋" w:hint="eastAsia"/>
          <w:sz w:val="32"/>
          <w:szCs w:val="32"/>
        </w:rPr>
        <w:t>；医疗</w:t>
      </w:r>
      <w:r>
        <w:rPr>
          <w:rFonts w:ascii="仿宋" w:eastAsia="仿宋" w:cs="宋体" w:hint="eastAsia"/>
          <w:sz w:val="32"/>
          <w:szCs w:val="32"/>
        </w:rPr>
        <w:t>卫</w:t>
      </w:r>
      <w:r>
        <w:rPr>
          <w:rFonts w:ascii="仿宋" w:eastAsia="仿宋" w:cs="___WRD_EMBED_SUB_40" w:hint="eastAsia"/>
          <w:sz w:val="32"/>
          <w:szCs w:val="32"/>
        </w:rPr>
        <w:t>生与计</w:t>
      </w:r>
      <w:r>
        <w:rPr>
          <w:rFonts w:ascii="仿宋" w:eastAsia="仿宋" w:cs="宋体" w:hint="eastAsia"/>
          <w:sz w:val="32"/>
          <w:szCs w:val="32"/>
        </w:rPr>
        <w:t>划</w:t>
      </w:r>
      <w:r>
        <w:rPr>
          <w:rFonts w:ascii="仿宋" w:eastAsia="仿宋" w:cs="___WRD_EMBED_SUB_40" w:hint="eastAsia"/>
          <w:sz w:val="32"/>
          <w:szCs w:val="32"/>
        </w:rPr>
        <w:t>生育支出</w:t>
      </w:r>
      <w:r>
        <w:rPr>
          <w:rFonts w:ascii="仿宋" w:eastAsia="仿宋" w:cs="___WRD_EMBED_SUB_40" w:hint="eastAsia"/>
          <w:sz w:val="32"/>
          <w:szCs w:val="32"/>
        </w:rPr>
        <w:t>14.72</w:t>
      </w:r>
      <w:r>
        <w:rPr>
          <w:rFonts w:ascii="仿宋" w:eastAsia="仿宋" w:cs="___WRD_EMBED_SUB_40" w:hint="eastAsia"/>
          <w:sz w:val="32"/>
          <w:szCs w:val="32"/>
        </w:rPr>
        <w:t>万元，占</w:t>
      </w:r>
      <w:r>
        <w:rPr>
          <w:rFonts w:ascii="仿宋" w:eastAsia="仿宋" w:cs="___WRD_EMBED_SUB_40" w:hint="eastAsia"/>
          <w:sz w:val="32"/>
          <w:szCs w:val="32"/>
        </w:rPr>
        <w:t>3.67%</w:t>
      </w:r>
      <w:r>
        <w:rPr>
          <w:rFonts w:ascii="仿宋" w:eastAsia="仿宋" w:hint="eastAsia"/>
          <w:sz w:val="32"/>
          <w:szCs w:val="32"/>
        </w:rPr>
        <w:t>。</w:t>
      </w:r>
    </w:p>
    <w:p w:rsidR="00737C24" w:rsidRDefault="00E5420A">
      <w:pPr>
        <w:jc w:val="center"/>
      </w:pPr>
      <w:r>
        <w:rPr>
          <w:rFonts w:ascii="仿宋" w:eastAsia="仿宋" w:hint="eastAsia"/>
          <w:sz w:val="32"/>
          <w:szCs w:val="32"/>
        </w:rPr>
        <w:lastRenderedPageBreak/>
        <w:t>图</w:t>
      </w:r>
      <w:r>
        <w:rPr>
          <w:rFonts w:ascii="仿宋" w:eastAsia="仿宋" w:hint="eastAsia"/>
          <w:sz w:val="32"/>
          <w:szCs w:val="32"/>
        </w:rPr>
        <w:t>5</w:t>
      </w:r>
      <w:r>
        <w:rPr>
          <w:rFonts w:ascii="仿宋" w:eastAsia="仿宋" w:hint="eastAsia"/>
          <w:sz w:val="32"/>
          <w:szCs w:val="32"/>
        </w:rPr>
        <w:t>：财政拨款支出决算结构（按功能分类）</w:t>
      </w:r>
      <w:r>
        <w:rPr>
          <w:noProof/>
        </w:rPr>
        <w:drawing>
          <wp:inline distT="0" distB="0" distL="0" distR="0">
            <wp:extent cx="4305300" cy="2466975"/>
            <wp:effectExtent l="0" t="0" r="0" b="0"/>
            <wp:docPr id="5" name="图表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C24" w:rsidRDefault="00E5420A">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302.99</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278.46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w:t>
      </w:r>
      <w:r>
        <w:rPr>
          <w:rFonts w:ascii="仿宋_GB2312" w:eastAsia="仿宋_GB2312" w:cs="DengXian-Regular" w:hint="eastAsia"/>
          <w:sz w:val="32"/>
          <w:szCs w:val="32"/>
        </w:rPr>
        <w:t>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hint="eastAsia"/>
          <w:sz w:val="32"/>
          <w:szCs w:val="32"/>
        </w:rPr>
        <w:t>24.53</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w:t>
      </w:r>
      <w:r>
        <w:rPr>
          <w:rFonts w:ascii="仿宋_GB2312" w:eastAsia="仿宋_GB2312" w:cs="DengXian-Regular" w:hint="eastAsia"/>
          <w:sz w:val="32"/>
          <w:szCs w:val="32"/>
        </w:rPr>
        <w:lastRenderedPageBreak/>
        <w:t>专用设备购置、信息网络及软件</w:t>
      </w:r>
      <w:r>
        <w:rPr>
          <w:rFonts w:ascii="仿宋_GB2312" w:eastAsia="仿宋_GB2312" w:cs="DengXian-Regular" w:hint="eastAsia"/>
          <w:sz w:val="32"/>
          <w:szCs w:val="32"/>
        </w:rPr>
        <w:t>购置更新、公务用车购置、其他资本性支出等。</w:t>
      </w:r>
    </w:p>
    <w:p w:rsidR="00737C24" w:rsidRDefault="00E5420A">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737C24" w:rsidRDefault="00E5420A">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3.58</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eastAsia="仿宋_GB2312" w:hint="eastAsia"/>
          <w:sz w:val="32"/>
          <w:szCs w:val="32"/>
        </w:rPr>
        <w:t>0.02</w:t>
      </w:r>
      <w:r>
        <w:rPr>
          <w:rFonts w:eastAsia="仿宋_GB2312"/>
          <w:sz w:val="32"/>
          <w:szCs w:val="32"/>
        </w:rPr>
        <w:t>万元，降低</w:t>
      </w:r>
      <w:r>
        <w:rPr>
          <w:rFonts w:eastAsia="仿宋_GB2312" w:hint="eastAsia"/>
          <w:sz w:val="32"/>
          <w:szCs w:val="32"/>
        </w:rPr>
        <w:t>0.55</w:t>
      </w:r>
      <w:r>
        <w:rPr>
          <w:rFonts w:eastAsia="仿宋_GB2312"/>
          <w:sz w:val="32"/>
          <w:szCs w:val="32"/>
        </w:rPr>
        <w:t>%</w:t>
      </w:r>
      <w:r>
        <w:rPr>
          <w:rFonts w:eastAsia="仿宋_GB2312"/>
          <w:sz w:val="32"/>
          <w:szCs w:val="32"/>
        </w:rPr>
        <w:t>，主要是</w:t>
      </w:r>
      <w:r>
        <w:rPr>
          <w:rFonts w:eastAsia="仿宋_GB2312" w:hint="eastAsia"/>
          <w:sz w:val="32"/>
          <w:szCs w:val="32"/>
        </w:rPr>
        <w:t>年初预算公务接待费支出减少</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1.31</w:t>
      </w:r>
      <w:r>
        <w:rPr>
          <w:rFonts w:eastAsia="仿宋_GB2312"/>
          <w:sz w:val="32"/>
          <w:szCs w:val="32"/>
        </w:rPr>
        <w:t>万元，降低</w:t>
      </w:r>
      <w:r>
        <w:rPr>
          <w:rFonts w:eastAsia="仿宋_GB2312" w:hint="eastAsia"/>
          <w:sz w:val="32"/>
          <w:szCs w:val="32"/>
        </w:rPr>
        <w:t>26.79</w:t>
      </w:r>
      <w:r>
        <w:rPr>
          <w:rFonts w:eastAsia="仿宋_GB2312"/>
          <w:sz w:val="32"/>
          <w:szCs w:val="32"/>
        </w:rPr>
        <w:t>%</w:t>
      </w:r>
      <w:r>
        <w:rPr>
          <w:rFonts w:eastAsia="仿宋_GB2312"/>
          <w:sz w:val="32"/>
          <w:szCs w:val="32"/>
        </w:rPr>
        <w:t>，主</w:t>
      </w:r>
      <w:r>
        <w:rPr>
          <w:rFonts w:ascii="仿宋" w:eastAsia="仿宋"/>
          <w:sz w:val="32"/>
          <w:szCs w:val="32"/>
        </w:rPr>
        <w:t>要是</w:t>
      </w:r>
      <w:r>
        <w:rPr>
          <w:rFonts w:ascii="仿宋" w:eastAsia="仿宋" w:cs="宋体" w:hint="eastAsia"/>
          <w:sz w:val="32"/>
          <w:szCs w:val="32"/>
        </w:rPr>
        <w:t>提倡节俭，</w:t>
      </w:r>
      <w:r>
        <w:rPr>
          <w:rFonts w:ascii="仿宋" w:eastAsia="仿宋" w:hint="eastAsia"/>
          <w:sz w:val="32"/>
          <w:szCs w:val="32"/>
        </w:rPr>
        <w:t>减少公务接待费用</w:t>
      </w:r>
      <w:r>
        <w:rPr>
          <w:rFonts w:eastAsia="仿宋_GB2312"/>
          <w:sz w:val="32"/>
          <w:szCs w:val="32"/>
        </w:rPr>
        <w:t>。具体情况如下：</w:t>
      </w:r>
    </w:p>
    <w:p w:rsidR="00737C24" w:rsidRDefault="00E5420A" w:rsidP="00737C24">
      <w:pPr>
        <w:adjustRightInd w:val="0"/>
        <w:snapToGrid w:val="0"/>
        <w:spacing w:line="584" w:lineRule="exact"/>
        <w:ind w:firstLineChars="200" w:firstLine="643"/>
        <w:rPr>
          <w:rFonts w:eastAsia="仿宋_GB2312"/>
          <w:sz w:val="32"/>
          <w:szCs w:val="32"/>
        </w:rPr>
      </w:pPr>
      <w:r>
        <w:rPr>
          <w:rFonts w:ascii="楷体" w:eastAsia="楷体"/>
          <w:b/>
          <w:bCs/>
          <w:sz w:val="32"/>
          <w:szCs w:val="32"/>
        </w:rPr>
        <w:t>（一）因公出国（境）费支出</w:t>
      </w:r>
      <w:r>
        <w:rPr>
          <w:rFonts w:ascii="楷体" w:eastAsia="楷体" w:hint="eastAsia"/>
          <w:b/>
          <w:bCs/>
          <w:sz w:val="32"/>
          <w:szCs w:val="32"/>
        </w:rPr>
        <w:t>0</w:t>
      </w:r>
      <w:r>
        <w:rPr>
          <w:rFonts w:ascii="楷体" w:eastAsia="楷体"/>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，主要是较年初预算无增减变化；</w:t>
      </w:r>
      <w:r>
        <w:rPr>
          <w:rFonts w:eastAsia="仿宋_GB2312"/>
          <w:sz w:val="32"/>
          <w:szCs w:val="32"/>
        </w:rPr>
        <w:t>因公出国（境）费支出</w:t>
      </w:r>
      <w:r>
        <w:rPr>
          <w:rFonts w:eastAsia="仿宋_GB2312" w:hint="eastAsia"/>
          <w:sz w:val="32"/>
          <w:szCs w:val="32"/>
        </w:rPr>
        <w:t>比</w:t>
      </w:r>
      <w:r>
        <w:rPr>
          <w:rFonts w:eastAsia="仿宋_GB2312" w:hint="eastAsia"/>
          <w:sz w:val="32"/>
          <w:szCs w:val="32"/>
        </w:rPr>
        <w:t>2017</w:t>
      </w:r>
      <w:r>
        <w:rPr>
          <w:rFonts w:eastAsia="仿宋_GB2312" w:hint="eastAsia"/>
          <w:sz w:val="32"/>
          <w:szCs w:val="32"/>
        </w:rPr>
        <w:t>年度决算增加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，主要是较</w:t>
      </w:r>
      <w:r>
        <w:rPr>
          <w:rFonts w:eastAsia="仿宋_GB2312" w:hint="eastAsia"/>
          <w:sz w:val="32"/>
          <w:szCs w:val="32"/>
        </w:rPr>
        <w:t>2017</w:t>
      </w:r>
      <w:r>
        <w:rPr>
          <w:rFonts w:eastAsia="仿宋_GB2312" w:hint="eastAsia"/>
          <w:sz w:val="32"/>
          <w:szCs w:val="32"/>
        </w:rPr>
        <w:t>年度决算无增减变化。</w:t>
      </w:r>
    </w:p>
    <w:p w:rsidR="00737C24" w:rsidRDefault="00E5420A" w:rsidP="00737C24">
      <w:pPr>
        <w:adjustRightInd w:val="0"/>
        <w:snapToGrid w:val="0"/>
        <w:spacing w:line="584" w:lineRule="exact"/>
        <w:ind w:firstLineChars="200" w:firstLine="643"/>
        <w:rPr>
          <w:rFonts w:eastAsia="仿宋_GB2312"/>
          <w:sz w:val="32"/>
          <w:szCs w:val="32"/>
        </w:rPr>
      </w:pPr>
      <w:r>
        <w:rPr>
          <w:rFonts w:ascii="楷体" w:eastAsia="楷体"/>
          <w:b/>
          <w:bCs/>
          <w:sz w:val="32"/>
          <w:szCs w:val="32"/>
        </w:rPr>
        <w:t>（二）公务用车购置及运行维护费支出</w:t>
      </w:r>
      <w:r>
        <w:rPr>
          <w:rFonts w:ascii="楷体" w:eastAsia="楷体" w:hint="eastAsia"/>
          <w:b/>
          <w:bCs/>
          <w:sz w:val="32"/>
          <w:szCs w:val="32"/>
        </w:rPr>
        <w:t>3.5</w:t>
      </w:r>
      <w:r>
        <w:rPr>
          <w:rFonts w:ascii="楷体" w:eastAsia="楷体"/>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w:t>
      </w:r>
      <w:r>
        <w:rPr>
          <w:rFonts w:eastAsia="仿宋_GB2312" w:hint="eastAsia"/>
          <w:sz w:val="32"/>
          <w:szCs w:val="32"/>
        </w:rPr>
        <w:t>比</w:t>
      </w:r>
      <w:r>
        <w:rPr>
          <w:rFonts w:eastAsia="仿宋_GB2312"/>
          <w:sz w:val="32"/>
          <w:szCs w:val="32"/>
        </w:rPr>
        <w:t>年初预算</w:t>
      </w:r>
      <w:r>
        <w:rPr>
          <w:rFonts w:eastAsia="仿宋_GB2312" w:hint="eastAsia"/>
          <w:sz w:val="32"/>
          <w:szCs w:val="32"/>
        </w:rPr>
        <w:t>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w:t>
      </w:r>
      <w:r>
        <w:rPr>
          <w:rFonts w:ascii="仿宋_GB2312" w:eastAsia="仿宋_GB2312" w:cs="DengXian-Regular" w:hint="eastAsia"/>
          <w:sz w:val="32"/>
          <w:szCs w:val="32"/>
        </w:rPr>
        <w:t>公务用车购置及运行维护费支出</w:t>
      </w:r>
      <w:r>
        <w:rPr>
          <w:rFonts w:ascii="仿宋_GB2312" w:eastAsia="仿宋_GB2312" w:cs="DengXian-Regular"/>
          <w:sz w:val="32"/>
          <w:szCs w:val="32"/>
        </w:rPr>
        <w:t>较</w:t>
      </w:r>
      <w:r>
        <w:rPr>
          <w:rFonts w:ascii="仿宋_GB2312" w:eastAsia="仿宋_GB2312" w:cs="DengXian-Regular" w:hint="eastAsia"/>
          <w:sz w:val="32"/>
          <w:szCs w:val="32"/>
        </w:rPr>
        <w:t>年初预算无增减变化；</w:t>
      </w:r>
      <w:r>
        <w:rPr>
          <w:rFonts w:eastAsia="仿宋_GB2312" w:hint="eastAsia"/>
          <w:sz w:val="32"/>
          <w:szCs w:val="32"/>
        </w:rPr>
        <w:t>比</w:t>
      </w:r>
      <w:r>
        <w:rPr>
          <w:rFonts w:eastAsia="仿宋_GB2312" w:hint="eastAsia"/>
          <w:sz w:val="32"/>
          <w:szCs w:val="32"/>
        </w:rPr>
        <w:t>2017</w:t>
      </w:r>
      <w:r>
        <w:rPr>
          <w:rFonts w:eastAsia="仿宋_GB2312" w:hint="eastAsia"/>
          <w:sz w:val="32"/>
          <w:szCs w:val="32"/>
        </w:rPr>
        <w:t>年度决算增加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w:t>
      </w:r>
      <w:r>
        <w:rPr>
          <w:rFonts w:ascii="仿宋_GB2312" w:eastAsia="仿宋_GB2312" w:cs="DengXian-Regular" w:hint="eastAsia"/>
          <w:sz w:val="32"/>
          <w:szCs w:val="32"/>
        </w:rPr>
        <w:t>公务用车购置及运行维护费支出较</w:t>
      </w:r>
      <w:r>
        <w:rPr>
          <w:rFonts w:ascii="仿宋_GB2312" w:eastAsia="仿宋_GB2312" w:cs="DengXian-Regular" w:hint="eastAsia"/>
          <w:sz w:val="32"/>
          <w:szCs w:val="32"/>
        </w:rPr>
        <w:t>2017</w:t>
      </w:r>
      <w:r>
        <w:rPr>
          <w:rFonts w:ascii="仿宋_GB2312" w:eastAsia="仿宋_GB2312" w:cs="DengXian-Regular" w:hint="eastAsia"/>
          <w:sz w:val="32"/>
          <w:szCs w:val="32"/>
        </w:rPr>
        <w:t>年度决算无增减变化</w:t>
      </w:r>
      <w:r>
        <w:rPr>
          <w:rFonts w:eastAsia="仿宋_GB2312"/>
          <w:sz w:val="32"/>
          <w:szCs w:val="32"/>
        </w:rPr>
        <w:t>。</w:t>
      </w:r>
    </w:p>
    <w:p w:rsidR="00737C24" w:rsidRDefault="00E5420A" w:rsidP="00737C24">
      <w:pPr>
        <w:adjustRightInd w:val="0"/>
        <w:snapToGrid w:val="0"/>
        <w:spacing w:line="584" w:lineRule="exact"/>
        <w:ind w:firstLineChars="200" w:firstLine="643"/>
        <w:rPr>
          <w:rFonts w:eastAsia="仿宋_GB2312"/>
          <w:b/>
          <w:bCs/>
          <w:sz w:val="32"/>
          <w:szCs w:val="32"/>
        </w:rPr>
      </w:pPr>
      <w:r>
        <w:rPr>
          <w:rFonts w:eastAsia="仿宋_GB2312"/>
          <w:b/>
          <w:bCs/>
          <w:sz w:val="32"/>
          <w:szCs w:val="32"/>
        </w:rPr>
        <w:t>其中：</w:t>
      </w:r>
    </w:p>
    <w:p w:rsidR="00737C24" w:rsidRDefault="00E5420A" w:rsidP="00737C24">
      <w:pPr>
        <w:adjustRightInd w:val="0"/>
        <w:snapToGrid w:val="0"/>
        <w:spacing w:line="584" w:lineRule="exact"/>
        <w:ind w:firstLineChars="200" w:firstLine="643"/>
        <w:rPr>
          <w:rFonts w:eastAsia="仿宋_GB2312"/>
          <w:sz w:val="32"/>
          <w:szCs w:val="32"/>
        </w:rPr>
      </w:pPr>
      <w:r>
        <w:rPr>
          <w:rFonts w:eastAsia="仿宋_GB2312"/>
          <w:b/>
          <w:sz w:val="32"/>
          <w:szCs w:val="32"/>
        </w:rPr>
        <w:lastRenderedPageBreak/>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w:t>
      </w:r>
      <w:r>
        <w:rPr>
          <w:rFonts w:eastAsia="仿宋_GB2312"/>
          <w:sz w:val="32"/>
          <w:szCs w:val="32"/>
        </w:rPr>
        <w:t>公务用车购置费支出</w:t>
      </w:r>
      <w:r>
        <w:rPr>
          <w:rFonts w:eastAsia="仿宋_GB2312" w:hint="eastAsia"/>
          <w:sz w:val="32"/>
          <w:szCs w:val="32"/>
        </w:rPr>
        <w:t>较年初预算无增减变化；比</w:t>
      </w:r>
      <w:r>
        <w:rPr>
          <w:rFonts w:eastAsia="仿宋_GB2312" w:hint="eastAsia"/>
          <w:sz w:val="32"/>
          <w:szCs w:val="32"/>
        </w:rPr>
        <w:t>2017</w:t>
      </w:r>
      <w:r>
        <w:rPr>
          <w:rFonts w:eastAsia="仿宋_GB2312" w:hint="eastAsia"/>
          <w:sz w:val="32"/>
          <w:szCs w:val="32"/>
        </w:rPr>
        <w:t>年度决算增加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w:t>
      </w:r>
      <w:r>
        <w:rPr>
          <w:rFonts w:eastAsia="仿宋_GB2312"/>
          <w:sz w:val="32"/>
          <w:szCs w:val="32"/>
        </w:rPr>
        <w:t>公务用车购置费支出</w:t>
      </w:r>
      <w:r>
        <w:rPr>
          <w:rFonts w:eastAsia="仿宋_GB2312" w:hint="eastAsia"/>
          <w:sz w:val="32"/>
          <w:szCs w:val="32"/>
        </w:rPr>
        <w:t>较</w:t>
      </w:r>
      <w:r>
        <w:rPr>
          <w:rFonts w:eastAsia="仿宋_GB2312" w:hint="eastAsia"/>
          <w:sz w:val="32"/>
          <w:szCs w:val="32"/>
        </w:rPr>
        <w:t>2017</w:t>
      </w:r>
      <w:r>
        <w:rPr>
          <w:rFonts w:eastAsia="仿宋_GB2312" w:hint="eastAsia"/>
          <w:sz w:val="32"/>
          <w:szCs w:val="32"/>
        </w:rPr>
        <w:t>年度决算无增减变化。</w:t>
      </w:r>
    </w:p>
    <w:p w:rsidR="00737C24" w:rsidRDefault="00E5420A" w:rsidP="00737C24">
      <w:pPr>
        <w:adjustRightInd w:val="0"/>
        <w:snapToGrid w:val="0"/>
        <w:spacing w:line="584" w:lineRule="exact"/>
        <w:ind w:firstLineChars="200" w:firstLine="643"/>
        <w:rPr>
          <w:rFonts w:eastAsia="仿宋_GB2312"/>
          <w:sz w:val="32"/>
          <w:szCs w:val="32"/>
        </w:rPr>
      </w:pPr>
      <w:r>
        <w:rPr>
          <w:rFonts w:eastAsia="仿宋_GB2312"/>
          <w:b/>
          <w:sz w:val="32"/>
          <w:szCs w:val="32"/>
        </w:rPr>
        <w:t>公务用车运行维护费支出</w:t>
      </w:r>
      <w:r>
        <w:rPr>
          <w:rFonts w:eastAsia="仿宋_GB2312" w:hint="eastAsia"/>
          <w:b/>
          <w:sz w:val="32"/>
          <w:szCs w:val="32"/>
        </w:rPr>
        <w:t>3.5</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w:t>
      </w:r>
      <w:r>
        <w:rPr>
          <w:rFonts w:eastAsia="仿宋_GB2312"/>
          <w:sz w:val="32"/>
          <w:szCs w:val="32"/>
        </w:rPr>
        <w:t>公车运行维护费支出</w:t>
      </w:r>
      <w:r>
        <w:rPr>
          <w:rFonts w:ascii="仿宋_GB2312" w:eastAsia="仿宋_GB2312" w:cs="DengXian-Regular"/>
          <w:sz w:val="32"/>
          <w:szCs w:val="32"/>
        </w:rPr>
        <w:t>较</w:t>
      </w:r>
      <w:r>
        <w:rPr>
          <w:rFonts w:ascii="仿宋_GB2312" w:eastAsia="仿宋_GB2312" w:cs="DengXian-Regular" w:hint="eastAsia"/>
          <w:sz w:val="32"/>
          <w:szCs w:val="32"/>
        </w:rPr>
        <w:t>年初预算无增减变化；</w:t>
      </w:r>
      <w:r>
        <w:rPr>
          <w:rFonts w:eastAsia="仿宋_GB2312" w:hint="eastAsia"/>
          <w:sz w:val="32"/>
          <w:szCs w:val="32"/>
        </w:rPr>
        <w:t>比</w:t>
      </w:r>
      <w:r>
        <w:rPr>
          <w:rFonts w:eastAsia="仿宋_GB2312" w:hint="eastAsia"/>
          <w:sz w:val="32"/>
          <w:szCs w:val="32"/>
        </w:rPr>
        <w:t>2017</w:t>
      </w:r>
      <w:r>
        <w:rPr>
          <w:rFonts w:eastAsia="仿宋_GB2312" w:hint="eastAsia"/>
          <w:sz w:val="32"/>
          <w:szCs w:val="32"/>
        </w:rPr>
        <w:t>年度决算增加</w:t>
      </w:r>
      <w:r>
        <w:rPr>
          <w:rFonts w:eastAsia="仿宋_GB2312" w:hint="eastAsia"/>
          <w:sz w:val="32"/>
          <w:szCs w:val="32"/>
        </w:rPr>
        <w:t>0</w:t>
      </w:r>
      <w:r>
        <w:rPr>
          <w:rFonts w:eastAsia="仿宋_GB2312" w:hint="eastAsia"/>
          <w:sz w:val="32"/>
          <w:szCs w:val="32"/>
        </w:rPr>
        <w:t>万元，增长</w:t>
      </w:r>
      <w:r>
        <w:rPr>
          <w:rFonts w:eastAsia="仿宋_GB2312" w:hint="eastAsia"/>
          <w:sz w:val="32"/>
          <w:szCs w:val="32"/>
        </w:rPr>
        <w:t>0%</w:t>
      </w:r>
      <w:r>
        <w:rPr>
          <w:rFonts w:eastAsia="仿宋_GB2312" w:hint="eastAsia"/>
          <w:sz w:val="32"/>
          <w:szCs w:val="32"/>
        </w:rPr>
        <w:t>，主要是</w:t>
      </w:r>
      <w:r>
        <w:rPr>
          <w:rFonts w:eastAsia="仿宋_GB2312"/>
          <w:sz w:val="32"/>
          <w:szCs w:val="32"/>
        </w:rPr>
        <w:t>公车运行维护费支出</w:t>
      </w:r>
      <w:r>
        <w:rPr>
          <w:rFonts w:eastAsia="仿宋_GB2312" w:hint="eastAsia"/>
          <w:sz w:val="32"/>
          <w:szCs w:val="32"/>
        </w:rPr>
        <w:t>较</w:t>
      </w:r>
      <w:r>
        <w:rPr>
          <w:rFonts w:eastAsia="仿宋_GB2312" w:hint="eastAsia"/>
          <w:sz w:val="32"/>
          <w:szCs w:val="32"/>
        </w:rPr>
        <w:t>2017</w:t>
      </w:r>
      <w:r>
        <w:rPr>
          <w:rFonts w:eastAsia="仿宋_GB2312" w:hint="eastAsia"/>
          <w:sz w:val="32"/>
          <w:szCs w:val="32"/>
        </w:rPr>
        <w:t>年</w:t>
      </w:r>
      <w:r>
        <w:rPr>
          <w:rFonts w:ascii="仿宋_GB2312" w:eastAsia="仿宋_GB2312" w:cs="DengXian-Regular" w:hint="eastAsia"/>
          <w:sz w:val="32"/>
          <w:szCs w:val="32"/>
        </w:rPr>
        <w:t>决算无增减变化</w:t>
      </w:r>
      <w:r>
        <w:rPr>
          <w:rFonts w:eastAsia="仿宋_GB2312"/>
          <w:sz w:val="32"/>
          <w:szCs w:val="32"/>
        </w:rPr>
        <w:t>。</w:t>
      </w:r>
    </w:p>
    <w:p w:rsidR="00737C24" w:rsidRDefault="00E5420A" w:rsidP="00737C24">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0.08</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3</w:t>
      </w:r>
      <w:r>
        <w:rPr>
          <w:rFonts w:eastAsia="仿宋_GB2312"/>
          <w:sz w:val="32"/>
          <w:szCs w:val="32"/>
        </w:rPr>
        <w:t>批次、</w:t>
      </w:r>
      <w:r>
        <w:rPr>
          <w:rFonts w:eastAsia="仿宋_GB2312" w:hint="eastAsia"/>
          <w:sz w:val="32"/>
          <w:szCs w:val="32"/>
        </w:rPr>
        <w:t>15</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0.02</w:t>
      </w:r>
      <w:r>
        <w:rPr>
          <w:rFonts w:eastAsia="仿宋_GB2312"/>
          <w:sz w:val="32"/>
          <w:szCs w:val="32"/>
        </w:rPr>
        <w:t>万元，降低</w:t>
      </w:r>
      <w:r>
        <w:rPr>
          <w:rFonts w:eastAsia="仿宋_GB2312" w:hint="eastAsia"/>
          <w:sz w:val="32"/>
          <w:szCs w:val="32"/>
        </w:rPr>
        <w:t>10</w:t>
      </w:r>
      <w:r>
        <w:rPr>
          <w:rFonts w:eastAsia="仿宋_GB2312"/>
          <w:sz w:val="32"/>
          <w:szCs w:val="32"/>
        </w:rPr>
        <w:t>%</w:t>
      </w:r>
      <w:r>
        <w:rPr>
          <w:rFonts w:eastAsia="仿宋_GB2312"/>
          <w:sz w:val="32"/>
          <w:szCs w:val="32"/>
        </w:rPr>
        <w:t>，主要是</w:t>
      </w:r>
      <w:r>
        <w:rPr>
          <w:rFonts w:eastAsia="仿宋_GB2312" w:hint="eastAsia"/>
          <w:sz w:val="32"/>
          <w:szCs w:val="32"/>
        </w:rPr>
        <w:t>提倡节俭，减少接待次数</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1.31</w:t>
      </w:r>
      <w:r>
        <w:rPr>
          <w:rFonts w:eastAsia="仿宋_GB2312"/>
          <w:sz w:val="32"/>
          <w:szCs w:val="32"/>
        </w:rPr>
        <w:t>万元，降低</w:t>
      </w:r>
      <w:r>
        <w:rPr>
          <w:rFonts w:eastAsia="仿宋_GB2312" w:hint="eastAsia"/>
          <w:sz w:val="32"/>
          <w:szCs w:val="32"/>
        </w:rPr>
        <w:t>94.24</w:t>
      </w:r>
      <w:r>
        <w:rPr>
          <w:rFonts w:eastAsia="仿宋_GB2312"/>
          <w:sz w:val="32"/>
          <w:szCs w:val="32"/>
        </w:rPr>
        <w:t>%</w:t>
      </w:r>
      <w:r>
        <w:rPr>
          <w:rFonts w:eastAsia="仿宋_GB2312"/>
          <w:sz w:val="32"/>
          <w:szCs w:val="32"/>
        </w:rPr>
        <w:t>，主要是</w:t>
      </w:r>
      <w:r>
        <w:rPr>
          <w:rFonts w:eastAsia="仿宋_GB2312" w:hint="eastAsia"/>
          <w:sz w:val="32"/>
          <w:szCs w:val="32"/>
        </w:rPr>
        <w:t>提</w:t>
      </w:r>
      <w:r>
        <w:rPr>
          <w:rFonts w:ascii="宋体" w:cs="宋体" w:hint="eastAsia"/>
          <w:sz w:val="32"/>
          <w:szCs w:val="32"/>
        </w:rPr>
        <w:t>倡节俭</w:t>
      </w:r>
      <w:r>
        <w:rPr>
          <w:rFonts w:eastAsia="仿宋_GB2312" w:hint="eastAsia"/>
          <w:sz w:val="32"/>
          <w:szCs w:val="32"/>
        </w:rPr>
        <w:t>，减少接待次数</w:t>
      </w:r>
      <w:r>
        <w:rPr>
          <w:rFonts w:eastAsia="仿宋_GB2312"/>
          <w:sz w:val="32"/>
          <w:szCs w:val="32"/>
        </w:rPr>
        <w:t>。</w:t>
      </w:r>
    </w:p>
    <w:p w:rsidR="00737C24" w:rsidRDefault="00E5420A">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737C24" w:rsidRDefault="00E5420A">
      <w:pPr>
        <w:ind w:firstLineChars="200" w:firstLine="640"/>
        <w:rPr>
          <w:rStyle w:val="Style1"/>
          <w:rFonts w:ascii="仿宋" w:eastAsia="仿宋"/>
          <w:sz w:val="32"/>
          <w:szCs w:val="32"/>
        </w:rPr>
      </w:pPr>
      <w:r>
        <w:rPr>
          <w:rStyle w:val="Style1"/>
          <w:rFonts w:ascii="仿宋" w:eastAsia="仿宋" w:hint="eastAsia"/>
          <w:sz w:val="32"/>
          <w:szCs w:val="32"/>
        </w:rPr>
        <w:t>（一）预算绩效管理工作开展情况。</w:t>
      </w:r>
    </w:p>
    <w:p w:rsidR="00737C24" w:rsidRDefault="00E5420A">
      <w:pPr>
        <w:ind w:firstLineChars="250" w:firstLine="800"/>
        <w:rPr>
          <w:rStyle w:val="Style1"/>
          <w:rFonts w:ascii="仿宋" w:eastAsia="仿宋"/>
          <w:sz w:val="32"/>
          <w:szCs w:val="32"/>
        </w:rPr>
      </w:pPr>
      <w:r>
        <w:rPr>
          <w:rStyle w:val="Style1"/>
          <w:rFonts w:ascii="仿宋" w:eastAsia="仿宋" w:hint="eastAsia"/>
          <w:sz w:val="32"/>
          <w:szCs w:val="32"/>
        </w:rPr>
        <w:t>2018</w:t>
      </w:r>
      <w:r>
        <w:rPr>
          <w:rStyle w:val="Style1"/>
          <w:rFonts w:ascii="仿宋" w:eastAsia="仿宋" w:hint="eastAsia"/>
          <w:sz w:val="32"/>
          <w:szCs w:val="32"/>
        </w:rPr>
        <w:t>年度科学规范的运用资金，力求节省开支，避免浪费。根据县财政预算绩效管理要求，县统计局部门以“部门职责—工作活动”为依据，确保部门预算项目和预算额度，清晰描述预算</w:t>
      </w:r>
      <w:r>
        <w:rPr>
          <w:rStyle w:val="Style1"/>
          <w:rFonts w:ascii="仿宋" w:eastAsia="仿宋" w:hint="eastAsia"/>
          <w:sz w:val="32"/>
          <w:szCs w:val="32"/>
        </w:rPr>
        <w:lastRenderedPageBreak/>
        <w:t>项目开支范围和内容，确定预算项目的绩效目标、绩效指标和评价标准，为预算绩效控制、绩效分析、绩效评价打下好的基础。</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737C24" w:rsidRDefault="00E5420A">
      <w:pPr>
        <w:autoSpaceDE w:val="0"/>
        <w:autoSpaceDN w:val="0"/>
        <w:adjustRightInd w:val="0"/>
        <w:ind w:firstLineChars="200" w:firstLine="640"/>
        <w:jc w:val="left"/>
        <w:rPr>
          <w:rFonts w:ascii="仿宋" w:eastAsia="仿宋" w:cs="FangSong"/>
          <w:kern w:val="0"/>
          <w:sz w:val="32"/>
          <w:szCs w:val="32"/>
        </w:rPr>
      </w:pPr>
      <w:r>
        <w:rPr>
          <w:rFonts w:ascii="仿宋" w:eastAsia="仿宋" w:cs="FangSong" w:hint="eastAsia"/>
          <w:kern w:val="0"/>
          <w:sz w:val="32"/>
          <w:szCs w:val="32"/>
        </w:rPr>
        <w:t>按照县财政预算管理要</w:t>
      </w:r>
      <w:r>
        <w:rPr>
          <w:rFonts w:ascii="仿宋" w:eastAsia="仿宋" w:cs="宋体" w:hint="eastAsia"/>
          <w:kern w:val="0"/>
          <w:sz w:val="32"/>
          <w:szCs w:val="32"/>
        </w:rPr>
        <w:t>求</w:t>
      </w:r>
      <w:r>
        <w:rPr>
          <w:rFonts w:ascii="仿宋" w:eastAsia="仿宋" w:cs="___WRD_EMBED_SUB_40" w:hint="eastAsia"/>
          <w:kern w:val="0"/>
          <w:sz w:val="32"/>
          <w:szCs w:val="32"/>
        </w:rPr>
        <w:t>，县统计局部门对</w:t>
      </w:r>
      <w:r>
        <w:rPr>
          <w:rFonts w:ascii="仿宋" w:eastAsia="仿宋" w:cs="·ÂËÎ" w:hint="eastAsia"/>
          <w:kern w:val="0"/>
          <w:sz w:val="32"/>
          <w:szCs w:val="32"/>
        </w:rPr>
        <w:t>2018</w:t>
      </w:r>
      <w:r>
        <w:rPr>
          <w:rFonts w:ascii="仿宋" w:eastAsia="仿宋" w:cs="FangSong" w:hint="eastAsia"/>
          <w:kern w:val="0"/>
          <w:sz w:val="32"/>
          <w:szCs w:val="32"/>
        </w:rPr>
        <w:t>年初确定的部门</w:t>
      </w:r>
      <w:r>
        <w:rPr>
          <w:rFonts w:ascii="仿宋" w:eastAsia="仿宋" w:cs="·ÂËÎ" w:hint="eastAsia"/>
          <w:kern w:val="0"/>
          <w:sz w:val="32"/>
          <w:szCs w:val="32"/>
        </w:rPr>
        <w:t>项目</w:t>
      </w:r>
      <w:r>
        <w:rPr>
          <w:rFonts w:ascii="仿宋" w:eastAsia="仿宋" w:cs="FangSong" w:hint="eastAsia"/>
          <w:kern w:val="0"/>
          <w:sz w:val="32"/>
          <w:szCs w:val="32"/>
        </w:rPr>
        <w:t>，共</w:t>
      </w:r>
      <w:r>
        <w:rPr>
          <w:rFonts w:ascii="仿宋" w:eastAsia="仿宋" w:cs="宋体" w:hint="eastAsia"/>
          <w:kern w:val="0"/>
          <w:sz w:val="32"/>
          <w:szCs w:val="32"/>
        </w:rPr>
        <w:t>涉</w:t>
      </w:r>
      <w:r>
        <w:rPr>
          <w:rFonts w:ascii="仿宋" w:eastAsia="仿宋" w:cs="___WRD_EMBED_SUB_40" w:hint="eastAsia"/>
          <w:kern w:val="0"/>
          <w:sz w:val="32"/>
          <w:szCs w:val="32"/>
        </w:rPr>
        <w:t>及预算资金</w:t>
      </w:r>
      <w:r>
        <w:rPr>
          <w:rFonts w:ascii="仿宋" w:eastAsia="仿宋" w:cs="宋体" w:hint="eastAsia"/>
          <w:kern w:val="0"/>
          <w:sz w:val="32"/>
          <w:szCs w:val="32"/>
        </w:rPr>
        <w:t>395.14</w:t>
      </w:r>
      <w:r>
        <w:rPr>
          <w:rFonts w:ascii="仿宋" w:eastAsia="仿宋" w:cs="FangSong" w:hint="eastAsia"/>
          <w:kern w:val="0"/>
          <w:sz w:val="32"/>
          <w:szCs w:val="32"/>
        </w:rPr>
        <w:t>万元，绩效自评</w:t>
      </w:r>
      <w:r>
        <w:rPr>
          <w:rFonts w:ascii="仿宋" w:eastAsia="仿宋" w:cs="宋体" w:hint="eastAsia"/>
          <w:kern w:val="0"/>
          <w:sz w:val="32"/>
          <w:szCs w:val="32"/>
        </w:rPr>
        <w:t>覆盖率达</w:t>
      </w:r>
      <w:r>
        <w:rPr>
          <w:rFonts w:ascii="仿宋" w:eastAsia="仿宋" w:cs="___WRD_EMBED_SUB_40" w:hint="eastAsia"/>
          <w:kern w:val="0"/>
          <w:sz w:val="32"/>
          <w:szCs w:val="32"/>
        </w:rPr>
        <w:t>到</w:t>
      </w:r>
      <w:r>
        <w:rPr>
          <w:rFonts w:ascii="仿宋" w:eastAsia="仿宋" w:cs="·ÂËÎ" w:hint="eastAsia"/>
          <w:kern w:val="0"/>
          <w:sz w:val="32"/>
          <w:szCs w:val="32"/>
        </w:rPr>
        <w:t>100%</w:t>
      </w:r>
      <w:r>
        <w:rPr>
          <w:rFonts w:ascii="仿宋" w:eastAsia="仿宋" w:cs="FangSong" w:hint="eastAsia"/>
          <w:kern w:val="0"/>
          <w:sz w:val="32"/>
          <w:szCs w:val="32"/>
        </w:rPr>
        <w:t>。</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737C24" w:rsidRDefault="00E5420A">
      <w:pPr>
        <w:adjustRightInd w:val="0"/>
        <w:snapToGrid w:val="0"/>
        <w:spacing w:after="0" w:line="580" w:lineRule="exact"/>
        <w:ind w:firstLineChars="200" w:firstLine="640"/>
        <w:rPr>
          <w:rFonts w:ascii="仿宋" w:eastAsia="仿宋" w:cs="DengXian-Regular"/>
          <w:sz w:val="32"/>
          <w:szCs w:val="32"/>
        </w:rPr>
      </w:pPr>
      <w:r>
        <w:rPr>
          <w:rFonts w:ascii="仿宋" w:eastAsia="仿宋" w:cs="宋体" w:hint="eastAsia"/>
          <w:sz w:val="32"/>
          <w:szCs w:val="32"/>
        </w:rPr>
        <w:t>第四次全国经济普查项目，</w:t>
      </w:r>
      <w:r>
        <w:rPr>
          <w:rFonts w:ascii="仿宋" w:eastAsia="仿宋" w:cs="FangSong" w:hint="eastAsia"/>
          <w:kern w:val="0"/>
          <w:sz w:val="32"/>
          <w:szCs w:val="32"/>
        </w:rPr>
        <w:t>根据全县</w:t>
      </w:r>
      <w:r>
        <w:rPr>
          <w:rFonts w:ascii="仿宋" w:eastAsia="仿宋" w:cs="宋体" w:hint="eastAsia"/>
          <w:kern w:val="0"/>
          <w:sz w:val="32"/>
          <w:szCs w:val="32"/>
        </w:rPr>
        <w:t>经济普查</w:t>
      </w:r>
      <w:r>
        <w:rPr>
          <w:rFonts w:ascii="仿宋" w:eastAsia="仿宋" w:cs="___WRD_EMBED_SUB_40" w:hint="eastAsia"/>
          <w:kern w:val="0"/>
          <w:sz w:val="32"/>
          <w:szCs w:val="32"/>
        </w:rPr>
        <w:t>工作计</w:t>
      </w:r>
      <w:r>
        <w:rPr>
          <w:rFonts w:ascii="仿宋" w:eastAsia="仿宋" w:cs="宋体" w:hint="eastAsia"/>
          <w:kern w:val="0"/>
          <w:sz w:val="32"/>
          <w:szCs w:val="32"/>
        </w:rPr>
        <w:t>划</w:t>
      </w:r>
      <w:r>
        <w:rPr>
          <w:rFonts w:ascii="仿宋" w:eastAsia="仿宋" w:cs="___WRD_EMBED_SUB_40" w:hint="eastAsia"/>
          <w:kern w:val="0"/>
          <w:sz w:val="32"/>
          <w:szCs w:val="32"/>
        </w:rPr>
        <w:t>要</w:t>
      </w:r>
      <w:r>
        <w:rPr>
          <w:rFonts w:ascii="仿宋" w:eastAsia="仿宋" w:cs="宋体" w:hint="eastAsia"/>
          <w:kern w:val="0"/>
          <w:sz w:val="32"/>
          <w:szCs w:val="32"/>
        </w:rPr>
        <w:t>求</w:t>
      </w:r>
      <w:r>
        <w:rPr>
          <w:rFonts w:ascii="仿宋" w:eastAsia="仿宋" w:cs="___WRD_EMBED_SUB_40" w:hint="eastAsia"/>
          <w:kern w:val="0"/>
          <w:sz w:val="32"/>
          <w:szCs w:val="32"/>
        </w:rPr>
        <w:t>，制定年度工作任务，经县局办公会通过，上报主管局领导同意，结合实际工作需要，按需安排经费支出，全面保障</w:t>
      </w:r>
      <w:r>
        <w:rPr>
          <w:rFonts w:ascii="仿宋" w:eastAsia="仿宋" w:cs="DengXian-Regular" w:hint="eastAsia"/>
          <w:sz w:val="32"/>
          <w:szCs w:val="32"/>
        </w:rPr>
        <w:t>普查活动的顺利进行。</w:t>
      </w:r>
      <w:r>
        <w:rPr>
          <w:rFonts w:ascii="仿宋" w:eastAsia="仿宋" w:cs="DengXian-Regular" w:hint="eastAsia"/>
          <w:sz w:val="32"/>
          <w:szCs w:val="32"/>
        </w:rPr>
        <w:t>2018</w:t>
      </w:r>
      <w:r>
        <w:rPr>
          <w:rFonts w:ascii="仿宋" w:eastAsia="仿宋" w:cs="DengXian-Regular" w:hint="eastAsia"/>
          <w:sz w:val="32"/>
          <w:szCs w:val="32"/>
        </w:rPr>
        <w:t>年是普查活动的</w:t>
      </w:r>
      <w:r>
        <w:rPr>
          <w:rFonts w:ascii="仿宋" w:eastAsia="仿宋" w:cs="宋体" w:hint="eastAsia"/>
          <w:sz w:val="32"/>
          <w:szCs w:val="32"/>
        </w:rPr>
        <w:t>攻坚阶段，组织普查员培训，不定期检查、抽查各乡镇、村街普查数据，任务完成率</w:t>
      </w:r>
      <w:r>
        <w:rPr>
          <w:rFonts w:ascii="仿宋" w:eastAsia="仿宋" w:cs="宋体" w:hint="eastAsia"/>
          <w:sz w:val="32"/>
          <w:szCs w:val="32"/>
        </w:rPr>
        <w:t>100%</w:t>
      </w:r>
      <w:r>
        <w:rPr>
          <w:rFonts w:ascii="仿宋" w:eastAsia="仿宋" w:cs="宋体" w:hint="eastAsia"/>
          <w:sz w:val="32"/>
          <w:szCs w:val="32"/>
        </w:rPr>
        <w:t>，很</w:t>
      </w:r>
      <w:r>
        <w:rPr>
          <w:rFonts w:ascii="仿宋" w:eastAsia="仿宋" w:cs="___WRD_EMBED_SUB_40" w:hint="eastAsia"/>
          <w:sz w:val="32"/>
          <w:szCs w:val="32"/>
        </w:rPr>
        <w:t>好的完成</w:t>
      </w:r>
      <w:r>
        <w:rPr>
          <w:rFonts w:ascii="仿宋" w:eastAsia="仿宋" w:cs="宋体" w:hint="eastAsia"/>
          <w:sz w:val="32"/>
          <w:szCs w:val="32"/>
        </w:rPr>
        <w:t>了</w:t>
      </w:r>
      <w:r>
        <w:rPr>
          <w:rFonts w:ascii="仿宋" w:eastAsia="仿宋" w:cs="___WRD_EMBED_SUB_40" w:hint="eastAsia"/>
          <w:sz w:val="32"/>
          <w:szCs w:val="32"/>
        </w:rPr>
        <w:t>职</w:t>
      </w:r>
      <w:r>
        <w:rPr>
          <w:rFonts w:ascii="仿宋" w:eastAsia="仿宋" w:cs="宋体" w:hint="eastAsia"/>
          <w:sz w:val="32"/>
          <w:szCs w:val="32"/>
        </w:rPr>
        <w:t>责</w:t>
      </w:r>
      <w:r>
        <w:rPr>
          <w:rFonts w:ascii="仿宋" w:eastAsia="仿宋" w:cs="___WRD_EMBED_SUB_40" w:hint="eastAsia"/>
          <w:sz w:val="32"/>
          <w:szCs w:val="32"/>
        </w:rPr>
        <w:t>活动绩效指标评价标</w:t>
      </w:r>
      <w:r>
        <w:rPr>
          <w:rFonts w:ascii="仿宋" w:eastAsia="仿宋" w:cs="宋体" w:hint="eastAsia"/>
          <w:sz w:val="32"/>
          <w:szCs w:val="32"/>
        </w:rPr>
        <w:t>准</w:t>
      </w:r>
      <w:r>
        <w:rPr>
          <w:rFonts w:ascii="仿宋" w:eastAsia="仿宋" w:cs="DengXian-Regular" w:hint="eastAsia"/>
          <w:sz w:val="32"/>
          <w:szCs w:val="32"/>
        </w:rPr>
        <w:t>。</w:t>
      </w:r>
    </w:p>
    <w:p w:rsidR="00737C24" w:rsidRDefault="00E5420A">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737C24" w:rsidRDefault="00E5420A" w:rsidP="00737C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737C24" w:rsidRDefault="00E5420A">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本部门</w:t>
      </w:r>
      <w:r>
        <w:rPr>
          <w:rFonts w:ascii="仿宋" w:eastAsia="仿宋" w:cs="DengXian-Regular" w:hint="eastAsia"/>
          <w:sz w:val="32"/>
          <w:szCs w:val="32"/>
        </w:rPr>
        <w:t>2018</w:t>
      </w:r>
      <w:r>
        <w:rPr>
          <w:rFonts w:ascii="仿宋" w:eastAsia="仿宋" w:cs="DengXian-Regular" w:hint="eastAsia"/>
          <w:sz w:val="32"/>
          <w:szCs w:val="32"/>
        </w:rPr>
        <w:t>年度机关运行经费支出</w:t>
      </w:r>
      <w:r>
        <w:rPr>
          <w:rFonts w:ascii="仿宋" w:eastAsia="仿宋" w:cs="DengXian-Regular" w:hint="eastAsia"/>
          <w:sz w:val="32"/>
          <w:szCs w:val="32"/>
        </w:rPr>
        <w:t>24.53</w:t>
      </w:r>
      <w:r>
        <w:rPr>
          <w:rFonts w:ascii="仿宋" w:eastAsia="仿宋" w:cs="DengXian-Regular" w:hint="eastAsia"/>
          <w:sz w:val="32"/>
          <w:szCs w:val="32"/>
        </w:rPr>
        <w:t>万元，</w:t>
      </w:r>
      <w:r>
        <w:rPr>
          <w:rFonts w:ascii="仿宋" w:eastAsia="仿宋" w:cs="DengXian-Regular"/>
          <w:sz w:val="32"/>
          <w:szCs w:val="32"/>
        </w:rPr>
        <w:t>比</w:t>
      </w:r>
      <w:r>
        <w:rPr>
          <w:rFonts w:ascii="仿宋" w:eastAsia="仿宋" w:cs="DengXian-Regular" w:hint="eastAsia"/>
          <w:sz w:val="32"/>
          <w:szCs w:val="32"/>
        </w:rPr>
        <w:t>年初预算数</w:t>
      </w:r>
      <w:r>
        <w:rPr>
          <w:rFonts w:ascii="仿宋" w:eastAsia="仿宋" w:cs="宋体"/>
          <w:sz w:val="32"/>
          <w:szCs w:val="32"/>
        </w:rPr>
        <w:t>增加</w:t>
      </w:r>
      <w:r>
        <w:rPr>
          <w:rFonts w:ascii="仿宋" w:eastAsia="仿宋" w:cs="宋体"/>
          <w:sz w:val="32"/>
          <w:szCs w:val="32"/>
        </w:rPr>
        <w:t>0</w:t>
      </w:r>
      <w:r>
        <w:rPr>
          <w:rFonts w:ascii="仿宋" w:eastAsia="仿宋" w:cs="宋体"/>
          <w:sz w:val="32"/>
          <w:szCs w:val="32"/>
        </w:rPr>
        <w:t>万元，增长</w:t>
      </w:r>
      <w:r>
        <w:rPr>
          <w:rFonts w:ascii="仿宋" w:eastAsia="仿宋" w:cs="宋体"/>
          <w:sz w:val="32"/>
          <w:szCs w:val="32"/>
        </w:rPr>
        <w:t>0%</w:t>
      </w:r>
      <w:r>
        <w:rPr>
          <w:rFonts w:ascii="仿宋" w:eastAsia="仿宋" w:cs="宋体"/>
          <w:sz w:val="32"/>
          <w:szCs w:val="32"/>
        </w:rPr>
        <w:t>，主要是人员</w:t>
      </w:r>
      <w:bookmarkStart w:id="0" w:name="_GoBack"/>
      <w:bookmarkEnd w:id="0"/>
      <w:r>
        <w:rPr>
          <w:rFonts w:ascii="仿宋" w:eastAsia="仿宋" w:cs="宋体"/>
          <w:sz w:val="32"/>
          <w:szCs w:val="32"/>
        </w:rPr>
        <w:t>无增减变化</w:t>
      </w:r>
      <w:r>
        <w:rPr>
          <w:rFonts w:ascii="仿宋" w:eastAsia="仿宋" w:cs="DengXian-Regular" w:hint="eastAsia"/>
          <w:sz w:val="32"/>
          <w:szCs w:val="32"/>
        </w:rPr>
        <w:t>。</w:t>
      </w:r>
      <w:r>
        <w:rPr>
          <w:rFonts w:ascii="仿宋" w:eastAsia="仿宋"/>
          <w:sz w:val="32"/>
          <w:szCs w:val="32"/>
        </w:rPr>
        <w:t>较</w:t>
      </w:r>
      <w:r>
        <w:rPr>
          <w:rFonts w:ascii="仿宋" w:eastAsia="仿宋"/>
          <w:sz w:val="32"/>
          <w:szCs w:val="32"/>
        </w:rPr>
        <w:t>201</w:t>
      </w:r>
      <w:r>
        <w:rPr>
          <w:rFonts w:ascii="仿宋" w:eastAsia="仿宋" w:hint="eastAsia"/>
          <w:sz w:val="32"/>
          <w:szCs w:val="32"/>
        </w:rPr>
        <w:t>7</w:t>
      </w:r>
      <w:r>
        <w:rPr>
          <w:rFonts w:ascii="仿宋" w:eastAsia="仿宋"/>
          <w:sz w:val="32"/>
          <w:szCs w:val="32"/>
        </w:rPr>
        <w:t>年度决算增加</w:t>
      </w:r>
      <w:r>
        <w:rPr>
          <w:rFonts w:ascii="仿宋" w:eastAsia="仿宋" w:hint="eastAsia"/>
          <w:sz w:val="32"/>
          <w:szCs w:val="32"/>
        </w:rPr>
        <w:t>4.51</w:t>
      </w:r>
      <w:r>
        <w:rPr>
          <w:rFonts w:ascii="仿宋" w:eastAsia="仿宋"/>
          <w:sz w:val="32"/>
          <w:szCs w:val="32"/>
        </w:rPr>
        <w:t>万元，增长</w:t>
      </w:r>
      <w:r>
        <w:rPr>
          <w:rFonts w:ascii="仿宋" w:eastAsia="仿宋" w:hint="eastAsia"/>
          <w:sz w:val="32"/>
          <w:szCs w:val="32"/>
        </w:rPr>
        <w:t>18.39</w:t>
      </w:r>
      <w:r>
        <w:rPr>
          <w:rFonts w:ascii="仿宋" w:eastAsia="仿宋"/>
          <w:sz w:val="32"/>
          <w:szCs w:val="32"/>
        </w:rPr>
        <w:t>%</w:t>
      </w:r>
      <w:r>
        <w:rPr>
          <w:rFonts w:ascii="仿宋" w:eastAsia="仿宋"/>
          <w:sz w:val="32"/>
          <w:szCs w:val="32"/>
        </w:rPr>
        <w:t>，主要是</w:t>
      </w:r>
      <w:r>
        <w:rPr>
          <w:rFonts w:ascii="仿宋" w:eastAsia="仿宋" w:hint="eastAsia"/>
          <w:sz w:val="32"/>
          <w:szCs w:val="32"/>
        </w:rPr>
        <w:t>人员增加经费调整</w:t>
      </w:r>
      <w:r>
        <w:rPr>
          <w:rFonts w:ascii="仿宋" w:eastAsia="仿宋"/>
          <w:sz w:val="32"/>
          <w:szCs w:val="32"/>
        </w:rPr>
        <w:t>。</w:t>
      </w:r>
    </w:p>
    <w:p w:rsidR="00737C24" w:rsidRDefault="00E5420A" w:rsidP="00737C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737C24" w:rsidRDefault="00E5420A">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3.78</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3.78</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w:t>
      </w:r>
      <w:r>
        <w:rPr>
          <w:rFonts w:ascii="仿宋_GB2312" w:eastAsia="仿宋_GB2312" w:cs="仿宋_GB2312"/>
          <w:color w:val="000000"/>
          <w:kern w:val="0"/>
          <w:sz w:val="32"/>
          <w:szCs w:val="32"/>
        </w:rPr>
        <w:lastRenderedPageBreak/>
        <w:t>政府采购服务支出</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w:t>
      </w:r>
      <w:proofErr w:type="gramStart"/>
      <w:r>
        <w:rPr>
          <w:rFonts w:ascii="仿宋_GB2312" w:eastAsia="仿宋_GB2312" w:cs="仿宋_GB2312"/>
          <w:color w:val="000000"/>
          <w:kern w:val="0"/>
          <w:sz w:val="32"/>
          <w:szCs w:val="32"/>
        </w:rPr>
        <w:t>微企业</w:t>
      </w:r>
      <w:proofErr w:type="gramEnd"/>
      <w:r>
        <w:rPr>
          <w:rFonts w:ascii="仿宋_GB2312" w:eastAsia="仿宋_GB2312" w:cs="仿宋_GB2312"/>
          <w:color w:val="000000"/>
          <w:kern w:val="0"/>
          <w:sz w:val="32"/>
          <w:szCs w:val="32"/>
        </w:rPr>
        <w:t>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r>
        <w:rPr>
          <w:rFonts w:ascii="仿宋_GB2312" w:eastAsia="仿宋_GB2312" w:cs="仿宋_GB2312"/>
          <w:color w:val="000000"/>
          <w:kern w:val="0"/>
          <w:sz w:val="32"/>
          <w:szCs w:val="32"/>
        </w:rPr>
        <w:t>。</w:t>
      </w:r>
    </w:p>
    <w:p w:rsidR="00737C24" w:rsidRDefault="00E5420A" w:rsidP="00737C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1</w:t>
      </w:r>
      <w:r>
        <w:rPr>
          <w:rFonts w:ascii="仿宋_GB2312" w:eastAsia="仿宋_GB2312" w:cs="DengXian-Regular" w:hint="eastAsia"/>
          <w:sz w:val="32"/>
          <w:szCs w:val="32"/>
        </w:rPr>
        <w:t>辆，比上年</w:t>
      </w:r>
      <w:r>
        <w:rPr>
          <w:rFonts w:ascii="宋体" w:cs="宋体" w:hint="eastAsia"/>
          <w:sz w:val="32"/>
          <w:szCs w:val="32"/>
        </w:rPr>
        <w:t>持平</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w:t>
      </w:r>
      <w:r>
        <w:rPr>
          <w:rFonts w:ascii="仿宋_GB2312" w:eastAsia="仿宋_GB2312" w:cs="DengXian-Regular" w:hint="eastAsia"/>
          <w:sz w:val="32"/>
          <w:szCs w:val="32"/>
        </w:rPr>
        <w:t>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w:t>
      </w:r>
      <w:r>
        <w:rPr>
          <w:rFonts w:ascii="仿宋_GB2312" w:eastAsia="仿宋_GB2312" w:cs="DengXian-Regular" w:hint="eastAsia"/>
          <w:sz w:val="32"/>
          <w:szCs w:val="32"/>
        </w:rPr>
        <w:t>0</w:t>
      </w:r>
      <w:r>
        <w:rPr>
          <w:rFonts w:ascii="仿宋_GB2312" w:eastAsia="仿宋_GB2312" w:cs="DengXian-Regular" w:hint="eastAsia"/>
          <w:sz w:val="32"/>
          <w:szCs w:val="32"/>
        </w:rPr>
        <w:t>；单位价值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w:t>
      </w:r>
      <w:r>
        <w:rPr>
          <w:rFonts w:ascii="仿宋_GB2312" w:eastAsia="仿宋_GB2312" w:cs="DengXian-Regular" w:hint="eastAsia"/>
          <w:sz w:val="32"/>
          <w:szCs w:val="32"/>
        </w:rPr>
        <w:t>，比上年</w:t>
      </w:r>
      <w:r>
        <w:rPr>
          <w:rFonts w:ascii="宋体" w:cs="宋体" w:hint="eastAsia"/>
          <w:sz w:val="32"/>
          <w:szCs w:val="32"/>
        </w:rPr>
        <w:t>持平</w:t>
      </w:r>
      <w:r>
        <w:rPr>
          <w:rFonts w:ascii="仿宋_GB2312" w:eastAsia="仿宋_GB2312" w:cs="DengXian-Regular" w:hint="eastAsia"/>
          <w:sz w:val="32"/>
          <w:szCs w:val="32"/>
        </w:rPr>
        <w:t>，单位价值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w:t>
      </w:r>
      <w:r>
        <w:rPr>
          <w:rFonts w:ascii="仿宋_GB2312" w:eastAsia="仿宋_GB2312" w:cs="DengXian-Regular" w:hint="eastAsia"/>
          <w:sz w:val="32"/>
          <w:szCs w:val="32"/>
        </w:rPr>
        <w:t>，比上年</w:t>
      </w:r>
      <w:r>
        <w:rPr>
          <w:rFonts w:ascii="宋体" w:cs="宋体" w:hint="eastAsia"/>
          <w:sz w:val="32"/>
          <w:szCs w:val="32"/>
        </w:rPr>
        <w:t>持平</w:t>
      </w:r>
      <w:r>
        <w:rPr>
          <w:rFonts w:ascii="仿宋_GB2312" w:eastAsia="仿宋_GB2312" w:cs="DengXian-Regular" w:hint="eastAsia"/>
          <w:sz w:val="32"/>
          <w:szCs w:val="32"/>
        </w:rPr>
        <w:t>。</w:t>
      </w:r>
    </w:p>
    <w:p w:rsidR="00737C24" w:rsidRDefault="00E5420A" w:rsidP="00737C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年末结转结余</w:t>
      </w:r>
      <w:r>
        <w:rPr>
          <w:rFonts w:ascii="仿宋_GB2312" w:eastAsia="仿宋_GB2312" w:cs="DengXian-Regular" w:hint="eastAsia"/>
          <w:sz w:val="32"/>
          <w:szCs w:val="32"/>
        </w:rPr>
        <w:t>57.42</w:t>
      </w:r>
      <w:r>
        <w:rPr>
          <w:rFonts w:ascii="仿宋_GB2312" w:eastAsia="仿宋_GB2312" w:cs="DengXian-Regular" w:hint="eastAsia"/>
          <w:sz w:val="32"/>
          <w:szCs w:val="32"/>
        </w:rPr>
        <w:t>万元，结转结余资金为</w:t>
      </w:r>
      <w:r>
        <w:rPr>
          <w:rFonts w:ascii="仿宋" w:eastAsia="仿宋" w:cs="DengXian-Regular" w:hint="eastAsia"/>
          <w:sz w:val="32"/>
          <w:szCs w:val="32"/>
        </w:rPr>
        <w:t>跨年</w:t>
      </w:r>
      <w:r>
        <w:rPr>
          <w:rFonts w:ascii="仿宋_GB2312" w:eastAsia="仿宋_GB2312" w:cs="DengXian-Regular" w:hint="eastAsia"/>
          <w:sz w:val="32"/>
          <w:szCs w:val="32"/>
        </w:rPr>
        <w:t>度执行的</w:t>
      </w:r>
      <w:r>
        <w:rPr>
          <w:rFonts w:ascii="仿宋" w:eastAsia="仿宋" w:cs="宋体" w:hint="eastAsia"/>
          <w:sz w:val="32"/>
          <w:szCs w:val="32"/>
        </w:rPr>
        <w:t>第四次全国经济普查</w:t>
      </w:r>
      <w:r>
        <w:rPr>
          <w:rFonts w:ascii="仿宋_GB2312" w:eastAsia="仿宋_GB2312" w:cs="DengXian-Regular" w:hint="eastAsia"/>
          <w:sz w:val="32"/>
          <w:szCs w:val="32"/>
        </w:rPr>
        <w:t>项目资金。</w:t>
      </w:r>
    </w:p>
    <w:p w:rsidR="00737C24" w:rsidRDefault="00E5420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737C24" w:rsidRDefault="00737C24" w:rsidP="00737C24">
      <w:pPr>
        <w:widowControl/>
        <w:spacing w:after="0" w:line="580" w:lineRule="exact"/>
        <w:ind w:firstLineChars="200" w:firstLine="883"/>
        <w:jc w:val="left"/>
        <w:rPr>
          <w:rFonts w:ascii="宋体" w:cs="MS-UIGothic,Bold"/>
          <w:b/>
          <w:bCs/>
          <w:kern w:val="0"/>
          <w:sz w:val="44"/>
          <w:szCs w:val="44"/>
        </w:rPr>
        <w:sectPr w:rsidR="00737C24">
          <w:pgSz w:w="11906" w:h="16838"/>
          <w:pgMar w:top="2098" w:right="1474" w:bottom="1984" w:left="1588" w:header="851" w:footer="784" w:gutter="0"/>
          <w:cols w:space="720"/>
          <w:docGrid w:type="lines" w:linePitch="312"/>
        </w:sectPr>
      </w:pPr>
    </w:p>
    <w:p w:rsidR="00737C24" w:rsidRDefault="00737C24">
      <w:pPr>
        <w:widowControl/>
        <w:spacing w:line="1200" w:lineRule="exact"/>
        <w:jc w:val="center"/>
        <w:rPr>
          <w:rFonts w:ascii="黑体" w:eastAsia="黑体"/>
          <w:color w:val="000000"/>
          <w:sz w:val="96"/>
          <w:szCs w:val="96"/>
        </w:rPr>
      </w:pPr>
    </w:p>
    <w:p w:rsidR="00737C24" w:rsidRDefault="00737C24">
      <w:pPr>
        <w:widowControl/>
        <w:spacing w:line="1200" w:lineRule="exact"/>
        <w:jc w:val="center"/>
        <w:rPr>
          <w:rFonts w:ascii="黑体" w:eastAsia="黑体"/>
          <w:color w:val="000000"/>
          <w:sz w:val="96"/>
          <w:szCs w:val="96"/>
        </w:rPr>
      </w:pPr>
    </w:p>
    <w:p w:rsidR="00737C24" w:rsidRDefault="00737C24">
      <w:pPr>
        <w:widowControl/>
        <w:spacing w:line="1200" w:lineRule="exact"/>
        <w:jc w:val="center"/>
        <w:rPr>
          <w:rFonts w:ascii="黑体" w:eastAsia="黑体"/>
          <w:color w:val="000000"/>
          <w:sz w:val="96"/>
          <w:szCs w:val="96"/>
        </w:rPr>
      </w:pPr>
    </w:p>
    <w:p w:rsidR="00737C24" w:rsidRDefault="00E5420A">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737C24" w:rsidRDefault="00E5420A">
      <w:pPr>
        <w:widowControl/>
        <w:spacing w:line="1200" w:lineRule="exact"/>
        <w:jc w:val="center"/>
        <w:rPr>
          <w:color w:val="000000"/>
          <w:sz w:val="96"/>
          <w:szCs w:val="96"/>
        </w:rPr>
      </w:pPr>
      <w:r>
        <w:rPr>
          <w:rFonts w:ascii="黑体" w:eastAsia="黑体" w:hint="eastAsia"/>
          <w:color w:val="000000"/>
          <w:sz w:val="96"/>
          <w:szCs w:val="96"/>
        </w:rPr>
        <w:t>名词解释</w:t>
      </w:r>
    </w:p>
    <w:p w:rsidR="00737C24" w:rsidRDefault="00737C24">
      <w:pPr>
        <w:rPr>
          <w:rFonts w:ascii="宋体" w:cs="ArialUnicodeMS"/>
          <w:color w:val="000000"/>
          <w:kern w:val="0"/>
        </w:rPr>
        <w:sectPr w:rsidR="00737C24">
          <w:pgSz w:w="11906" w:h="16838"/>
          <w:pgMar w:top="2098" w:right="1474" w:bottom="1984" w:left="1588" w:header="851" w:footer="226" w:gutter="0"/>
          <w:cols w:space="720"/>
          <w:docGrid w:type="lines" w:linePitch="312"/>
        </w:sectPr>
      </w:pP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w:t>
      </w:r>
      <w:r>
        <w:rPr>
          <w:rFonts w:ascii="仿宋_GB2312" w:eastAsia="仿宋_GB2312" w:hint="eastAsia"/>
          <w:color w:val="000000"/>
          <w:kern w:val="0"/>
          <w:sz w:val="32"/>
          <w:szCs w:val="32"/>
        </w:rPr>
        <w:t>补本年度收支缺口的资金。</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w:t>
      </w:r>
      <w:r>
        <w:rPr>
          <w:rFonts w:ascii="仿宋_GB2312" w:eastAsia="仿宋_GB2312" w:hint="eastAsia"/>
          <w:color w:val="000000"/>
          <w:kern w:val="0"/>
          <w:sz w:val="32"/>
          <w:szCs w:val="32"/>
        </w:rPr>
        <w:t>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737C24" w:rsidRDefault="00E5420A" w:rsidP="00737C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737C24" w:rsidRDefault="00E5420A" w:rsidP="00737C24">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ind w:firstLineChars="200" w:firstLine="640"/>
        <w:rPr>
          <w:rFonts w:ascii="仿宋_GB2312" w:eastAsia="仿宋_GB2312" w:cs="ArialUnicodeMS"/>
          <w:kern w:val="0"/>
          <w:sz w:val="32"/>
          <w:szCs w:val="32"/>
        </w:rPr>
      </w:pPr>
    </w:p>
    <w:p w:rsidR="00737C24" w:rsidRDefault="00737C24">
      <w:pPr>
        <w:widowControl/>
        <w:spacing w:after="0" w:line="560" w:lineRule="exact"/>
        <w:rPr>
          <w:rFonts w:ascii="仿宋_GB2312" w:eastAsia="仿宋_GB2312" w:cs="ArialUnicodeMS"/>
          <w:kern w:val="0"/>
          <w:sz w:val="32"/>
          <w:szCs w:val="32"/>
        </w:rPr>
      </w:pPr>
    </w:p>
    <w:sectPr w:rsidR="00737C24" w:rsidSect="00737C24">
      <w:pgSz w:w="11906" w:h="16838"/>
      <w:pgMar w:top="2098" w:right="1474" w:bottom="1985" w:left="1588" w:header="851"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24" w:rsidRDefault="00737C24" w:rsidP="00737C24">
      <w:pPr>
        <w:spacing w:after="0" w:line="240" w:lineRule="auto"/>
      </w:pPr>
      <w:r>
        <w:separator/>
      </w:r>
    </w:p>
  </w:endnote>
  <w:endnote w:type="continuationSeparator" w:id="1">
    <w:p w:rsidR="00737C24" w:rsidRDefault="00737C24" w:rsidP="00737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MS-UIGothic,Bold">
    <w:altName w:val="Malgun Gothic"/>
    <w:charset w:val="81"/>
    <w:family w:val="auto"/>
    <w:pitch w:val="variable"/>
    <w:sig w:usb0="00000000" w:usb1="00000000" w:usb2="00000010" w:usb3="00000000" w:csb0="00080000" w:csb1="00000000"/>
  </w:font>
  <w:font w:name="DengXian-Regular">
    <w:altName w:val="宋体"/>
    <w:charset w:val="86"/>
    <w:family w:val="auto"/>
    <w:pitch w:val="variable"/>
    <w:sig w:usb0="00000000" w:usb1="00000000" w:usb2="00000010" w:usb3="00000000" w:csb0="00040001" w:csb1="00000000"/>
  </w:font>
  <w:font w:name="楷体_GB2312">
    <w:altName w:val="楷体"/>
    <w:charset w:val="86"/>
    <w:family w:val="modern"/>
    <w:pitch w:val="variable"/>
    <w:sig w:usb0="00000001" w:usb1="080E0000" w:usb2="00000010" w:usb3="00000000" w:csb0="00040000" w:csb1="00000000"/>
  </w:font>
  <w:font w:name="DengXian-Bold">
    <w:altName w:val="宋体"/>
    <w:charset w:val="86"/>
    <w:family w:val="auto"/>
    <w:pitch w:val="variable"/>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___WRD_EMBED_SUB_40">
    <w:altName w:val="黑体"/>
    <w:charset w:val="86"/>
    <w:family w:val="modern"/>
    <w:pitch w:val="variable"/>
    <w:sig w:usb0="00000001" w:usb1="080E0000" w:usb2="00000010" w:usb3="00000000" w:csb0="00040000" w:csb1="00000000"/>
  </w:font>
  <w:font w:name="FangSong">
    <w:altName w:val="宋体"/>
    <w:charset w:val="86"/>
    <w:family w:val="auto"/>
    <w:pitch w:val="variable"/>
    <w:sig w:usb0="00000001" w:usb1="080E0000" w:usb2="00000010" w:usb3="00000000" w:csb0="00040000" w:csb1="00000000"/>
  </w:font>
  <w:font w:name="·ÂËÎ">
    <w:altName w:val="Arial"/>
    <w:charset w:val="00"/>
    <w:family w:val="modern"/>
    <w:pitch w:val="variable"/>
    <w:sig w:usb0="00000003" w:usb1="00000000" w:usb2="00000000" w:usb3="00000000" w:csb0="00000001" w:csb1="00000000"/>
  </w:font>
  <w:font w:name="TimesNewRomanPSMT">
    <w:altName w:val="Arial"/>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4" w:rsidRDefault="00737C24">
    <w:pPr>
      <w:pStyle w:val="a5"/>
      <w:jc w:val="center"/>
    </w:pPr>
  </w:p>
  <w:p w:rsidR="00737C24" w:rsidRDefault="00737C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24" w:rsidRDefault="00737C24" w:rsidP="00737C24">
      <w:pPr>
        <w:spacing w:after="0" w:line="240" w:lineRule="auto"/>
      </w:pPr>
      <w:r>
        <w:separator/>
      </w:r>
    </w:p>
  </w:footnote>
  <w:footnote w:type="continuationSeparator" w:id="1">
    <w:p w:rsidR="00737C24" w:rsidRDefault="00737C24" w:rsidP="00737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737C24"/>
    <w:rsid w:val="00737C24"/>
    <w:rsid w:val="00E54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7C24"/>
    <w:pPr>
      <w:widowControl w:val="0"/>
      <w:spacing w:after="160" w:line="480" w:lineRule="auto"/>
      <w:jc w:val="both"/>
    </w:pPr>
    <w:rPr>
      <w:kern w:val="2"/>
      <w:sz w:val="21"/>
      <w:szCs w:val="24"/>
    </w:rPr>
  </w:style>
  <w:style w:type="paragraph" w:styleId="1">
    <w:name w:val="heading 1"/>
    <w:basedOn w:val="a"/>
    <w:next w:val="a"/>
    <w:rsid w:val="00737C24"/>
    <w:pPr>
      <w:keepNext/>
      <w:keepLines/>
      <w:spacing w:before="340" w:after="330" w:line="578" w:lineRule="auto"/>
      <w:outlineLvl w:val="0"/>
    </w:pPr>
    <w:rPr>
      <w:b/>
      <w:bCs/>
      <w:kern w:val="44"/>
      <w:sz w:val="44"/>
      <w:szCs w:val="44"/>
    </w:rPr>
  </w:style>
  <w:style w:type="paragraph" w:styleId="2">
    <w:name w:val="heading 2"/>
    <w:basedOn w:val="a"/>
    <w:next w:val="a"/>
    <w:rsid w:val="00737C24"/>
    <w:pPr>
      <w:keepNext/>
      <w:keepLines/>
      <w:spacing w:before="260" w:after="260" w:line="415" w:lineRule="auto"/>
      <w:outlineLvl w:val="1"/>
    </w:pPr>
    <w:rPr>
      <w:rFonts w:ascii="Calibri" w:hAnsi="Calibri" w:cs="Arial"/>
      <w:b/>
      <w:bCs/>
      <w:sz w:val="32"/>
      <w:szCs w:val="32"/>
    </w:rPr>
  </w:style>
  <w:style w:type="paragraph" w:styleId="3">
    <w:name w:val="heading 3"/>
    <w:basedOn w:val="a"/>
    <w:next w:val="a"/>
    <w:rsid w:val="00737C24"/>
    <w:pPr>
      <w:keepNext/>
      <w:keepLines/>
      <w:spacing w:before="260" w:after="260" w:line="415" w:lineRule="auto"/>
      <w:outlineLvl w:val="2"/>
    </w:pPr>
    <w:rPr>
      <w:b/>
      <w:bCs/>
      <w:sz w:val="32"/>
      <w:szCs w:val="32"/>
    </w:rPr>
  </w:style>
  <w:style w:type="paragraph" w:styleId="4">
    <w:name w:val="heading 4"/>
    <w:basedOn w:val="a"/>
    <w:next w:val="a"/>
    <w:rsid w:val="00737C24"/>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7C24"/>
    <w:pPr>
      <w:ind w:leftChars="2500" w:left="2500"/>
    </w:pPr>
  </w:style>
  <w:style w:type="paragraph" w:styleId="a4">
    <w:name w:val="Balloon Text"/>
    <w:basedOn w:val="a"/>
    <w:rsid w:val="00737C24"/>
    <w:rPr>
      <w:sz w:val="18"/>
      <w:szCs w:val="18"/>
    </w:rPr>
  </w:style>
  <w:style w:type="paragraph" w:styleId="a5">
    <w:name w:val="footer"/>
    <w:basedOn w:val="a"/>
    <w:rsid w:val="00737C24"/>
    <w:pPr>
      <w:tabs>
        <w:tab w:val="center" w:pos="4153"/>
        <w:tab w:val="right" w:pos="8306"/>
      </w:tabs>
      <w:snapToGrid w:val="0"/>
      <w:jc w:val="left"/>
    </w:pPr>
    <w:rPr>
      <w:rFonts w:ascii="Cambria" w:eastAsia="黑体" w:hAnsi="Cambria"/>
      <w:sz w:val="18"/>
      <w:szCs w:val="18"/>
    </w:rPr>
  </w:style>
  <w:style w:type="paragraph" w:styleId="a6">
    <w:name w:val="header"/>
    <w:basedOn w:val="a"/>
    <w:rsid w:val="00737C24"/>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rsid w:val="00737C24"/>
    <w:pPr>
      <w:widowControl/>
      <w:spacing w:after="200" w:line="276" w:lineRule="auto"/>
      <w:jc w:val="left"/>
    </w:pPr>
    <w:rPr>
      <w:rFonts w:ascii="Calibri" w:hAnsi="Calibri" w:cs="Arial"/>
      <w:i/>
      <w:iCs/>
      <w:color w:val="F0A22E"/>
      <w:spacing w:val="15"/>
      <w:kern w:val="0"/>
      <w:sz w:val="24"/>
    </w:rPr>
  </w:style>
  <w:style w:type="paragraph" w:styleId="a8">
    <w:name w:val="Title"/>
    <w:basedOn w:val="a"/>
    <w:next w:val="a"/>
    <w:rsid w:val="00737C24"/>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styleId="a9">
    <w:name w:val="No Spacing"/>
    <w:rsid w:val="00737C24"/>
    <w:pPr>
      <w:spacing w:after="160" w:line="480" w:lineRule="auto"/>
    </w:pPr>
    <w:rPr>
      <w:rFonts w:ascii="Cambria" w:eastAsia="黑体" w:hAnsi="Cambria"/>
      <w:sz w:val="22"/>
      <w:szCs w:val="22"/>
    </w:rPr>
  </w:style>
  <w:style w:type="character" w:customStyle="1" w:styleId="Style1">
    <w:name w:val="Style1"/>
    <w:basedOn w:val="a0"/>
    <w:rsid w:val="00737C24"/>
    <w:rPr>
      <w:rFonts w:ascii="Cambria" w:eastAsia="黑体" w:hAnsi="Cambria" w:cs="Times New Roman"/>
      <w:sz w:val="22"/>
      <w:szCs w:val="22"/>
      <w:lang w:eastAsia="zh-CN"/>
    </w:rPr>
  </w:style>
  <w:style w:type="character" w:customStyle="1" w:styleId="Style2">
    <w:name w:val="Style2"/>
    <w:basedOn w:val="a0"/>
    <w:rsid w:val="00737C24"/>
    <w:rPr>
      <w:rFonts w:ascii="Cambria" w:eastAsia="黑体" w:hAnsi="Cambria" w:cs="Times New Roman"/>
      <w:sz w:val="22"/>
      <w:szCs w:val="22"/>
      <w:lang w:eastAsia="zh-CN"/>
    </w:rPr>
  </w:style>
  <w:style w:type="character" w:customStyle="1" w:styleId="Style3">
    <w:name w:val="Style3"/>
    <w:basedOn w:val="a0"/>
    <w:rsid w:val="00737C24"/>
    <w:rPr>
      <w:rFonts w:ascii="Cambria" w:eastAsia="黑体" w:hAnsi="Cambria" w:cs="Times New Roman"/>
      <w:szCs w:val="22"/>
      <w:lang w:eastAsia="zh-CN"/>
    </w:rPr>
  </w:style>
  <w:style w:type="character" w:customStyle="1" w:styleId="Style4">
    <w:name w:val="Style4"/>
    <w:basedOn w:val="a0"/>
    <w:rsid w:val="00737C24"/>
    <w:rPr>
      <w:rFonts w:ascii="Cambria" w:eastAsia="黑体" w:hAnsi="Cambria" w:cs="Times New Roman"/>
      <w:szCs w:val="22"/>
      <w:lang w:eastAsia="zh-CN"/>
    </w:rPr>
  </w:style>
  <w:style w:type="character" w:customStyle="1" w:styleId="Style5">
    <w:name w:val="Style5"/>
    <w:basedOn w:val="a0"/>
    <w:rsid w:val="00737C24"/>
    <w:rPr>
      <w:rFonts w:ascii="Cambria" w:eastAsia="黑体" w:hAnsi="Cambria" w:cs="Times New Roman"/>
      <w:sz w:val="22"/>
      <w:szCs w:val="22"/>
      <w:lang w:eastAsia="zh-CN"/>
    </w:rPr>
  </w:style>
  <w:style w:type="paragraph" w:styleId="aa">
    <w:name w:val="List Paragraph"/>
    <w:basedOn w:val="a"/>
    <w:rsid w:val="00737C24"/>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其他收入 其他收入</c:v>
                </c:pt>
              </c:strCache>
            </c:strRef>
          </c:tx>
          <c:spPr>
            <a:ln>
              <a:noFill/>
            </a:ln>
          </c:spPr>
          <c:dPt>
            <c:idx val="0"/>
            <c:spPr>
              <a:solidFill>
                <a:srgbClr val="4F81BD"/>
              </a:solidFill>
            </c:spPr>
          </c:dPt>
          <c:dPt>
            <c:idx val="1"/>
            <c:spPr>
              <a:solidFill>
                <a:srgbClr val="C0504D"/>
              </a:solidFill>
            </c:spPr>
          </c:dPt>
          <c:dPt>
            <c:idx val="2"/>
            <c:spPr>
              <a:solidFill>
                <a:srgbClr val="9BBB59"/>
              </a:solidFill>
            </c:spPr>
          </c:dPt>
          <c:dPt>
            <c:idx val="3"/>
            <c:spPr>
              <a:solidFill>
                <a:srgbClr val="8064A2"/>
              </a:solidFill>
            </c:spPr>
          </c:dPt>
          <c:dLbls>
            <c:txPr>
              <a:bodyPr/>
              <a:lstStyle/>
              <a:p>
                <a:pPr>
                  <a:defRPr sz="1000" b="0" i="0" u="none" strike="noStrike" baseline="0">
                    <a:solidFill>
                      <a:srgbClr val="000000"/>
                    </a:solidFill>
                    <a:latin typeface="Times New Roman"/>
                    <a:ea typeface="宋体"/>
                    <a:cs typeface="Arial"/>
                  </a:defRPr>
                </a:pPr>
                <a:endParaRPr lang="zh-CN"/>
              </a:p>
            </c:txPr>
            <c:showVal val="1"/>
            <c:showLeaderLines val="1"/>
          </c:dLbls>
          <c:cat>
            <c:strRef>
              <c:f>'Sheet1'!$A$2:$A$5</c:f>
              <c:strCache>
                <c:ptCount val="4"/>
                <c:pt idx="0">
                  <c:v>财政拨款</c:v>
                </c:pt>
                <c:pt idx="1">
                  <c:v>其他收入</c:v>
                </c:pt>
              </c:strCache>
            </c:strRef>
          </c:cat>
          <c:val>
            <c:numRef>
              <c:f>'Sheet1'!$B$2:$B$5</c:f>
              <c:numCache>
                <c:formatCode>0.00%</c:formatCode>
                <c:ptCount val="4"/>
                <c:pt idx="0">
                  <c:v>0.99170000000000003</c:v>
                </c:pt>
                <c:pt idx="1">
                  <c:v>8.3000000000000018E-3</c:v>
                </c:pt>
              </c:numCache>
            </c:numRef>
          </c:val>
        </c:ser>
        <c:ser>
          <c:idx val="1"/>
          <c:order val="1"/>
          <c:tx>
            <c:strRef>
              <c:f>'Sheet1'!$C$1</c:f>
              <c:strCache>
                <c:ptCount val="1"/>
                <c:pt idx="0">
                  <c:v>列1</c:v>
                </c:pt>
              </c:strCache>
            </c:strRef>
          </c:tx>
          <c:spPr>
            <a:ln>
              <a:noFill/>
            </a:ln>
          </c:spPr>
          <c:dPt>
            <c:idx val="0"/>
          </c:dPt>
          <c:dPt>
            <c:idx val="1"/>
          </c:dPt>
          <c:dPt>
            <c:idx val="2"/>
          </c:dPt>
          <c:dPt>
            <c:idx val="3"/>
          </c:dPt>
          <c:dLbls>
            <c:txPr>
              <a:bodyPr/>
              <a:lstStyle/>
              <a:p>
                <a:pPr>
                  <a:defRPr sz="1000" b="0" i="0" u="none" strike="noStrike" baseline="0">
                    <a:solidFill>
                      <a:srgbClr val="000000"/>
                    </a:solidFill>
                    <a:latin typeface="Times New Roman"/>
                    <a:ea typeface="宋体"/>
                    <a:cs typeface="Arial"/>
                  </a:defRPr>
                </a:pPr>
                <a:endParaRPr lang="zh-CN"/>
              </a:p>
            </c:txPr>
            <c:showVal val="1"/>
            <c:showLeaderLines val="1"/>
          </c:dLbls>
          <c:cat>
            <c:strRef>
              <c:f>'Sheet1'!$A$2:$A$5</c:f>
              <c:strCache>
                <c:ptCount val="4"/>
                <c:pt idx="0">
                  <c:v>财政拨款</c:v>
                </c:pt>
                <c:pt idx="1">
                  <c:v>其他收入</c:v>
                </c:pt>
              </c:strCache>
            </c:strRef>
          </c:cat>
          <c:val>
            <c:numRef>
              <c:f>'Sheet1'!$C$2:$C$5</c:f>
              <c:numCache>
                <c:formatCode>General</c:formatCode>
                <c:ptCount val="4"/>
              </c:numCache>
            </c:numRef>
          </c:val>
        </c:ser>
        <c:firstSliceAng val="0"/>
      </c:pieChart>
      <c:spPr>
        <a:noFill/>
      </c:spPr>
    </c:plotArea>
    <c:legend>
      <c:legendPos val="r"/>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chart>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 (2)'!$B$1</c:f>
              <c:strCache>
                <c:ptCount val="1"/>
                <c:pt idx="0">
                  <c:v>销售额</c:v>
                </c:pt>
              </c:strCache>
            </c:strRef>
          </c:tx>
          <c:spPr>
            <a:ln>
              <a:noFill/>
            </a:ln>
          </c:spPr>
          <c:dPt>
            <c:idx val="0"/>
            <c:spPr>
              <a:solidFill>
                <a:srgbClr val="F0A22E"/>
              </a:solidFill>
            </c:spPr>
          </c:dPt>
          <c:dPt>
            <c:idx val="1"/>
            <c:spPr>
              <a:solidFill>
                <a:srgbClr val="A5644E"/>
              </a:solidFill>
            </c:spPr>
          </c:dPt>
          <c:dPt>
            <c:idx val="2"/>
            <c:spPr>
              <a:solidFill>
                <a:srgbClr val="B58B80"/>
              </a:solidFill>
            </c:spPr>
          </c:dPt>
          <c:dPt>
            <c:idx val="3"/>
            <c:spPr>
              <a:solidFill>
                <a:srgbClr val="C3986D"/>
              </a:solidFill>
            </c:spPr>
          </c:dPt>
          <c:dLbls>
            <c:txPr>
              <a:bodyPr/>
              <a:lstStyle/>
              <a:p>
                <a:pPr>
                  <a:defRPr sz="1000" b="0" i="0" u="none" strike="noStrike" baseline="0">
                    <a:solidFill>
                      <a:srgbClr val="000000"/>
                    </a:solidFill>
                    <a:latin typeface="Times New Roman"/>
                    <a:ea typeface="宋体"/>
                    <a:cs typeface="Arial"/>
                  </a:defRPr>
                </a:pPr>
                <a:endParaRPr lang="zh-CN"/>
              </a:p>
            </c:txPr>
            <c:showVal val="1"/>
            <c:showLeaderLines val="1"/>
          </c:dLbls>
          <c:cat>
            <c:strRef>
              <c:f>'Sheet1 (2)'!$A$2:$A$5</c:f>
              <c:strCache>
                <c:ptCount val="4"/>
                <c:pt idx="0">
                  <c:v>基本支出</c:v>
                </c:pt>
                <c:pt idx="1">
                  <c:v>项目支出</c:v>
                </c:pt>
              </c:strCache>
            </c:strRef>
          </c:cat>
          <c:val>
            <c:numRef>
              <c:f>'Sheet1 (2)'!$B$2:$B$5</c:f>
              <c:numCache>
                <c:formatCode>0.00%</c:formatCode>
                <c:ptCount val="4"/>
                <c:pt idx="0">
                  <c:v>0.75360000000000016</c:v>
                </c:pt>
                <c:pt idx="1">
                  <c:v>0.24640000000000004</c:v>
                </c:pt>
              </c:numCache>
            </c:numRef>
          </c:val>
        </c:ser>
        <c:firstSliceAng val="0"/>
      </c:pieChart>
      <c:spPr>
        <a:noFill/>
      </c:spPr>
    </c:plotArea>
    <c:legend>
      <c:legendPos val="r"/>
      <c:legendEntry>
        <c:idx val="2"/>
        <c:delete val="1"/>
      </c:legendEntry>
      <c:legendEntry>
        <c:idx val="3"/>
        <c:delete val="1"/>
      </c:legendEntry>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chart>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Times New Roman"/>
                <a:ea typeface="宋体"/>
                <a:cs typeface="Arial"/>
              </a:defRPr>
            </a:pPr>
            <a:r>
              <a:rPr lang="zh-CN"/>
              <a:t>单位：万元</a:t>
            </a:r>
          </a:p>
        </c:rich>
      </c:tx>
      <c:spPr>
        <a:ln>
          <a:noFill/>
        </a:ln>
      </c:spPr>
    </c:title>
    <c:autoTitleDeleted val="1"/>
    <c:plotArea>
      <c:layout/>
      <c:barChart>
        <c:barDir val="col"/>
        <c:grouping val="clustered"/>
        <c:ser>
          <c:idx val="0"/>
          <c:order val="0"/>
          <c:tx>
            <c:strRef>
              <c:f>'Sheet1 (3)'!$B$1</c:f>
              <c:strCache>
                <c:ptCount val="1"/>
                <c:pt idx="0">
                  <c:v>（单位：万元）</c:v>
                </c:pt>
              </c:strCache>
            </c:strRef>
          </c:tx>
          <c:spPr>
            <a:solidFill>
              <a:srgbClr val="F0A22E"/>
            </a:solidFill>
            <a:ln>
              <a:noFill/>
            </a:ln>
          </c:spPr>
          <c:dLbls>
            <c:txPr>
              <a:bodyPr/>
              <a:lstStyle/>
              <a:p>
                <a:pPr>
                  <a:defRPr sz="1000" b="0" i="0" u="none" strike="noStrike" baseline="0">
                    <a:solidFill>
                      <a:srgbClr val="000000"/>
                    </a:solidFill>
                    <a:latin typeface="Times New Roman"/>
                    <a:ea typeface="宋体"/>
                    <a:cs typeface="Arial"/>
                  </a:defRPr>
                </a:pPr>
                <a:endParaRPr lang="zh-CN"/>
              </a:p>
            </c:txPr>
            <c:showVal val="1"/>
          </c:dLbls>
          <c:cat>
            <c:strRef>
              <c:f>'Sheet1 (3)'!$A$2:$A$5</c:f>
              <c:strCache>
                <c:ptCount val="4"/>
                <c:pt idx="0">
                  <c:v>2018年决算收入</c:v>
                </c:pt>
                <c:pt idx="1">
                  <c:v>2018年决算支出</c:v>
                </c:pt>
                <c:pt idx="2">
                  <c:v>2017年决算收入</c:v>
                </c:pt>
                <c:pt idx="3">
                  <c:v>2017年决算支出</c:v>
                </c:pt>
              </c:strCache>
            </c:strRef>
          </c:cat>
          <c:val>
            <c:numRef>
              <c:f>'Sheet1 (3)'!$B$2:$B$5</c:f>
              <c:numCache>
                <c:formatCode>General</c:formatCode>
                <c:ptCount val="4"/>
                <c:pt idx="0">
                  <c:v>453.94</c:v>
                </c:pt>
                <c:pt idx="1">
                  <c:v>401.07</c:v>
                </c:pt>
                <c:pt idx="2">
                  <c:v>406.64000000000004</c:v>
                </c:pt>
                <c:pt idx="3">
                  <c:v>443.51</c:v>
                </c:pt>
              </c:numCache>
            </c:numRef>
          </c:val>
        </c:ser>
        <c:axId val="210021760"/>
        <c:axId val="210039936"/>
      </c:barChart>
      <c:catAx>
        <c:axId val="210021760"/>
        <c:scaling>
          <c:orientation val="minMax"/>
        </c:scaling>
        <c:axPos val="b"/>
        <c:numFmt formatCode="General" sourceLinked="1"/>
        <c:tickLblPos val="nextTo"/>
        <c:txPr>
          <a:bodyPr/>
          <a:lstStyle/>
          <a:p>
            <a:pPr>
              <a:defRPr sz="1000" b="0" i="0" u="none" strike="noStrike" baseline="0">
                <a:solidFill>
                  <a:srgbClr val="000000"/>
                </a:solidFill>
                <a:latin typeface="Times New Roman"/>
                <a:ea typeface="宋体"/>
                <a:cs typeface="Arial"/>
              </a:defRPr>
            </a:pPr>
            <a:endParaRPr lang="zh-CN"/>
          </a:p>
        </c:txPr>
        <c:crossAx val="210039936"/>
        <c:crosses val="autoZero"/>
        <c:auto val="1"/>
        <c:lblAlgn val="ctr"/>
        <c:lblOffset val="100"/>
      </c:catAx>
      <c:valAx>
        <c:axId val="210039936"/>
        <c:scaling>
          <c:orientation val="minMax"/>
        </c:scaling>
        <c:axPos val="l"/>
        <c:majorGridlines/>
        <c:numFmt formatCode="General" sourceLinked="1"/>
        <c:tickLblPos val="nextTo"/>
        <c:txPr>
          <a:bodyPr/>
          <a:lstStyle/>
          <a:p>
            <a:pPr>
              <a:defRPr sz="1000" b="0" i="0" u="none" strike="noStrike" baseline="0">
                <a:solidFill>
                  <a:srgbClr val="000000"/>
                </a:solidFill>
                <a:latin typeface="Times New Roman"/>
                <a:ea typeface="宋体"/>
                <a:cs typeface="Arial"/>
              </a:defRPr>
            </a:pPr>
            <a:endParaRPr lang="zh-CN"/>
          </a:p>
        </c:txPr>
        <c:crossAx val="210021760"/>
        <c:crossesAt val="1"/>
        <c:crossBetween val="between"/>
      </c:valAx>
      <c:spPr>
        <a:solidFill>
          <a:srgbClr val="FFFFFF"/>
        </a:solidFill>
      </c:spPr>
    </c:plotArea>
    <c:plotVisOnly val="1"/>
    <c:dispBlanksAs val="gap"/>
  </c:chart>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Times New Roman"/>
                <a:ea typeface="宋体"/>
                <a:cs typeface="Arial"/>
              </a:defRPr>
            </a:pPr>
            <a:r>
              <a:rPr lang="zh-CN"/>
              <a:t>单位：万元</a:t>
            </a:r>
          </a:p>
        </c:rich>
      </c:tx>
      <c:spPr>
        <a:ln>
          <a:noFill/>
        </a:ln>
      </c:spPr>
    </c:title>
    <c:plotArea>
      <c:layout/>
      <c:barChart>
        <c:barDir val="col"/>
        <c:grouping val="clustered"/>
        <c:ser>
          <c:idx val="0"/>
          <c:order val="0"/>
          <c:tx>
            <c:strRef>
              <c:f>'Sheet1 (4)'!$B$1</c:f>
              <c:strCache>
                <c:ptCount val="1"/>
                <c:pt idx="0">
                  <c:v>单位：万元</c:v>
                </c:pt>
              </c:strCache>
            </c:strRef>
          </c:tx>
          <c:spPr>
            <a:solidFill>
              <a:srgbClr val="F0A22E"/>
            </a:solidFill>
            <a:ln>
              <a:noFill/>
            </a:ln>
          </c:spPr>
          <c:dLbls>
            <c:txPr>
              <a:bodyPr/>
              <a:lstStyle/>
              <a:p>
                <a:pPr>
                  <a:defRPr sz="1000" b="0" i="0" u="none" strike="noStrike" baseline="0">
                    <a:solidFill>
                      <a:srgbClr val="000000"/>
                    </a:solidFill>
                    <a:latin typeface="Times New Roman"/>
                    <a:ea typeface="宋体"/>
                    <a:cs typeface="Arial"/>
                  </a:defRPr>
                </a:pPr>
                <a:endParaRPr lang="zh-CN"/>
              </a:p>
            </c:txPr>
            <c:showVal val="1"/>
          </c:dLbls>
          <c:cat>
            <c:strRef>
              <c:f>'Sheet1 (4)'!$A$2:$A$5</c:f>
              <c:strCache>
                <c:ptCount val="4"/>
                <c:pt idx="0">
                  <c:v>2018年决算收入</c:v>
                </c:pt>
                <c:pt idx="1">
                  <c:v>2018年预算收入</c:v>
                </c:pt>
                <c:pt idx="2">
                  <c:v>2018年决算支出</c:v>
                </c:pt>
                <c:pt idx="3">
                  <c:v>2018年预算支出</c:v>
                </c:pt>
              </c:strCache>
            </c:strRef>
          </c:cat>
          <c:val>
            <c:numRef>
              <c:f>'Sheet1 (4)'!$B$2:$B$5</c:f>
              <c:numCache>
                <c:formatCode>General</c:formatCode>
                <c:ptCount val="4"/>
                <c:pt idx="0">
                  <c:v>453.94</c:v>
                </c:pt>
                <c:pt idx="1">
                  <c:v>395.14000000000004</c:v>
                </c:pt>
                <c:pt idx="2">
                  <c:v>403.03</c:v>
                </c:pt>
                <c:pt idx="3">
                  <c:v>395.14000000000004</c:v>
                </c:pt>
              </c:numCache>
            </c:numRef>
          </c:val>
        </c:ser>
        <c:axId val="210166528"/>
        <c:axId val="210168064"/>
      </c:barChart>
      <c:catAx>
        <c:axId val="210166528"/>
        <c:scaling>
          <c:orientation val="minMax"/>
        </c:scaling>
        <c:axPos val="b"/>
        <c:numFmt formatCode="General" sourceLinked="1"/>
        <c:tickLblPos val="nextTo"/>
        <c:txPr>
          <a:bodyPr/>
          <a:lstStyle/>
          <a:p>
            <a:pPr>
              <a:defRPr sz="1000" b="0" i="0" u="none" strike="noStrike" baseline="0">
                <a:solidFill>
                  <a:srgbClr val="000000"/>
                </a:solidFill>
                <a:latin typeface="Times New Roman"/>
                <a:ea typeface="宋体"/>
                <a:cs typeface="Arial"/>
              </a:defRPr>
            </a:pPr>
            <a:endParaRPr lang="zh-CN"/>
          </a:p>
        </c:txPr>
        <c:crossAx val="210168064"/>
        <c:crosses val="autoZero"/>
        <c:auto val="1"/>
        <c:lblAlgn val="ctr"/>
        <c:lblOffset val="100"/>
      </c:catAx>
      <c:valAx>
        <c:axId val="210168064"/>
        <c:scaling>
          <c:orientation val="minMax"/>
        </c:scaling>
        <c:axPos val="l"/>
        <c:majorGridlines/>
        <c:numFmt formatCode="General" sourceLinked="1"/>
        <c:tickLblPos val="nextTo"/>
        <c:txPr>
          <a:bodyPr/>
          <a:lstStyle/>
          <a:p>
            <a:pPr>
              <a:defRPr sz="1000" b="0" i="0" u="none" strike="noStrike" baseline="0">
                <a:solidFill>
                  <a:srgbClr val="000000"/>
                </a:solidFill>
                <a:latin typeface="Times New Roman"/>
                <a:ea typeface="宋体"/>
                <a:cs typeface="Arial"/>
              </a:defRPr>
            </a:pPr>
            <a:endParaRPr lang="zh-CN"/>
          </a:p>
        </c:txPr>
        <c:crossAx val="210166528"/>
        <c:crossesAt val="1"/>
        <c:crossBetween val="between"/>
      </c:valAx>
      <c:spPr>
        <a:solidFill>
          <a:srgbClr val="FFFFFF"/>
        </a:solidFill>
      </c:spPr>
    </c:plotArea>
    <c:plotVisOnly val="1"/>
    <c:dispBlanksAs val="gap"/>
  </c:chart>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 (5)'!$B$1</c:f>
              <c:strCache>
                <c:ptCount val="1"/>
                <c:pt idx="0">
                  <c:v>销售额</c:v>
                </c:pt>
              </c:strCache>
            </c:strRef>
          </c:tx>
          <c:spPr>
            <a:ln>
              <a:noFill/>
            </a:ln>
          </c:spPr>
          <c:dPt>
            <c:idx val="0"/>
            <c:spPr>
              <a:solidFill>
                <a:srgbClr val="F0A22E"/>
              </a:solidFill>
            </c:spPr>
          </c:dPt>
          <c:dPt>
            <c:idx val="1"/>
            <c:spPr>
              <a:solidFill>
                <a:srgbClr val="A5644E"/>
              </a:solidFill>
            </c:spPr>
          </c:dPt>
          <c:dPt>
            <c:idx val="2"/>
            <c:spPr>
              <a:solidFill>
                <a:srgbClr val="B58B80"/>
              </a:solidFill>
            </c:spPr>
          </c:dPt>
          <c:dLbls>
            <c:txPr>
              <a:bodyPr/>
              <a:lstStyle/>
              <a:p>
                <a:pPr>
                  <a:defRPr sz="1000" b="0" i="0" u="none" strike="noStrike" baseline="0">
                    <a:solidFill>
                      <a:srgbClr val="000000"/>
                    </a:solidFill>
                    <a:latin typeface="Times New Roman"/>
                    <a:ea typeface="宋体"/>
                    <a:cs typeface="Arial"/>
                  </a:defRPr>
                </a:pPr>
                <a:endParaRPr lang="zh-CN"/>
              </a:p>
            </c:txPr>
            <c:showVal val="1"/>
            <c:showLeaderLines val="1"/>
          </c:dLbls>
          <c:cat>
            <c:strRef>
              <c:f>'Sheet1 (5)'!$A$2:$A$4</c:f>
              <c:strCache>
                <c:ptCount val="3"/>
                <c:pt idx="0">
                  <c:v>一般公共服务（类）</c:v>
                </c:pt>
                <c:pt idx="1">
                  <c:v>社会保障和就业（类）</c:v>
                </c:pt>
                <c:pt idx="2">
                  <c:v>医疗卫生与计划生育</c:v>
                </c:pt>
              </c:strCache>
            </c:strRef>
          </c:cat>
          <c:val>
            <c:numRef>
              <c:f>'Sheet1 (5)'!$B$2:$B$4</c:f>
              <c:numCache>
                <c:formatCode>0.00%</c:formatCode>
                <c:ptCount val="3"/>
                <c:pt idx="0">
                  <c:v>0.88949999999999996</c:v>
                </c:pt>
                <c:pt idx="1">
                  <c:v>7.3800000000000004E-2</c:v>
                </c:pt>
                <c:pt idx="2">
                  <c:v>3.6700000000000003E-2</c:v>
                </c:pt>
              </c:numCache>
            </c:numRef>
          </c:val>
        </c:ser>
        <c:firstSliceAng val="0"/>
      </c:pieChart>
      <c:spPr>
        <a:noFill/>
      </c:spPr>
    </c:plotArea>
    <c:legend>
      <c:legendPos val="r"/>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chart>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878</Words>
  <Characters>5005</Characters>
  <Application>Microsoft Office Word</Application>
  <DocSecurity>0</DocSecurity>
  <Lines>41</Lines>
  <Paragraphs>11</Paragraphs>
  <ScaleCrop>false</ScaleCrop>
  <Company>Microsoft</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6</cp:revision>
  <cp:lastPrinted>2019-09-27T00:42:00Z</cp:lastPrinted>
  <dcterms:created xsi:type="dcterms:W3CDTF">2021-05-31T07:32:00Z</dcterms:created>
  <dcterms:modified xsi:type="dcterms:W3CDTF">2021-06-01T05:09:00Z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