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color w:val="000000"/>
          <w:sz w:val="96"/>
          <w:szCs w:val="96"/>
        </w:rPr>
      </w:pPr>
      <w:r>
        <w:rPr>
          <w:sz w:val="84"/>
          <w:szCs w:val="84"/>
        </w:rPr>
        <w:t>201</w:t>
      </w:r>
      <w:r>
        <w:rPr>
          <w:rFonts w:hint="eastAsia"/>
          <w:sz w:val="84"/>
          <w:szCs w:val="84"/>
        </w:rPr>
        <w:t>8</w:t>
      </w:r>
      <w:r>
        <w:rPr>
          <w:sz w:val="84"/>
          <w:szCs w:val="84"/>
        </w:rPr>
        <w:t>年度部门决算公开</w:t>
      </w:r>
    </w:p>
    <w:p>
      <w:pPr>
        <w:widowControl/>
        <w:jc w:val="center"/>
        <w:rPr>
          <w:rFonts w:ascii="黑体" w:eastAsia="黑体"/>
          <w:color w:val="002060"/>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ind w:left="0" w:firstLine="1546" w:firstLineChars="350"/>
        <w:jc w:val="both"/>
        <w:rPr>
          <w:rFonts w:ascii="楷体" w:eastAsia="楷体" w:cs="楷体"/>
          <w:sz w:val="32"/>
          <w:szCs w:val="32"/>
          <w:highlight w:val="yellow"/>
        </w:rPr>
      </w:pPr>
      <w:r>
        <w:rPr>
          <w:b/>
          <w:sz w:val="44"/>
          <w:szCs w:val="44"/>
        </w:rPr>
        <w:t>廊坊市</w:t>
      </w:r>
      <w:r>
        <w:rPr>
          <w:rFonts w:hint="eastAsia"/>
          <w:b/>
          <w:sz w:val="44"/>
          <w:szCs w:val="44"/>
        </w:rPr>
        <w:t>大城县工商业联合会</w:t>
      </w:r>
      <w:r>
        <w:rPr>
          <w:rFonts w:hint="eastAsia" w:ascii="黑体" w:eastAsia="黑体" w:cs="黑体"/>
          <w:sz w:val="44"/>
          <w:szCs w:val="44"/>
        </w:rPr>
        <w:br w:type="page"/>
      </w:r>
    </w:p>
    <w:p>
      <w:pPr>
        <w:spacing w:before="624"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第一部分部门概况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 xml:space="preserve">第二部分   </w:t>
      </w:r>
      <w:r>
        <w:rPr>
          <w:rFonts w:hint="eastAsia" w:eastAsia="黑体"/>
          <w:sz w:val="32"/>
          <w:szCs w:val="32"/>
        </w:rPr>
        <w:t>廊坊市大城县工商业联合会</w:t>
      </w:r>
      <w:r>
        <w:rPr>
          <w:rFonts w:eastAsia="黑体"/>
          <w:sz w:val="32"/>
          <w:szCs w:val="32"/>
        </w:rPr>
        <w:t>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rPr>
        <w:t>廊坊市大城县工商业联合会</w:t>
      </w:r>
      <w:r>
        <w:rPr>
          <w:rFonts w:eastAsia="黑体"/>
          <w:sz w:val="32"/>
          <w:szCs w:val="32"/>
        </w:rPr>
        <w:t>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rFonts w:ascii="黑体" w:eastAsia="黑体"/>
          <w:color w:val="000000"/>
          <w:sz w:val="96"/>
          <w:szCs w:val="96"/>
        </w:rPr>
      </w:pPr>
      <w:r>
        <w:rPr>
          <w:rFonts w:hint="eastAsia" w:ascii="黑体" w:eastAsia="黑体"/>
          <w:color w:val="000000"/>
          <w:sz w:val="96"/>
          <w:szCs w:val="96"/>
        </w:rPr>
        <w:t xml:space="preserve">第一部分  </w:t>
      </w:r>
    </w:p>
    <w:p>
      <w:pPr>
        <w:widowControl/>
        <w:jc w:val="center"/>
        <w:rPr>
          <w:color w:val="000000"/>
          <w:sz w:val="96"/>
          <w:szCs w:val="96"/>
        </w:rPr>
      </w:pPr>
      <w:r>
        <w:rPr>
          <w:rFonts w:hint="eastAsia" w:ascii="黑体" w:eastAsia="黑体"/>
          <w:color w:val="000000"/>
          <w:sz w:val="96"/>
          <w:szCs w:val="96"/>
        </w:rPr>
        <w:t>部门概况</w:t>
      </w:r>
    </w:p>
    <w:p/>
    <w:p/>
    <w:p/>
    <w:p/>
    <w:p/>
    <w:p/>
    <w:p/>
    <w:p/>
    <w:p>
      <w:pPr>
        <w:pStyle w:val="2"/>
        <w:spacing w:before="0" w:after="0" w:line="600" w:lineRule="exact"/>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ind w:firstLine="560"/>
        <w:rPr>
          <w:rFonts w:ascii="仿宋" w:eastAsia="仿宋"/>
          <w:sz w:val="32"/>
          <w:szCs w:val="32"/>
        </w:rPr>
      </w:pPr>
      <w:r>
        <w:rPr>
          <w:rFonts w:ascii="仿宋" w:eastAsia="仿宋"/>
          <w:sz w:val="32"/>
          <w:szCs w:val="32"/>
        </w:rPr>
        <w:t>参政议证，参与我县经济、社会重要决策的政治协商，做好非公有制企业代表人士政治安排的推荐活动，对本县的有关法规、政策的制定提出建议并协助贯彻执行。宣传党和国家的方针政策，对会员进行团结、帮助、引导、教育、培养爱国、敬业、守法的非公有制骨干分子队伍。维护本会会员合法权益，反应会员的意见、要求和建议，在会员与政府之间发挥桥梁作用，当好政府管理非公有制经济的助手。为本会会员和社会提供市场技术、商品等信息，按照国家有关规定，为会员提供管理、法律、会计、审计、融资、咨询等服务。开展工商业专业培训，帮助本会会员改善经营管理，提高生产技术和产品质量，改进财务、纳税等工作。</w:t>
      </w:r>
    </w:p>
    <w:p>
      <w:pPr>
        <w:pStyle w:val="2"/>
        <w:spacing w:before="0" w:after="0" w:line="600" w:lineRule="exact"/>
        <w:jc w:val="left"/>
        <w:rPr>
          <w:rFonts w:ascii="黑体" w:eastAsia="黑体" w:cs="黑体"/>
          <w:b w:val="0"/>
          <w:bCs w:val="0"/>
          <w:kern w:val="0"/>
          <w:sz w:val="32"/>
          <w:szCs w:val="32"/>
        </w:rPr>
      </w:pPr>
      <w:r>
        <w:rPr>
          <w:rFonts w:hint="eastAsia" w:ascii="黑体" w:eastAsia="黑体" w:cs="黑体"/>
          <w:b w:val="0"/>
          <w:bCs w:val="0"/>
          <w:kern w:val="0"/>
          <w:sz w:val="32"/>
          <w:szCs w:val="32"/>
        </w:rPr>
        <w:t>二、机构设置</w:t>
      </w:r>
    </w:p>
    <w:p>
      <w:pPr>
        <w:spacing w:after="0" w:line="560" w:lineRule="exact"/>
        <w:rPr>
          <w:rFonts w:ascii="仿宋_GB2312" w:eastAsia="仿宋_GB2312" w:cs="ArialUnicodeMS"/>
          <w:kern w:val="0"/>
          <w:sz w:val="32"/>
          <w:szCs w:val="32"/>
        </w:rPr>
      </w:pPr>
      <w:r>
        <w:rPr>
          <w:rFonts w:hint="eastAsia" w:ascii="仿宋_GB2312" w:eastAsia="仿宋_GB2312" w:cs="ArialUnicodeMS"/>
          <w:kern w:val="0"/>
          <w:sz w:val="32"/>
          <w:szCs w:val="32"/>
        </w:rPr>
        <w:t>从决算编报单位构成看，纳入2018 年度本部门决算汇编范围的独立核算单位（以下简称“单位”）共</w:t>
      </w:r>
      <w:r>
        <w:rPr>
          <w:rFonts w:hint="eastAsia" w:ascii="仿宋_GB2312" w:eastAsia="仿宋_GB2312" w:cs="ArialUnicodeMS"/>
          <w:kern w:val="0"/>
          <w:sz w:val="32"/>
          <w:szCs w:val="32"/>
          <w:lang w:val="en-US" w:eastAsia="zh-CN"/>
        </w:rPr>
        <w:t>1</w:t>
      </w:r>
      <w:r>
        <w:rPr>
          <w:rFonts w:hint="eastAsia" w:ascii="仿宋_GB2312" w:eastAsia="仿宋_GB2312" w:cs="ArialUnicodeMS"/>
          <w:kern w:val="0"/>
          <w:sz w:val="32"/>
          <w:szCs w:val="32"/>
        </w:rPr>
        <w:t>个，具体情况如下：</w:t>
      </w:r>
    </w:p>
    <w:p>
      <w:pPr>
        <w:widowControl/>
        <w:spacing w:line="560" w:lineRule="exact"/>
        <w:jc w:val="center"/>
        <w:rPr>
          <w:rFonts w:ascii="黑体" w:eastAsia="黑体" w:cs="MS-UIGothic,Bold"/>
          <w:bCs/>
          <w:kern w:val="0"/>
          <w:sz w:val="52"/>
          <w:szCs w:val="52"/>
        </w:rPr>
      </w:pPr>
    </w:p>
    <w:tbl>
      <w:tblPr>
        <w:tblStyle w:val="13"/>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2866"/>
        <w:gridCol w:w="2800"/>
        <w:gridCol w:w="3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833"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序号</w:t>
            </w:r>
          </w:p>
        </w:tc>
        <w:tc>
          <w:tcPr>
            <w:tcW w:w="2866"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单位名称</w:t>
            </w:r>
          </w:p>
        </w:tc>
        <w:tc>
          <w:tcPr>
            <w:tcW w:w="2800"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单位基本性质</w:t>
            </w:r>
          </w:p>
        </w:tc>
        <w:tc>
          <w:tcPr>
            <w:tcW w:w="3081"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33"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1</w:t>
            </w:r>
          </w:p>
        </w:tc>
        <w:tc>
          <w:tcPr>
            <w:tcW w:w="2866" w:type="dxa"/>
          </w:tcPr>
          <w:p>
            <w:pPr>
              <w:spacing w:after="0" w:line="560" w:lineRule="exact"/>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大城县工商业联合会</w:t>
            </w:r>
          </w:p>
        </w:tc>
        <w:tc>
          <w:tcPr>
            <w:tcW w:w="2800" w:type="dxa"/>
          </w:tcPr>
          <w:p>
            <w:pPr>
              <w:spacing w:after="0" w:line="560" w:lineRule="exact"/>
              <w:jc w:val="center"/>
              <w:rPr>
                <w:rFonts w:hint="eastAsia" w:ascii="仿宋_GB2312" w:eastAsia="仿宋_GB2312" w:cs="ArialUnicodeMS" w:hAnsiTheme="minorHAnsi"/>
                <w:kern w:val="0"/>
                <w:sz w:val="28"/>
                <w:szCs w:val="28"/>
                <w:lang w:val="en-US" w:eastAsia="zh-CN"/>
              </w:rPr>
            </w:pPr>
            <w:r>
              <w:rPr>
                <w:rFonts w:hint="eastAsia" w:ascii="仿宋_GB2312" w:eastAsia="仿宋_GB2312" w:cs="ArialUnicodeMS" w:hAnsiTheme="minorHAnsi"/>
                <w:kern w:val="0"/>
                <w:sz w:val="28"/>
                <w:szCs w:val="28"/>
                <w:lang w:val="en-US" w:eastAsia="zh-CN"/>
              </w:rPr>
              <w:t>参公事业单位</w:t>
            </w:r>
          </w:p>
        </w:tc>
        <w:tc>
          <w:tcPr>
            <w:tcW w:w="3081" w:type="dxa"/>
          </w:tcPr>
          <w:p>
            <w:pPr>
              <w:spacing w:after="0" w:line="560" w:lineRule="exact"/>
              <w:jc w:val="center"/>
              <w:rPr>
                <w:rFonts w:hint="eastAsia" w:ascii="仿宋_GB2312" w:eastAsia="仿宋_GB2312" w:cs="ArialUnicodeMS" w:hAnsiTheme="minorHAnsi"/>
                <w:kern w:val="0"/>
                <w:sz w:val="28"/>
                <w:szCs w:val="28"/>
                <w:lang w:eastAsia="zh-CN"/>
              </w:rPr>
            </w:pPr>
            <w:r>
              <w:rPr>
                <w:rFonts w:hint="eastAsia" w:ascii="仿宋_GB2312" w:eastAsia="仿宋_GB2312" w:cs="ArialUnicodeMS" w:hAnsiTheme="minorHAnsi"/>
                <w:kern w:val="0"/>
                <w:sz w:val="28"/>
                <w:szCs w:val="28"/>
                <w:lang w:eastAsia="zh-CN"/>
              </w:rPr>
              <w:t>财政性资金基本保证</w:t>
            </w:r>
          </w:p>
        </w:tc>
      </w:tr>
    </w:tbl>
    <w:p>
      <w:pPr>
        <w:widowControl/>
        <w:spacing w:line="560" w:lineRule="exact"/>
        <w:jc w:val="center"/>
        <w:rPr>
          <w:rFonts w:ascii="黑体" w:eastAsia="黑体" w:cs="MS-UIGothic,Bold"/>
          <w:bCs/>
          <w:kern w:val="0"/>
          <w:sz w:val="52"/>
          <w:szCs w:val="52"/>
        </w:rPr>
        <w:sectPr>
          <w:pgSz w:w="11907" w:h="16840"/>
          <w:pgMar w:top="1588" w:right="1701" w:bottom="1474" w:left="1701" w:header="851" w:footer="992" w:gutter="0"/>
          <w:cols w:space="720" w:num="1"/>
          <w:docGrid w:type="lines" w:linePitch="312" w:charSpace="0"/>
        </w:sectPr>
      </w:pPr>
    </w:p>
    <w:p>
      <w:pPr>
        <w:widowControl/>
        <w:spacing w:line="1200" w:lineRule="exact"/>
        <w:jc w:val="center"/>
        <w:rPr>
          <w:rFonts w:ascii="黑体" w:eastAsia="黑体"/>
          <w:color w:val="000000"/>
          <w:sz w:val="72"/>
          <w:szCs w:val="96"/>
        </w:rPr>
      </w:pPr>
    </w:p>
    <w:p>
      <w:pPr>
        <w:widowControl/>
        <w:spacing w:line="1200" w:lineRule="exact"/>
        <w:jc w:val="center"/>
        <w:rPr>
          <w:rFonts w:hint="eastAsia" w:ascii="黑体" w:eastAsia="黑体"/>
          <w:color w:val="000000"/>
          <w:sz w:val="72"/>
          <w:szCs w:val="96"/>
        </w:rPr>
      </w:pPr>
    </w:p>
    <w:p>
      <w:pPr>
        <w:widowControl/>
        <w:spacing w:line="1200" w:lineRule="exact"/>
        <w:jc w:val="center"/>
        <w:rPr>
          <w:rFonts w:hint="eastAsia" w:ascii="黑体" w:eastAsia="黑体"/>
          <w:color w:val="000000"/>
          <w:sz w:val="72"/>
          <w:szCs w:val="96"/>
        </w:rPr>
      </w:pPr>
    </w:p>
    <w:p>
      <w:pPr>
        <w:widowControl/>
        <w:spacing w:line="1200" w:lineRule="exact"/>
        <w:jc w:val="center"/>
        <w:rPr>
          <w:rFonts w:ascii="黑体" w:eastAsia="黑体"/>
          <w:color w:val="000000"/>
          <w:sz w:val="72"/>
          <w:szCs w:val="96"/>
        </w:rPr>
      </w:pPr>
      <w:r>
        <w:rPr>
          <w:rFonts w:hint="eastAsia" w:ascii="黑体" w:eastAsia="黑体"/>
          <w:color w:val="000000"/>
          <w:sz w:val="72"/>
          <w:szCs w:val="96"/>
        </w:rPr>
        <w:t>第二部分</w:t>
      </w:r>
    </w:p>
    <w:p>
      <w:pPr>
        <w:widowControl/>
        <w:spacing w:line="1200" w:lineRule="exact"/>
        <w:jc w:val="center"/>
        <w:rPr>
          <w:color w:val="000000"/>
          <w:sz w:val="72"/>
          <w:szCs w:val="96"/>
        </w:rPr>
      </w:pPr>
      <w:r>
        <w:rPr>
          <w:rFonts w:hint="eastAsia" w:ascii="黑体" w:eastAsia="黑体"/>
          <w:color w:val="000000"/>
          <w:sz w:val="72"/>
          <w:szCs w:val="96"/>
        </w:rPr>
        <w:t>2018年度部门决算报表</w:t>
      </w:r>
      <w:r>
        <w:rPr>
          <w:rFonts w:hint="eastAsia" w:ascii="黑体" w:eastAsia="黑体"/>
          <w:color w:val="000000"/>
          <w:sz w:val="72"/>
          <w:szCs w:val="96"/>
          <w:lang w:val="en-US" w:eastAsia="zh-CN"/>
        </w:rPr>
        <w:t>(见附表）</w:t>
      </w: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rPr>
          <w:rFonts w:ascii="宋体" w:cs="ArialUnicodeMS"/>
          <w:color w:val="000000"/>
          <w:kern w:val="0"/>
        </w:rPr>
      </w:pPr>
    </w:p>
    <w:p>
      <w:pPr>
        <w:rPr>
          <w:rFonts w:ascii="宋体" w:cs="ArialUnicodeMS"/>
          <w:color w:val="000000"/>
          <w:kern w:val="0"/>
        </w:rPr>
        <w:sectPr>
          <w:pgSz w:w="11906" w:h="16838"/>
          <w:pgMar w:top="1588" w:right="2098" w:bottom="1474" w:left="1984" w:header="851" w:footer="992" w:gutter="0"/>
          <w:cols w:space="720" w:num="1"/>
          <w:docGrid w:type="lines" w:linePitch="312" w:charSpace="0"/>
        </w:sect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r>
        <w:rPr>
          <w:rFonts w:hint="eastAsia" w:ascii="黑体" w:eastAsia="黑体"/>
          <w:color w:val="000000"/>
          <w:sz w:val="96"/>
          <w:szCs w:val="96"/>
        </w:rPr>
        <w:t>第三部分</w:t>
      </w:r>
    </w:p>
    <w:p>
      <w:pPr>
        <w:widowControl/>
        <w:spacing w:line="1200" w:lineRule="exact"/>
        <w:jc w:val="center"/>
        <w:rPr>
          <w:color w:val="000000"/>
          <w:sz w:val="96"/>
          <w:szCs w:val="96"/>
        </w:rPr>
      </w:pPr>
      <w:r>
        <w:rPr>
          <w:rFonts w:hint="eastAsia" w:ascii="黑体" w:eastAsia="黑体"/>
          <w:color w:val="000000"/>
          <w:sz w:val="96"/>
          <w:szCs w:val="96"/>
        </w:rPr>
        <w:t>部门决算情况说明</w:t>
      </w:r>
    </w:p>
    <w:p>
      <w:pPr>
        <w:rPr>
          <w:rFonts w:ascii="宋体" w:cs="ArialUnicodeMS"/>
          <w:color w:val="000000"/>
          <w:kern w:val="0"/>
        </w:rPr>
        <w:sectPr>
          <w:pgSz w:w="11906" w:h="16838"/>
          <w:pgMar w:top="1588" w:right="2098" w:bottom="1474" w:left="1984" w:header="851" w:footer="992" w:gutter="0"/>
          <w:cols w:space="72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lang w:val="en-US" w:eastAsia="zh-CN"/>
        </w:rPr>
      </w:pPr>
      <w:r>
        <w:rPr>
          <w:rFonts w:hint="eastAsia" w:ascii="仿宋_GB2312" w:eastAsia="仿宋_GB2312" w:cs="DengXian-Regular"/>
          <w:sz w:val="32"/>
          <w:szCs w:val="32"/>
        </w:rPr>
        <w:t>本部门2018年度收</w:t>
      </w:r>
      <w:r>
        <w:rPr>
          <w:rFonts w:hint="eastAsia" w:ascii="仿宋_GB2312" w:eastAsia="仿宋_GB2312" w:cs="DengXian-Regular"/>
          <w:sz w:val="32"/>
          <w:szCs w:val="32"/>
          <w:lang w:eastAsia="zh-CN"/>
        </w:rPr>
        <w:t>入</w:t>
      </w:r>
      <w:r>
        <w:rPr>
          <w:rFonts w:hint="eastAsia" w:ascii="仿宋_GB2312" w:eastAsia="仿宋_GB2312" w:cs="DengXian-Regular"/>
          <w:sz w:val="32"/>
          <w:szCs w:val="32"/>
        </w:rPr>
        <w:t>总计（含结转和结余）</w:t>
      </w:r>
      <w:r>
        <w:rPr>
          <w:rFonts w:hint="eastAsia" w:ascii="仿宋_GB2312" w:eastAsia="仿宋_GB2312" w:cs="DengXian-Regular"/>
          <w:sz w:val="32"/>
          <w:szCs w:val="32"/>
          <w:lang w:val="en-US" w:eastAsia="zh-CN"/>
        </w:rPr>
        <w:t>71.72</w:t>
      </w:r>
      <w:r>
        <w:rPr>
          <w:rFonts w:hint="eastAsia" w:ascii="仿宋_GB2312" w:eastAsia="仿宋_GB2312" w:cs="DengXian-Regular"/>
          <w:sz w:val="32"/>
          <w:szCs w:val="32"/>
        </w:rPr>
        <w:t>万元。与2017年度决算相比，收</w:t>
      </w:r>
      <w:r>
        <w:rPr>
          <w:rFonts w:hint="eastAsia" w:ascii="仿宋_GB2312" w:eastAsia="仿宋_GB2312" w:cs="DengXian-Regular"/>
          <w:sz w:val="32"/>
          <w:szCs w:val="32"/>
          <w:lang w:eastAsia="zh-CN"/>
        </w:rPr>
        <w:t>入</w:t>
      </w:r>
      <w:r>
        <w:rPr>
          <w:rFonts w:hint="eastAsia" w:ascii="仿宋_GB2312" w:eastAsia="仿宋_GB2312" w:cs="DengXian-Regular"/>
          <w:sz w:val="32"/>
          <w:szCs w:val="32"/>
        </w:rPr>
        <w:t>减少</w:t>
      </w:r>
      <w:r>
        <w:rPr>
          <w:rFonts w:hint="eastAsia" w:ascii="仿宋_GB2312" w:eastAsia="仿宋_GB2312" w:cs="DengXian-Regular"/>
          <w:sz w:val="32"/>
          <w:szCs w:val="32"/>
          <w:lang w:val="en-US" w:eastAsia="zh-CN"/>
        </w:rPr>
        <w:t>9.73</w:t>
      </w:r>
      <w:r>
        <w:rPr>
          <w:rFonts w:hint="eastAsia" w:ascii="仿宋_GB2312" w:eastAsia="仿宋_GB2312" w:cs="DengXian-Regular"/>
          <w:sz w:val="32"/>
          <w:szCs w:val="32"/>
        </w:rPr>
        <w:t>万元，下降</w:t>
      </w:r>
      <w:r>
        <w:rPr>
          <w:rFonts w:hint="eastAsia" w:ascii="仿宋_GB2312" w:eastAsia="仿宋_GB2312" w:cs="DengXian-Regular"/>
          <w:sz w:val="32"/>
          <w:szCs w:val="32"/>
          <w:lang w:val="en-US" w:eastAsia="zh-CN"/>
        </w:rPr>
        <w:t>11.95</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压减公用支出，项目资金调整</w:t>
      </w:r>
      <w:r>
        <w:rPr>
          <w:rFonts w:hint="eastAsia" w:ascii="仿宋_GB2312" w:eastAsia="仿宋_GB2312" w:cs="DengXian-Regular"/>
          <w:sz w:val="32"/>
          <w:szCs w:val="32"/>
        </w:rPr>
        <w:t>。</w:t>
      </w:r>
      <w:r>
        <w:rPr>
          <w:rFonts w:hint="eastAsia" w:ascii="仿宋_GB2312" w:eastAsia="仿宋_GB2312" w:cs="DengXian-Regular"/>
          <w:sz w:val="32"/>
          <w:szCs w:val="32"/>
          <w:lang w:val="en-US" w:eastAsia="zh-CN"/>
        </w:rPr>
        <w:t>2018年度支出总计71.72万元。与2017年度决算相比，支出减少9.73万元，</w:t>
      </w:r>
      <w:r>
        <w:rPr>
          <w:rFonts w:hint="eastAsia" w:ascii="仿宋_GB2312" w:eastAsia="仿宋_GB2312" w:cs="DengXian-Regular"/>
          <w:sz w:val="32"/>
          <w:szCs w:val="32"/>
        </w:rPr>
        <w:t>下降</w:t>
      </w:r>
      <w:r>
        <w:rPr>
          <w:rFonts w:hint="eastAsia" w:ascii="仿宋_GB2312" w:eastAsia="仿宋_GB2312" w:cs="DengXian-Regular"/>
          <w:sz w:val="32"/>
          <w:szCs w:val="32"/>
          <w:lang w:val="en-US" w:eastAsia="zh-CN"/>
        </w:rPr>
        <w:t>11.95</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压减公用支出，项目资金调整</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本部门2018年度本年收入合计</w:t>
      </w:r>
      <w:r>
        <w:rPr>
          <w:rFonts w:hint="eastAsia" w:ascii="仿宋_GB2312" w:eastAsia="仿宋_GB2312" w:cs="DengXian-Regular"/>
          <w:sz w:val="32"/>
          <w:szCs w:val="32"/>
          <w:lang w:val="en-US" w:eastAsia="zh-CN"/>
        </w:rPr>
        <w:t>71.72</w:t>
      </w:r>
      <w:r>
        <w:rPr>
          <w:rFonts w:hint="eastAsia" w:ascii="仿宋_GB2312" w:eastAsia="仿宋_GB2312" w:cs="DengXian-Regular"/>
          <w:sz w:val="32"/>
          <w:szCs w:val="32"/>
        </w:rPr>
        <w:t>万元，其中：财政拨款收入</w:t>
      </w:r>
      <w:r>
        <w:rPr>
          <w:rFonts w:hint="eastAsia" w:ascii="仿宋_GB2312" w:eastAsia="仿宋_GB2312" w:cs="DengXian-Regular"/>
          <w:sz w:val="32"/>
          <w:szCs w:val="32"/>
          <w:lang w:val="en-US" w:eastAsia="zh-CN"/>
        </w:rPr>
        <w:t>71.72</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%；如图所示：</w:t>
      </w:r>
    </w:p>
    <w:p>
      <w:pPr>
        <w:adjustRightInd w:val="0"/>
        <w:snapToGrid w:val="0"/>
        <w:spacing w:line="584" w:lineRule="exact"/>
        <w:jc w:val="center"/>
        <w:rPr>
          <w:rFonts w:eastAsia="仿宋_GB2312"/>
          <w:sz w:val="32"/>
          <w:szCs w:val="32"/>
        </w:rPr>
      </w:pPr>
      <w:r>
        <w:rPr>
          <w:rFonts w:hint="eastAsia" w:eastAsia="仿宋_GB2312"/>
          <w:sz w:val="32"/>
          <w:szCs w:val="32"/>
          <w:lang w:eastAsia="zh-CN"/>
        </w:rPr>
        <w:drawing>
          <wp:anchor distT="0" distB="0" distL="114300" distR="114300" simplePos="0" relativeHeight="251659264" behindDoc="0" locked="0" layoutInCell="1" allowOverlap="1">
            <wp:simplePos x="0" y="0"/>
            <wp:positionH relativeFrom="column">
              <wp:posOffset>616585</wp:posOffset>
            </wp:positionH>
            <wp:positionV relativeFrom="paragraph">
              <wp:posOffset>382905</wp:posOffset>
            </wp:positionV>
            <wp:extent cx="3432175" cy="2639060"/>
            <wp:effectExtent l="0" t="0" r="0" b="0"/>
            <wp:wrapNone/>
            <wp:docPr id="1" name="图表 1"/>
            <wp:cNvGraphicFramePr/>
            <a:graphic xmlns:a="http://schemas.openxmlformats.org/drawingml/2006/main">
              <a:graphicData uri="http://schemas.openxmlformats.org/drawingml/2006/picture">
                <pic:pic xmlns:pic="http://schemas.openxmlformats.org/drawingml/2006/picture">
                  <pic:nvPicPr>
                    <pic:cNvPr id="1" name="图表 1"/>
                    <pic:cNvPicPr/>
                  </pic:nvPicPr>
                  <pic:blipFill>
                    <a:blip r:embed="rId4"/>
                    <a:stretch>
                      <a:fillRect/>
                    </a:stretch>
                  </pic:blipFill>
                  <pic:spPr>
                    <a:xfrm>
                      <a:off x="0" y="0"/>
                      <a:ext cx="3432175" cy="2639059"/>
                    </a:xfrm>
                    <a:prstGeom prst="rect">
                      <a:avLst/>
                    </a:prstGeom>
                    <a:noFill/>
                    <a:ln w="9525" cap="flat" cmpd="sng">
                      <a:solidFill>
                        <a:srgbClr val="000000"/>
                      </a:solidFill>
                      <a:prstDash val="solid"/>
                      <a:miter/>
                    </a:ln>
                  </pic:spPr>
                </pic:pic>
              </a:graphicData>
            </a:graphic>
          </wp:anchor>
        </w:drawing>
      </w:r>
      <w:r>
        <w:rPr>
          <w:rFonts w:eastAsia="仿宋_GB2312"/>
          <w:sz w:val="32"/>
          <w:szCs w:val="32"/>
        </w:rPr>
        <w:t>图1：收入决算结构饼状图</w:t>
      </w:r>
    </w:p>
    <w:p>
      <w:pPr>
        <w:adjustRightInd w:val="0"/>
        <w:snapToGrid w:val="0"/>
        <w:spacing w:line="584" w:lineRule="exact"/>
        <w:jc w:val="center"/>
        <w:rPr>
          <w:rFonts w:eastAsia="仿宋_GB2312"/>
          <w:sz w:val="32"/>
          <w:szCs w:val="32"/>
        </w:rPr>
      </w:pPr>
    </w:p>
    <w:p>
      <w:pPr>
        <w:adjustRightInd w:val="0"/>
        <w:snapToGrid w:val="0"/>
        <w:spacing w:line="584" w:lineRule="exact"/>
        <w:jc w:val="center"/>
        <w:rPr>
          <w:rFonts w:eastAsia="仿宋_GB2312"/>
          <w:sz w:val="32"/>
          <w:szCs w:val="32"/>
        </w:rPr>
      </w:pPr>
    </w:p>
    <w:p>
      <w:pPr>
        <w:adjustRightInd w:val="0"/>
        <w:snapToGrid w:val="0"/>
        <w:spacing w:line="584" w:lineRule="exact"/>
        <w:jc w:val="center"/>
        <w:rPr>
          <w:rFonts w:eastAsia="仿宋_GB2312"/>
          <w:sz w:val="32"/>
          <w:szCs w:val="32"/>
        </w:rPr>
      </w:pPr>
    </w:p>
    <w:p>
      <w:pPr>
        <w:adjustRightInd w:val="0"/>
        <w:snapToGrid w:val="0"/>
        <w:spacing w:line="584" w:lineRule="exact"/>
        <w:jc w:val="center"/>
        <w:rPr>
          <w:rFonts w:eastAsia="仿宋_GB2312"/>
          <w:sz w:val="32"/>
          <w:szCs w:val="32"/>
        </w:rPr>
      </w:pPr>
    </w:p>
    <w:p>
      <w:pPr>
        <w:adjustRightInd w:val="0"/>
        <w:snapToGrid w:val="0"/>
        <w:spacing w:line="584" w:lineRule="exact"/>
        <w:jc w:val="center"/>
        <w:rPr>
          <w:rFonts w:eastAsia="仿宋_GB2312"/>
          <w:sz w:val="32"/>
          <w:szCs w:val="32"/>
        </w:rPr>
      </w:pPr>
    </w:p>
    <w:p>
      <w:pPr>
        <w:adjustRightInd w:val="0"/>
        <w:snapToGrid w:val="0"/>
        <w:spacing w:line="584" w:lineRule="exact"/>
        <w:jc w:val="center"/>
        <w:rPr>
          <w:rFonts w:hint="eastAsia" w:eastAsia="仿宋_GB2312"/>
          <w:sz w:val="32"/>
          <w:szCs w:val="32"/>
          <w:lang w:eastAsia="zh-CN"/>
        </w:rPr>
      </w:pPr>
    </w:p>
    <w:p>
      <w:pPr>
        <w:pStyle w:val="3"/>
        <w:spacing w:before="0" w:after="0" w:line="580" w:lineRule="exact"/>
        <w:rPr>
          <w:rFonts w:ascii="黑体" w:eastAsia="黑体"/>
          <w:b w:val="0"/>
          <w:bCs w:val="0"/>
        </w:rPr>
      </w:pPr>
      <w:r>
        <w:rPr>
          <w:rFonts w:hint="eastAsia" w:ascii="黑体" w:eastAsia="黑体"/>
          <w:b w:val="0"/>
          <w:bCs w:val="0"/>
          <w:lang w:val="en-US" w:eastAsia="zh-CN"/>
        </w:rPr>
        <w:t xml:space="preserve">    </w:t>
      </w: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本部门2018年度本年支出合计</w:t>
      </w:r>
      <w:r>
        <w:rPr>
          <w:rFonts w:hint="eastAsia" w:ascii="仿宋_GB2312" w:eastAsia="仿宋_GB2312" w:cs="DengXian-Regular"/>
          <w:sz w:val="32"/>
          <w:szCs w:val="32"/>
          <w:lang w:val="en-US" w:eastAsia="zh-CN"/>
        </w:rPr>
        <w:t>65.86</w:t>
      </w:r>
      <w:r>
        <w:rPr>
          <w:rFonts w:hint="eastAsia" w:ascii="仿宋_GB2312" w:eastAsia="仿宋_GB2312" w:cs="DengXian-Regular"/>
          <w:sz w:val="32"/>
          <w:szCs w:val="32"/>
        </w:rPr>
        <w:t>万元，其中：基本支出</w:t>
      </w:r>
      <w:r>
        <w:rPr>
          <w:rFonts w:hint="eastAsia" w:ascii="仿宋_GB2312" w:eastAsia="仿宋_GB2312" w:cs="DengXian-Regular"/>
          <w:sz w:val="32"/>
          <w:szCs w:val="32"/>
          <w:lang w:val="en-US" w:eastAsia="zh-CN"/>
        </w:rPr>
        <w:t>53.86</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81.78</w:t>
      </w:r>
      <w:r>
        <w:rPr>
          <w:rFonts w:hint="eastAsia" w:ascii="仿宋_GB2312" w:eastAsia="仿宋_GB2312" w:cs="DengXian-Regular"/>
          <w:sz w:val="32"/>
          <w:szCs w:val="32"/>
        </w:rPr>
        <w:t>%；项目支出</w:t>
      </w:r>
      <w:r>
        <w:rPr>
          <w:rFonts w:hint="eastAsia" w:ascii="仿宋_GB2312" w:eastAsia="仿宋_GB2312" w:cs="DengXian-Regular"/>
          <w:sz w:val="32"/>
          <w:szCs w:val="32"/>
          <w:lang w:val="en-US" w:eastAsia="zh-CN"/>
        </w:rPr>
        <w:t>12</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18.22</w:t>
      </w:r>
      <w:r>
        <w:rPr>
          <w:rFonts w:hint="eastAsia" w:ascii="仿宋_GB2312" w:eastAsia="仿宋_GB2312" w:cs="DengXian-Regular"/>
          <w:sz w:val="32"/>
          <w:szCs w:val="32"/>
        </w:rPr>
        <w:t>%。如图所示：</w:t>
      </w:r>
    </w:p>
    <w:p>
      <w:pPr>
        <w:adjustRightInd w:val="0"/>
        <w:snapToGrid w:val="0"/>
        <w:spacing w:after="0" w:line="580" w:lineRule="exact"/>
        <w:jc w:val="center"/>
        <w:rPr>
          <w:rFonts w:eastAsia="仿宋_GB2312"/>
          <w:sz w:val="32"/>
          <w:szCs w:val="32"/>
        </w:rPr>
      </w:pPr>
      <w:r>
        <w:rPr>
          <w:rFonts w:eastAsia="仿宋_GB2312"/>
          <w:sz w:val="32"/>
          <w:szCs w:val="32"/>
        </w:rPr>
        <w:t>图2：支出决算结构饼状图</w:t>
      </w:r>
    </w:p>
    <w:p>
      <w:pPr>
        <w:adjustRightInd w:val="0"/>
        <w:snapToGrid w:val="0"/>
        <w:spacing w:after="0" w:line="580" w:lineRule="exact"/>
        <w:jc w:val="center"/>
        <w:rPr>
          <w:rFonts w:eastAsia="仿宋_GB2312"/>
          <w:sz w:val="32"/>
          <w:szCs w:val="32"/>
        </w:rPr>
      </w:pPr>
      <w:r>
        <w:rPr>
          <w:rFonts w:hint="eastAsia" w:eastAsia="仿宋_GB2312"/>
          <w:sz w:val="32"/>
          <w:szCs w:val="32"/>
          <w:lang w:eastAsia="zh-CN"/>
        </w:rPr>
        <w:drawing>
          <wp:anchor distT="0" distB="0" distL="114300" distR="114300" simplePos="0" relativeHeight="251659264" behindDoc="0" locked="0" layoutInCell="1" allowOverlap="1">
            <wp:simplePos x="0" y="0"/>
            <wp:positionH relativeFrom="column">
              <wp:posOffset>19050</wp:posOffset>
            </wp:positionH>
            <wp:positionV relativeFrom="paragraph">
              <wp:posOffset>231775</wp:posOffset>
            </wp:positionV>
            <wp:extent cx="5013960" cy="3353435"/>
            <wp:effectExtent l="0" t="0" r="0" b="0"/>
            <wp:wrapNone/>
            <wp:docPr id="4" name="图表 2"/>
            <wp:cNvGraphicFramePr/>
            <a:graphic xmlns:a="http://schemas.openxmlformats.org/drawingml/2006/main">
              <a:graphicData uri="http://schemas.openxmlformats.org/drawingml/2006/picture">
                <pic:pic xmlns:pic="http://schemas.openxmlformats.org/drawingml/2006/picture">
                  <pic:nvPicPr>
                    <pic:cNvPr id="4" name="图表 2"/>
                    <pic:cNvPicPr/>
                  </pic:nvPicPr>
                  <pic:blipFill>
                    <a:blip r:embed="rId5"/>
                    <a:stretch>
                      <a:fillRect/>
                    </a:stretch>
                  </pic:blipFill>
                  <pic:spPr>
                    <a:xfrm>
                      <a:off x="0" y="0"/>
                      <a:ext cx="5013960" cy="3353434"/>
                    </a:xfrm>
                    <a:prstGeom prst="rect">
                      <a:avLst/>
                    </a:prstGeom>
                    <a:noFill/>
                    <a:ln w="9525" cap="flat" cmpd="sng">
                      <a:solidFill>
                        <a:srgbClr val="000000"/>
                      </a:solidFill>
                      <a:prstDash val="solid"/>
                      <a:miter/>
                    </a:ln>
                  </pic:spPr>
                </pic:pic>
              </a:graphicData>
            </a:graphic>
          </wp:anchor>
        </w:drawing>
      </w: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hint="eastAsia" w:eastAsia="仿宋_GB2312"/>
          <w:sz w:val="32"/>
          <w:szCs w:val="32"/>
          <w:lang w:eastAsia="zh-CN"/>
        </w:rPr>
      </w:pPr>
    </w:p>
    <w:p>
      <w:pPr>
        <w:adjustRightInd w:val="0"/>
        <w:snapToGrid w:val="0"/>
        <w:spacing w:after="0" w:line="580" w:lineRule="exact"/>
        <w:jc w:val="center"/>
        <w:rPr>
          <w:rFonts w:eastAsia="仿宋_GB2312"/>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jc w:val="center"/>
        <w:rPr>
          <w:rFonts w:ascii="仿宋_GB2312" w:eastAsia="仿宋_GB2312" w:cs="DengXian-Regular"/>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rPr>
          <w:rFonts w:ascii="仿宋_GB2312" w:eastAsia="仿宋_GB2312" w:cs="DengXian-Regular"/>
          <w:sz w:val="32"/>
          <w:szCs w:val="32"/>
        </w:rPr>
      </w:pPr>
      <w:r>
        <w:rPr>
          <w:rFonts w:hint="eastAsia" w:ascii="仿宋_GB2312" w:eastAsia="仿宋_GB2312" w:cs="DengXian-Regular"/>
          <w:sz w:val="32"/>
          <w:szCs w:val="32"/>
          <w:lang w:val="en-US" w:eastAsia="zh-CN"/>
        </w:rPr>
        <w:t xml:space="preserve">    </w:t>
      </w:r>
      <w:r>
        <w:rPr>
          <w:rFonts w:hint="eastAsia" w:ascii="仿宋_GB2312" w:eastAsia="仿宋_GB2312" w:cs="DengXian-Regular"/>
          <w:sz w:val="32"/>
          <w:szCs w:val="32"/>
        </w:rPr>
        <w:t>本部门2018年度形成的财政拨款收支均为一般公共预算财政拨款，其中一般公共预算财政拨款本年收入</w:t>
      </w:r>
      <w:r>
        <w:rPr>
          <w:rFonts w:hint="eastAsia" w:ascii="仿宋_GB2312" w:eastAsia="仿宋_GB2312" w:cs="DengXian-Regular"/>
          <w:sz w:val="32"/>
          <w:szCs w:val="32"/>
          <w:lang w:val="en-US" w:eastAsia="zh-CN"/>
        </w:rPr>
        <w:t>71.72</w:t>
      </w:r>
      <w:r>
        <w:rPr>
          <w:rFonts w:hint="eastAsia" w:ascii="仿宋_GB2312" w:eastAsia="仿宋_GB2312" w:cs="DengXian-Regular"/>
          <w:sz w:val="32"/>
          <w:szCs w:val="32"/>
        </w:rPr>
        <w:t>万元,比2017年度减少</w:t>
      </w:r>
      <w:r>
        <w:rPr>
          <w:rFonts w:hint="eastAsia" w:ascii="仿宋_GB2312" w:eastAsia="仿宋_GB2312" w:cs="DengXian-Regular"/>
          <w:sz w:val="32"/>
          <w:szCs w:val="32"/>
          <w:lang w:val="en-US" w:eastAsia="zh-CN"/>
        </w:rPr>
        <w:t>9.73</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11.95</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压减公用支出，项目资金调整</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65.86</w:t>
      </w:r>
      <w:r>
        <w:rPr>
          <w:rFonts w:hint="eastAsia" w:ascii="仿宋_GB2312" w:eastAsia="仿宋_GB2312" w:cs="DengXian-Regular"/>
          <w:sz w:val="32"/>
          <w:szCs w:val="32"/>
        </w:rPr>
        <w:t>万元，减少</w:t>
      </w:r>
      <w:r>
        <w:rPr>
          <w:rFonts w:hint="eastAsia" w:ascii="仿宋_GB2312" w:eastAsia="仿宋_GB2312" w:cs="DengXian-Regular"/>
          <w:sz w:val="32"/>
          <w:szCs w:val="32"/>
          <w:lang w:val="en-US" w:eastAsia="zh-CN"/>
        </w:rPr>
        <w:t>15.59</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19.14</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压减公用支出，项目资金调整</w:t>
      </w:r>
      <w:r>
        <w:rPr>
          <w:rFonts w:hint="eastAsia" w:ascii="仿宋_GB2312" w:eastAsia="仿宋_GB2312" w:cs="DengXian-Regular"/>
          <w:sz w:val="32"/>
          <w:szCs w:val="32"/>
        </w:rPr>
        <w:t>。</w:t>
      </w: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ascii="仿宋_GB2312" w:eastAsia="仿宋_GB2312" w:cs="DengXian-Regular"/>
          <w:sz w:val="32"/>
          <w:szCs w:val="32"/>
        </w:rPr>
      </w:pPr>
      <w:r>
        <w:rPr>
          <w:rFonts w:hint="eastAsia" w:eastAsia="仿宋_GB2312"/>
          <w:sz w:val="32"/>
          <w:szCs w:val="32"/>
        </w:rPr>
        <w:t>图3：财政拨款收支情况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lang w:eastAsia="zh-CN"/>
        </w:rPr>
        <w:drawing>
          <wp:anchor distT="0" distB="0" distL="114300" distR="114300" simplePos="0" relativeHeight="251659264" behindDoc="0" locked="0" layoutInCell="1" allowOverlap="1">
            <wp:simplePos x="0" y="0"/>
            <wp:positionH relativeFrom="column">
              <wp:posOffset>219075</wp:posOffset>
            </wp:positionH>
            <wp:positionV relativeFrom="paragraph">
              <wp:posOffset>168275</wp:posOffset>
            </wp:positionV>
            <wp:extent cx="4709160" cy="2896235"/>
            <wp:effectExtent l="0" t="0" r="0" b="0"/>
            <wp:wrapNone/>
            <wp:docPr id="7" name="图表 3"/>
            <wp:cNvGraphicFramePr/>
            <a:graphic xmlns:a="http://schemas.openxmlformats.org/drawingml/2006/main">
              <a:graphicData uri="http://schemas.openxmlformats.org/drawingml/2006/picture">
                <pic:pic xmlns:pic="http://schemas.openxmlformats.org/drawingml/2006/picture">
                  <pic:nvPicPr>
                    <pic:cNvPr id="7" name="图表 3"/>
                    <pic:cNvPicPr/>
                  </pic:nvPicPr>
                  <pic:blipFill>
                    <a:blip r:embed="rId6"/>
                    <a:stretch>
                      <a:fillRect/>
                    </a:stretch>
                  </pic:blipFill>
                  <pic:spPr>
                    <a:xfrm>
                      <a:off x="0" y="0"/>
                      <a:ext cx="4709159" cy="2896233"/>
                    </a:xfrm>
                    <a:prstGeom prst="rect">
                      <a:avLst/>
                    </a:prstGeom>
                    <a:noFill/>
                    <a:ln w="9525" cap="flat" cmpd="sng">
                      <a:solidFill>
                        <a:srgbClr val="000000"/>
                      </a:solidFill>
                      <a:prstDash val="solid"/>
                      <a:miter/>
                    </a:ln>
                  </pic:spPr>
                </pic:pic>
              </a:graphicData>
            </a:graphic>
          </wp:anchor>
        </w:drawing>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lang w:eastAsia="zh-CN"/>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jc w:val="center"/>
        <w:rPr>
          <w:rFonts w:ascii="仿宋_GB2312" w:eastAsia="仿宋_GB2312" w:cs="DengXian-Regular"/>
          <w:sz w:val="32"/>
          <w:szCs w:val="32"/>
        </w:rPr>
      </w:pPr>
    </w:p>
    <w:p>
      <w:pPr>
        <w:spacing w:after="0" w:line="580" w:lineRule="exact"/>
        <w:rPr>
          <w:rFonts w:ascii="仿宋_GB2312" w:eastAsia="仿宋_GB2312" w:cs="DengXian-Regular"/>
          <w:sz w:val="32"/>
          <w:szCs w:val="32"/>
          <w:highlight w:val="yellow"/>
        </w:rPr>
      </w:pPr>
      <w:r>
        <w:rPr>
          <w:rFonts w:hint="eastAsia" w:ascii="楷体_GB2312" w:eastAsia="楷体_GB2312" w:cs="DengXian-Bold"/>
          <w:b/>
          <w:bCs/>
          <w:sz w:val="32"/>
          <w:szCs w:val="32"/>
          <w:lang w:val="en-US" w:eastAsia="zh-CN"/>
        </w:rPr>
        <w:t xml:space="preserve">   </w:t>
      </w: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本部门2018年度一般公共预算财政拨款收入</w:t>
      </w:r>
      <w:r>
        <w:rPr>
          <w:rFonts w:hint="eastAsia" w:ascii="仿宋_GB2312" w:eastAsia="仿宋_GB2312" w:cs="DengXian-Regular"/>
          <w:sz w:val="32"/>
          <w:szCs w:val="32"/>
          <w:lang w:val="en-US" w:eastAsia="zh-CN"/>
        </w:rPr>
        <w:t>71.72</w:t>
      </w:r>
      <w:r>
        <w:rPr>
          <w:rFonts w:hint="eastAsia" w:ascii="仿宋_GB2312" w:eastAsia="仿宋_GB2312" w:cs="DengXian-Regular"/>
          <w:sz w:val="32"/>
          <w:szCs w:val="32"/>
          <w:lang w:val="en-US" w:eastAsia="zh-CN"/>
        </w:rPr>
        <w:tab/>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4.46</w:t>
      </w:r>
      <w:r>
        <w:rPr>
          <w:rFonts w:hint="eastAsia" w:ascii="仿宋_GB2312" w:eastAsia="仿宋_GB2312" w:cs="DengXian-Regular"/>
          <w:sz w:val="32"/>
          <w:szCs w:val="32"/>
        </w:rPr>
        <w:t>万元，决算数大于预算数主要是</w:t>
      </w:r>
      <w:r>
        <w:rPr>
          <w:rFonts w:hint="eastAsia" w:ascii="仿宋_GB2312" w:eastAsia="仿宋_GB2312" w:cs="DengXian-Regular"/>
          <w:sz w:val="32"/>
          <w:szCs w:val="32"/>
          <w:lang w:eastAsia="zh-CN"/>
        </w:rPr>
        <w:t>人员经费调整</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65.86</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97.9</w:t>
      </w:r>
      <w:r>
        <w:rPr>
          <w:rFonts w:hint="eastAsia" w:ascii="仿宋_GB2312" w:eastAsia="仿宋_GB2312" w:cs="DengXian-Regular"/>
          <w:sz w:val="32"/>
          <w:szCs w:val="32"/>
        </w:rPr>
        <w:t>%,比年初预算减少</w:t>
      </w:r>
      <w:r>
        <w:rPr>
          <w:rFonts w:hint="eastAsia" w:ascii="仿宋_GB2312" w:eastAsia="仿宋_GB2312" w:cs="DengXian-Regular"/>
          <w:sz w:val="32"/>
          <w:szCs w:val="32"/>
          <w:lang w:val="en-US" w:eastAsia="zh-CN"/>
        </w:rPr>
        <w:t>1.4</w:t>
      </w:r>
      <w:r>
        <w:rPr>
          <w:rFonts w:hint="eastAsia" w:ascii="仿宋_GB2312" w:eastAsia="仿宋_GB2312" w:cs="DengXian-Regular"/>
          <w:sz w:val="32"/>
          <w:szCs w:val="32"/>
        </w:rPr>
        <w:t>万元，决算数小于预算数主要是</w:t>
      </w:r>
      <w:r>
        <w:rPr>
          <w:rFonts w:hint="eastAsia" w:ascii="仿宋_GB2312" w:eastAsia="仿宋_GB2312" w:cs="DengXian-Regular"/>
          <w:sz w:val="32"/>
          <w:szCs w:val="32"/>
          <w:lang w:eastAsia="zh-CN"/>
        </w:rPr>
        <w:t>在保证人员经费的前提下压减日常公用支出</w:t>
      </w:r>
      <w:r>
        <w:rPr>
          <w:rFonts w:hint="eastAsia" w:ascii="仿宋_GB2312" w:eastAsia="仿宋_GB2312" w:cs="DengXian-Regular"/>
          <w:sz w:val="32"/>
          <w:szCs w:val="32"/>
        </w:rPr>
        <w:t>。</w:t>
      </w:r>
    </w:p>
    <w:p>
      <w:pPr>
        <w:adjustRightInd w:val="0"/>
        <w:snapToGrid w:val="0"/>
        <w:spacing w:after="0" w:line="580" w:lineRule="exact"/>
        <w:jc w:val="center"/>
        <w:rPr>
          <w:rFonts w:hint="eastAsia" w:eastAsia="仿宋_GB2312"/>
          <w:sz w:val="32"/>
          <w:szCs w:val="32"/>
        </w:rPr>
      </w:pPr>
      <w:r>
        <w:rPr>
          <w:rFonts w:hint="eastAsia" w:eastAsia="仿宋_GB2312"/>
          <w:sz w:val="32"/>
          <w:szCs w:val="32"/>
        </w:rPr>
        <w:t>图4：财政拨款收支预决算对比情况</w:t>
      </w:r>
    </w:p>
    <w:p>
      <w:pPr>
        <w:adjustRightInd w:val="0"/>
        <w:snapToGrid w:val="0"/>
        <w:spacing w:after="0" w:line="580" w:lineRule="exact"/>
        <w:jc w:val="center"/>
        <w:rPr>
          <w:rFonts w:hint="eastAsia" w:eastAsia="仿宋_GB2312"/>
          <w:sz w:val="32"/>
          <w:szCs w:val="32"/>
        </w:rPr>
      </w:pPr>
      <w:r>
        <w:rPr>
          <w:rFonts w:hint="eastAsia" w:eastAsia="仿宋_GB2312"/>
          <w:sz w:val="32"/>
          <w:szCs w:val="32"/>
          <w:lang w:eastAsia="zh-CN"/>
        </w:rPr>
        <w:drawing>
          <wp:anchor distT="0" distB="0" distL="114300" distR="114300" simplePos="0" relativeHeight="251659264" behindDoc="0" locked="0" layoutInCell="1" allowOverlap="1">
            <wp:simplePos x="0" y="0"/>
            <wp:positionH relativeFrom="column">
              <wp:posOffset>153035</wp:posOffset>
            </wp:positionH>
            <wp:positionV relativeFrom="paragraph">
              <wp:posOffset>78740</wp:posOffset>
            </wp:positionV>
            <wp:extent cx="4718685" cy="2933700"/>
            <wp:effectExtent l="0" t="0" r="0" b="0"/>
            <wp:wrapNone/>
            <wp:docPr id="10" name="图表 4"/>
            <wp:cNvGraphicFramePr/>
            <a:graphic xmlns:a="http://schemas.openxmlformats.org/drawingml/2006/main">
              <a:graphicData uri="http://schemas.openxmlformats.org/drawingml/2006/picture">
                <pic:pic xmlns:pic="http://schemas.openxmlformats.org/drawingml/2006/picture">
                  <pic:nvPicPr>
                    <pic:cNvPr id="10" name="图表 4"/>
                    <pic:cNvPicPr/>
                  </pic:nvPicPr>
                  <pic:blipFill>
                    <a:blip r:embed="rId7"/>
                    <a:stretch>
                      <a:fillRect/>
                    </a:stretch>
                  </pic:blipFill>
                  <pic:spPr>
                    <a:xfrm>
                      <a:off x="0" y="0"/>
                      <a:ext cx="4718685" cy="2933701"/>
                    </a:xfrm>
                    <a:prstGeom prst="rect">
                      <a:avLst/>
                    </a:prstGeom>
                    <a:noFill/>
                    <a:ln w="9525" cap="flat" cmpd="sng">
                      <a:solidFill>
                        <a:srgbClr val="000000"/>
                      </a:solidFill>
                      <a:prstDash val="solid"/>
                      <a:miter/>
                    </a:ln>
                  </pic:spPr>
                </pic:pic>
              </a:graphicData>
            </a:graphic>
          </wp:anchor>
        </w:drawing>
      </w: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jc w:val="center"/>
        <w:rPr>
          <w:rFonts w:hint="eastAsia" w:eastAsia="仿宋_GB2312"/>
          <w:sz w:val="32"/>
          <w:szCs w:val="32"/>
          <w:lang w:eastAsia="zh-CN"/>
        </w:rPr>
      </w:pPr>
    </w:p>
    <w:p>
      <w:pPr>
        <w:adjustRightInd w:val="0"/>
        <w:snapToGrid w:val="0"/>
        <w:spacing w:after="0" w:line="580" w:lineRule="exact"/>
        <w:jc w:val="center"/>
        <w:rPr>
          <w:rFonts w:hint="eastAsia" w:eastAsia="仿宋_GB2312"/>
          <w:sz w:val="32"/>
          <w:szCs w:val="32"/>
        </w:rPr>
      </w:pP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年度财政拨款支出</w:t>
      </w:r>
      <w:r>
        <w:rPr>
          <w:rFonts w:hint="eastAsia" w:ascii="仿宋_GB2312" w:eastAsia="仿宋_GB2312" w:cs="DengXian-Regular"/>
          <w:sz w:val="32"/>
          <w:szCs w:val="32"/>
          <w:lang w:val="en-US" w:eastAsia="zh-CN"/>
        </w:rPr>
        <w:t>65.86</w:t>
      </w:r>
      <w:r>
        <w:rPr>
          <w:rFonts w:hint="eastAsia" w:ascii="仿宋_GB2312" w:eastAsia="仿宋_GB2312" w:cs="DengXian-Regular"/>
          <w:sz w:val="32"/>
          <w:szCs w:val="32"/>
        </w:rPr>
        <w:t>万元，主要用于以下方面一般公共服务（类）支出</w:t>
      </w:r>
      <w:r>
        <w:rPr>
          <w:rFonts w:hint="eastAsia" w:ascii="仿宋_GB2312" w:eastAsia="仿宋_GB2312" w:cs="DengXian-Regular"/>
          <w:sz w:val="32"/>
          <w:szCs w:val="32"/>
          <w:lang w:val="en-US" w:eastAsia="zh-CN"/>
        </w:rPr>
        <w:t>57.76</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87.7</w:t>
      </w:r>
      <w:r>
        <w:rPr>
          <w:rFonts w:hint="eastAsia" w:ascii="仿宋_GB2312" w:eastAsia="仿宋_GB2312" w:cs="DengXian-Regular"/>
          <w:sz w:val="32"/>
          <w:szCs w:val="32"/>
        </w:rPr>
        <w:t>%；公共安全（类）支出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%；教育（类）支出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%；科学技术（类）支出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 xml:space="preserve">万元，占 </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 xml:space="preserve">%；社会保障和就业（类）支出 </w:t>
      </w:r>
      <w:r>
        <w:rPr>
          <w:rFonts w:hint="eastAsia" w:ascii="仿宋_GB2312" w:eastAsia="仿宋_GB2312" w:cs="DengXian-Regular"/>
          <w:sz w:val="32"/>
          <w:szCs w:val="32"/>
          <w:lang w:val="en-US" w:eastAsia="zh-CN"/>
        </w:rPr>
        <w:t>5.21</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7.91</w:t>
      </w:r>
      <w:r>
        <w:rPr>
          <w:rFonts w:hint="eastAsia" w:ascii="仿宋_GB2312" w:eastAsia="仿宋_GB2312" w:cs="DengXian-Regular"/>
          <w:sz w:val="32"/>
          <w:szCs w:val="32"/>
        </w:rPr>
        <w:t>%；住房保障（类）支出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w:t>
      </w:r>
      <w:r>
        <w:rPr>
          <w:rFonts w:hint="eastAsia" w:ascii="仿宋_GB2312" w:eastAsia="仿宋_GB2312" w:cs="DengXian-Regular"/>
          <w:sz w:val="32"/>
          <w:szCs w:val="32"/>
          <w:lang w:eastAsia="zh-CN"/>
        </w:rPr>
        <w:t>医疗卫生与计划生育（类）支出</w:t>
      </w:r>
      <w:r>
        <w:rPr>
          <w:rFonts w:hint="eastAsia" w:ascii="仿宋_GB2312" w:eastAsia="仿宋_GB2312" w:cs="DengXian-Regular"/>
          <w:sz w:val="32"/>
          <w:szCs w:val="32"/>
          <w:lang w:val="en-US" w:eastAsia="zh-CN"/>
        </w:rPr>
        <w:t>2.89万元，占4.39%</w:t>
      </w:r>
      <w:r>
        <w:rPr>
          <w:rFonts w:hint="eastAsia" w:ascii="仿宋_GB2312" w:eastAsia="仿宋_GB2312" w:cs="DengXian-Regular"/>
          <w:sz w:val="32"/>
          <w:szCs w:val="32"/>
        </w:rPr>
        <w:t>。</w:t>
      </w:r>
    </w:p>
    <w:p>
      <w:pPr>
        <w:adjustRightInd w:val="0"/>
        <w:snapToGrid w:val="0"/>
        <w:spacing w:after="0" w:line="580" w:lineRule="exact"/>
        <w:jc w:val="center"/>
        <w:rPr>
          <w:rFonts w:ascii="楷体_GB2312" w:eastAsia="楷体_GB2312" w:cs="DengXian-Bold"/>
          <w:b/>
          <w:bCs/>
          <w:sz w:val="32"/>
          <w:szCs w:val="32"/>
        </w:rPr>
      </w:pPr>
      <w:r>
        <w:rPr>
          <w:rFonts w:hint="eastAsia" w:eastAsia="仿宋_GB2312"/>
          <w:sz w:val="32"/>
          <w:szCs w:val="32"/>
        </w:rPr>
        <w:t>图5：财政拨款支出决算结构（按功能分类）</w:t>
      </w:r>
    </w:p>
    <w:p>
      <w:pPr>
        <w:adjustRightInd w:val="0"/>
        <w:snapToGrid w:val="0"/>
        <w:spacing w:after="0" w:line="580" w:lineRule="exact"/>
        <w:rPr>
          <w:rFonts w:ascii="楷体_GB2312" w:eastAsia="楷体_GB2312" w:cs="DengXian-Bold"/>
          <w:b/>
          <w:bCs/>
          <w:sz w:val="32"/>
          <w:szCs w:val="32"/>
        </w:rPr>
      </w:pPr>
      <w:r>
        <w:rPr>
          <w:rFonts w:hint="eastAsia" w:ascii="楷体_GB2312" w:eastAsia="楷体_GB2312" w:cs="DengXian-Bold"/>
          <w:b/>
          <w:bCs/>
          <w:sz w:val="32"/>
          <w:szCs w:val="32"/>
          <w:lang w:eastAsia="zh-CN"/>
        </w:rPr>
        <w:drawing>
          <wp:anchor distT="0" distB="0" distL="114300" distR="114300" simplePos="0" relativeHeight="251659264" behindDoc="0" locked="0" layoutInCell="1" allowOverlap="1">
            <wp:simplePos x="0" y="0"/>
            <wp:positionH relativeFrom="column">
              <wp:posOffset>283210</wp:posOffset>
            </wp:positionH>
            <wp:positionV relativeFrom="paragraph">
              <wp:posOffset>172085</wp:posOffset>
            </wp:positionV>
            <wp:extent cx="4613275" cy="3210560"/>
            <wp:effectExtent l="0" t="0" r="0" b="0"/>
            <wp:wrapNone/>
            <wp:docPr id="13" name="图表 5"/>
            <wp:cNvGraphicFramePr/>
            <a:graphic xmlns:a="http://schemas.openxmlformats.org/drawingml/2006/main">
              <a:graphicData uri="http://schemas.openxmlformats.org/drawingml/2006/picture">
                <pic:pic xmlns:pic="http://schemas.openxmlformats.org/drawingml/2006/picture">
                  <pic:nvPicPr>
                    <pic:cNvPr id="13" name="图表 5"/>
                    <pic:cNvPicPr/>
                  </pic:nvPicPr>
                  <pic:blipFill>
                    <a:blip r:embed="rId8"/>
                    <a:stretch>
                      <a:fillRect/>
                    </a:stretch>
                  </pic:blipFill>
                  <pic:spPr>
                    <a:xfrm>
                      <a:off x="0" y="0"/>
                      <a:ext cx="4613275" cy="3210559"/>
                    </a:xfrm>
                    <a:prstGeom prst="rect">
                      <a:avLst/>
                    </a:prstGeom>
                    <a:noFill/>
                    <a:ln w="9525" cap="flat" cmpd="sng">
                      <a:solidFill>
                        <a:srgbClr val="000000"/>
                      </a:solidFill>
                      <a:prstDash val="solid"/>
                      <a:miter/>
                    </a:ln>
                  </pic:spPr>
                </pic:pic>
              </a:graphicData>
            </a:graphic>
          </wp:anchor>
        </w:drawing>
      </w: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hint="eastAsia" w:ascii="楷体_GB2312" w:eastAsia="楷体_GB2312" w:cs="DengXian-Bold"/>
          <w:b/>
          <w:bCs/>
          <w:sz w:val="32"/>
          <w:szCs w:val="32"/>
          <w:lang w:eastAsia="zh-CN"/>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jc w:val="center"/>
        <w:rPr>
          <w:rFonts w:ascii="楷体_GB2312" w:eastAsia="楷体_GB2312" w:cs="DengXian-Bold"/>
          <w:b/>
          <w:bCs/>
          <w:sz w:val="32"/>
          <w:szCs w:val="32"/>
        </w:rPr>
      </w:pPr>
    </w:p>
    <w:p>
      <w:pPr>
        <w:adjustRightInd w:val="0"/>
        <w:snapToGrid w:val="0"/>
        <w:spacing w:after="0" w:line="580" w:lineRule="exact"/>
        <w:ind w:left="420" w:leftChars="200"/>
        <w:rPr>
          <w:rFonts w:ascii="仿宋_GB2312" w:eastAsia="仿宋_GB2312" w:cs="DengXian-Regular"/>
          <w:sz w:val="32"/>
          <w:szCs w:val="32"/>
          <w:highlight w:val="yellow"/>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年度一般公共预算财政拨款基本支出</w:t>
      </w:r>
      <w:r>
        <w:rPr>
          <w:rFonts w:hint="eastAsia" w:ascii="仿宋_GB2312" w:eastAsia="仿宋_GB2312" w:cs="DengXian-Regular"/>
          <w:sz w:val="32"/>
          <w:szCs w:val="32"/>
          <w:lang w:val="en-US" w:eastAsia="zh-CN"/>
        </w:rPr>
        <w:t>53.86</w:t>
      </w:r>
      <w:r>
        <w:rPr>
          <w:rFonts w:hint="eastAsia" w:ascii="仿宋_GB2312" w:eastAsia="仿宋_GB2312" w:cs="DengXian-Regular"/>
          <w:sz w:val="32"/>
          <w:szCs w:val="32"/>
        </w:rPr>
        <w:t xml:space="preserve">万元，其中：人员经费 </w:t>
      </w:r>
      <w:r>
        <w:rPr>
          <w:rFonts w:hint="eastAsia" w:ascii="仿宋_GB2312" w:eastAsia="仿宋_GB2312" w:cs="DengXian-Regular"/>
          <w:sz w:val="32"/>
          <w:szCs w:val="32"/>
          <w:lang w:val="en-US" w:eastAsia="zh-CN"/>
        </w:rPr>
        <w:t>47.91</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hint="eastAsia" w:ascii="仿宋_GB2312" w:eastAsia="仿宋_GB2312" w:cs="DengXian-Regular"/>
          <w:sz w:val="32"/>
          <w:szCs w:val="32"/>
          <w:lang w:val="en-US" w:eastAsia="zh-CN"/>
        </w:rPr>
        <w:t>5.95</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eastAsia="仿宋_GB2312"/>
          <w:sz w:val="32"/>
          <w:szCs w:val="32"/>
          <w:highlight w:val="yellow"/>
        </w:rPr>
      </w:pPr>
      <w:r>
        <w:rPr>
          <w:rFonts w:eastAsia="仿宋_GB2312"/>
          <w:sz w:val="32"/>
          <w:szCs w:val="32"/>
        </w:rPr>
        <w:t>本部门201</w:t>
      </w:r>
      <w:r>
        <w:rPr>
          <w:rFonts w:hint="eastAsia" w:eastAsia="仿宋_GB2312"/>
          <w:sz w:val="32"/>
          <w:szCs w:val="32"/>
        </w:rPr>
        <w:t>8</w:t>
      </w:r>
      <w:r>
        <w:rPr>
          <w:rFonts w:eastAsia="仿宋_GB2312"/>
          <w:sz w:val="32"/>
          <w:szCs w:val="32"/>
        </w:rPr>
        <w:t>年度一般公共预算财政拨款“三公”经费支出共计</w:t>
      </w:r>
      <w:r>
        <w:rPr>
          <w:rFonts w:hint="eastAsia" w:eastAsia="仿宋_GB2312"/>
          <w:sz w:val="32"/>
          <w:szCs w:val="32"/>
          <w:lang w:val="en-US" w:eastAsia="zh-CN"/>
        </w:rPr>
        <w:t>2.5</w:t>
      </w:r>
      <w:r>
        <w:rPr>
          <w:rFonts w:eastAsia="仿宋_GB2312"/>
          <w:sz w:val="32"/>
          <w:szCs w:val="32"/>
        </w:rPr>
        <w:t>万元，</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1</w:t>
      </w:r>
      <w:r>
        <w:rPr>
          <w:rFonts w:eastAsia="仿宋_GB2312"/>
          <w:sz w:val="32"/>
          <w:szCs w:val="32"/>
        </w:rPr>
        <w:t>万元，降低</w:t>
      </w:r>
      <w:r>
        <w:rPr>
          <w:rFonts w:hint="eastAsia" w:eastAsia="仿宋_GB2312"/>
          <w:sz w:val="32"/>
          <w:szCs w:val="32"/>
          <w:lang w:val="en-US" w:eastAsia="zh-CN"/>
        </w:rPr>
        <w:t>28</w:t>
      </w:r>
      <w:r>
        <w:rPr>
          <w:rFonts w:eastAsia="仿宋_GB2312"/>
          <w:sz w:val="32"/>
          <w:szCs w:val="32"/>
        </w:rPr>
        <w:t>%，主要是</w:t>
      </w:r>
      <w:r>
        <w:rPr>
          <w:rFonts w:hint="eastAsia" w:eastAsia="仿宋_GB2312"/>
          <w:sz w:val="32"/>
          <w:szCs w:val="32"/>
          <w:lang w:eastAsia="zh-CN"/>
        </w:rPr>
        <w:t>减少三公经费支出</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1</w:t>
      </w:r>
      <w:r>
        <w:rPr>
          <w:rFonts w:eastAsia="仿宋_GB2312"/>
          <w:sz w:val="32"/>
          <w:szCs w:val="32"/>
        </w:rPr>
        <w:t>万元，降低</w:t>
      </w:r>
      <w:r>
        <w:rPr>
          <w:rFonts w:hint="eastAsia" w:eastAsia="仿宋_GB2312"/>
          <w:sz w:val="32"/>
          <w:szCs w:val="32"/>
          <w:lang w:val="en-US" w:eastAsia="zh-CN"/>
        </w:rPr>
        <w:t>28</w:t>
      </w:r>
      <w:r>
        <w:rPr>
          <w:rFonts w:eastAsia="仿宋_GB2312"/>
          <w:sz w:val="32"/>
          <w:szCs w:val="32"/>
        </w:rPr>
        <w:t>%，主要是</w:t>
      </w:r>
      <w:r>
        <w:rPr>
          <w:rFonts w:hint="eastAsia" w:eastAsia="仿宋_GB2312"/>
          <w:sz w:val="32"/>
          <w:szCs w:val="32"/>
          <w:lang w:eastAsia="zh-CN"/>
        </w:rPr>
        <w:t>减少三公经费支出</w:t>
      </w:r>
      <w:r>
        <w:rPr>
          <w:rFonts w:eastAsia="仿宋_GB2312"/>
          <w:sz w:val="32"/>
          <w:szCs w:val="32"/>
        </w:rPr>
        <w:t>。具体情况如下：</w:t>
      </w:r>
    </w:p>
    <w:p>
      <w:pPr>
        <w:adjustRightInd w:val="0"/>
        <w:snapToGrid w:val="0"/>
        <w:spacing w:line="584" w:lineRule="exact"/>
        <w:ind w:firstLine="643" w:firstLineChars="200"/>
        <w:rPr>
          <w:rFonts w:eastAsia="仿宋_GB2312"/>
          <w:sz w:val="32"/>
          <w:szCs w:val="32"/>
          <w:highlight w:val="yellow"/>
        </w:rPr>
      </w:pPr>
      <w:r>
        <w:rPr>
          <w:rFonts w:hint="eastAsia" w:eastAsia="楷体_GB2312"/>
          <w:b/>
          <w:bCs/>
          <w:sz w:val="32"/>
          <w:szCs w:val="32"/>
          <w:lang w:eastAsia="zh-CN"/>
        </w:rPr>
        <w:t>（一）</w:t>
      </w:r>
      <w:r>
        <w:rPr>
          <w:rFonts w:eastAsia="楷体_GB2312"/>
          <w:b/>
          <w:bCs/>
          <w:sz w:val="32"/>
          <w:szCs w:val="32"/>
        </w:rPr>
        <w:t>因公出国（境）费支出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w:t>
      </w:r>
      <w:r>
        <w:rPr>
          <w:rFonts w:hint="eastAsia" w:ascii="仿宋_GB2312" w:eastAsia="仿宋_GB2312" w:cs="DengXian-Regular"/>
          <w:sz w:val="32"/>
          <w:szCs w:val="32"/>
        </w:rPr>
        <w:t>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人/参加其他单位组织的因公出国（境）团组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人/无本单位组织的出国（境）团组。</w:t>
      </w:r>
      <w:r>
        <w:rPr>
          <w:rFonts w:eastAsia="仿宋_GB2312"/>
          <w:sz w:val="32"/>
          <w:szCs w:val="32"/>
        </w:rPr>
        <w:t>因公出国（境）费支出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%，主要是</w:t>
      </w:r>
      <w:r>
        <w:rPr>
          <w:rFonts w:hint="eastAsia" w:eastAsia="仿宋_GB2312"/>
          <w:sz w:val="32"/>
          <w:szCs w:val="32"/>
          <w:lang w:eastAsia="zh-CN"/>
        </w:rPr>
        <w:t>未发生</w:t>
      </w:r>
      <w:r>
        <w:rPr>
          <w:rFonts w:eastAsia="仿宋_GB2312"/>
          <w:sz w:val="32"/>
          <w:szCs w:val="32"/>
        </w:rPr>
        <w:t>因公出国（境）费支出；</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%，主要是</w:t>
      </w:r>
      <w:r>
        <w:rPr>
          <w:rFonts w:hint="eastAsia" w:eastAsia="仿宋_GB2312"/>
          <w:sz w:val="32"/>
          <w:szCs w:val="32"/>
          <w:lang w:eastAsia="zh-CN"/>
        </w:rPr>
        <w:t>未发生</w:t>
      </w:r>
      <w:r>
        <w:rPr>
          <w:rFonts w:eastAsia="仿宋_GB2312"/>
          <w:sz w:val="32"/>
          <w:szCs w:val="32"/>
        </w:rPr>
        <w:t>因公出国（境）费支出。</w:t>
      </w:r>
    </w:p>
    <w:p>
      <w:pPr>
        <w:adjustRightInd w:val="0"/>
        <w:snapToGrid w:val="0"/>
        <w:spacing w:line="584" w:lineRule="exact"/>
        <w:ind w:firstLine="643" w:firstLineChars="200"/>
        <w:rPr>
          <w:rFonts w:eastAsia="仿宋_GB2312"/>
          <w:b/>
          <w:bCs/>
          <w:sz w:val="32"/>
          <w:szCs w:val="32"/>
        </w:rPr>
      </w:pPr>
      <w:r>
        <w:rPr>
          <w:rFonts w:eastAsia="楷体_GB2312"/>
          <w:b/>
          <w:bCs/>
          <w:sz w:val="32"/>
          <w:szCs w:val="32"/>
        </w:rPr>
        <w:t>（二）公务用车购置及运行维护费支出</w:t>
      </w:r>
      <w:r>
        <w:rPr>
          <w:rFonts w:hint="eastAsia" w:eastAsia="楷体_GB2312"/>
          <w:b/>
          <w:bCs/>
          <w:sz w:val="32"/>
          <w:szCs w:val="32"/>
          <w:lang w:val="en-US" w:eastAsia="zh-CN"/>
        </w:rPr>
        <w:t>2.5</w:t>
      </w:r>
      <w:r>
        <w:rPr>
          <w:rFonts w:eastAsia="楷体_GB2312"/>
          <w:b/>
          <w:bCs/>
          <w:sz w:val="32"/>
          <w:szCs w:val="32"/>
        </w:rPr>
        <w:t>万元。</w:t>
      </w:r>
      <w:r>
        <w:rPr>
          <w:rFonts w:hint="eastAsia" w:ascii="仿宋_GB2312" w:eastAsia="仿宋_GB2312" w:cs="DengXian-Regular"/>
          <w:sz w:val="32"/>
          <w:szCs w:val="32"/>
        </w:rPr>
        <w:t>本部门2018年度公务用车购置及运行维护费比年初预算</w:t>
      </w:r>
      <w:r>
        <w:rPr>
          <w:rFonts w:eastAsia="仿宋_GB2312"/>
          <w:sz w:val="32"/>
          <w:szCs w:val="32"/>
        </w:rPr>
        <w:t>减少</w:t>
      </w:r>
      <w:r>
        <w:rPr>
          <w:rFonts w:hint="eastAsia" w:eastAsia="仿宋_GB2312"/>
          <w:sz w:val="32"/>
          <w:szCs w:val="32"/>
          <w:lang w:val="en-US" w:eastAsia="zh-CN"/>
        </w:rPr>
        <w:t>1</w:t>
      </w:r>
      <w:r>
        <w:rPr>
          <w:rFonts w:eastAsia="仿宋_GB2312"/>
          <w:sz w:val="32"/>
          <w:szCs w:val="32"/>
        </w:rPr>
        <w:t>万元</w:t>
      </w:r>
      <w:r>
        <w:rPr>
          <w:rFonts w:hint="eastAsia" w:ascii="仿宋_GB2312" w:eastAsia="仿宋_GB2312" w:cs="DengXian-Regular"/>
          <w:sz w:val="32"/>
          <w:szCs w:val="32"/>
        </w:rPr>
        <w:t>，</w:t>
      </w:r>
      <w:r>
        <w:rPr>
          <w:rFonts w:eastAsia="仿宋_GB2312"/>
          <w:sz w:val="32"/>
          <w:szCs w:val="32"/>
        </w:rPr>
        <w:t>降低</w:t>
      </w:r>
      <w:r>
        <w:rPr>
          <w:rFonts w:hint="eastAsia" w:eastAsia="仿宋_GB2312"/>
          <w:sz w:val="32"/>
          <w:szCs w:val="32"/>
          <w:lang w:val="en-US" w:eastAsia="zh-CN"/>
        </w:rPr>
        <w:t>2.8</w:t>
      </w:r>
      <w:r>
        <w:rPr>
          <w:rFonts w:eastAsia="仿宋_GB2312"/>
          <w:sz w:val="32"/>
          <w:szCs w:val="32"/>
        </w:rPr>
        <w:t>%</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减少三公经费支出</w:t>
      </w:r>
      <w:r>
        <w:rPr>
          <w:rFonts w:hint="eastAsia" w:ascii="仿宋_GB2312" w:eastAsia="仿宋_GB2312" w:cs="DengXian-Regular"/>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1</w:t>
      </w:r>
      <w:r>
        <w:rPr>
          <w:rFonts w:eastAsia="仿宋_GB2312"/>
          <w:sz w:val="32"/>
          <w:szCs w:val="32"/>
        </w:rPr>
        <w:t>万元，降低</w:t>
      </w:r>
      <w:r>
        <w:rPr>
          <w:rFonts w:hint="eastAsia" w:eastAsia="仿宋_GB2312"/>
          <w:sz w:val="32"/>
          <w:szCs w:val="32"/>
          <w:lang w:val="en-US" w:eastAsia="zh-CN"/>
        </w:rPr>
        <w:t>28</w:t>
      </w:r>
      <w:r>
        <w:rPr>
          <w:rFonts w:eastAsia="仿宋_GB2312"/>
          <w:sz w:val="32"/>
          <w:szCs w:val="32"/>
        </w:rPr>
        <w:t>%，主要是</w:t>
      </w:r>
      <w:r>
        <w:rPr>
          <w:rFonts w:hint="eastAsia" w:eastAsia="仿宋_GB2312"/>
          <w:sz w:val="32"/>
          <w:szCs w:val="32"/>
          <w:lang w:eastAsia="zh-CN"/>
        </w:rPr>
        <w:t>减少三公经费支出</w:t>
      </w:r>
      <w:r>
        <w:rPr>
          <w:rFonts w:eastAsia="仿宋_GB2312"/>
          <w:sz w:val="32"/>
          <w:szCs w:val="32"/>
        </w:rPr>
        <w:t>。</w:t>
      </w:r>
      <w:r>
        <w:rPr>
          <w:rFonts w:eastAsia="仿宋_GB2312"/>
          <w:b/>
          <w:bCs/>
          <w:sz w:val="32"/>
          <w:szCs w:val="32"/>
        </w:rPr>
        <w:t>其中：</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公务用车购置费支出</w:t>
      </w:r>
      <w:r>
        <w:rPr>
          <w:rFonts w:hint="eastAsia" w:eastAsia="仿宋_GB2312"/>
          <w:b/>
          <w:sz w:val="32"/>
          <w:szCs w:val="32"/>
          <w:lang w:val="en-US" w:eastAsia="zh-CN"/>
        </w:rPr>
        <w:t>0</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年度公务用车购置数量</w:t>
      </w:r>
      <w:r>
        <w:rPr>
          <w:rFonts w:hint="eastAsia" w:eastAsia="仿宋_GB2312"/>
          <w:sz w:val="32"/>
          <w:szCs w:val="32"/>
          <w:lang w:val="en-US" w:eastAsia="zh-CN"/>
        </w:rPr>
        <w:t>0</w:t>
      </w:r>
      <w:r>
        <w:rPr>
          <w:rFonts w:eastAsia="仿宋_GB2312"/>
          <w:sz w:val="32"/>
          <w:szCs w:val="32"/>
        </w:rPr>
        <w:t>辆。公务用车购置费支出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%，主要是</w:t>
      </w:r>
      <w:r>
        <w:rPr>
          <w:rFonts w:hint="eastAsia" w:eastAsia="仿宋_GB2312"/>
          <w:sz w:val="32"/>
          <w:szCs w:val="32"/>
          <w:lang w:eastAsia="zh-CN"/>
        </w:rPr>
        <w:t>未发生</w:t>
      </w:r>
      <w:r>
        <w:rPr>
          <w:rFonts w:eastAsia="仿宋_GB2312"/>
          <w:sz w:val="32"/>
          <w:szCs w:val="32"/>
        </w:rPr>
        <w:t>公务用车购置费支出；</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%，主要是</w:t>
      </w:r>
      <w:r>
        <w:rPr>
          <w:rFonts w:hint="eastAsia" w:eastAsia="仿宋_GB2312"/>
          <w:sz w:val="32"/>
          <w:szCs w:val="32"/>
          <w:lang w:eastAsia="zh-CN"/>
        </w:rPr>
        <w:t>未发生</w:t>
      </w:r>
      <w:r>
        <w:rPr>
          <w:rFonts w:eastAsia="仿宋_GB2312"/>
          <w:sz w:val="32"/>
          <w:szCs w:val="32"/>
        </w:rPr>
        <w:t>公务用车购置费支出。</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公务用车运行维护费支出</w:t>
      </w:r>
      <w:r>
        <w:rPr>
          <w:rFonts w:hint="eastAsia" w:eastAsia="仿宋_GB2312"/>
          <w:b/>
          <w:sz w:val="32"/>
          <w:szCs w:val="32"/>
          <w:lang w:val="en-US" w:eastAsia="zh-CN"/>
        </w:rPr>
        <w:t>3.5</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年末单位公务用车保有量</w:t>
      </w:r>
      <w:r>
        <w:rPr>
          <w:rFonts w:hint="eastAsia" w:eastAsia="仿宋_GB2312"/>
          <w:sz w:val="32"/>
          <w:szCs w:val="32"/>
          <w:lang w:val="en-US" w:eastAsia="zh-CN"/>
        </w:rPr>
        <w:t>1</w:t>
      </w:r>
      <w:r>
        <w:rPr>
          <w:rFonts w:eastAsia="仿宋_GB2312"/>
          <w:sz w:val="32"/>
          <w:szCs w:val="32"/>
        </w:rPr>
        <w:t>辆。公车运行维护费支出</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1</w:t>
      </w:r>
      <w:r>
        <w:rPr>
          <w:rFonts w:eastAsia="仿宋_GB2312"/>
          <w:sz w:val="32"/>
          <w:szCs w:val="32"/>
        </w:rPr>
        <w:t>万元，降低</w:t>
      </w:r>
      <w:r>
        <w:rPr>
          <w:rFonts w:hint="eastAsia" w:eastAsia="仿宋_GB2312"/>
          <w:sz w:val="32"/>
          <w:szCs w:val="32"/>
          <w:lang w:val="en-US" w:eastAsia="zh-CN"/>
        </w:rPr>
        <w:t>28</w:t>
      </w:r>
      <w:r>
        <w:rPr>
          <w:rFonts w:eastAsia="仿宋_GB2312"/>
          <w:sz w:val="32"/>
          <w:szCs w:val="32"/>
        </w:rPr>
        <w:t>%，主要是</w:t>
      </w:r>
      <w:r>
        <w:rPr>
          <w:rFonts w:hint="eastAsia" w:eastAsia="仿宋_GB2312"/>
          <w:sz w:val="32"/>
          <w:szCs w:val="32"/>
          <w:lang w:eastAsia="zh-CN"/>
        </w:rPr>
        <w:t>减少三公经费支出</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1</w:t>
      </w:r>
      <w:r>
        <w:rPr>
          <w:rFonts w:eastAsia="仿宋_GB2312"/>
          <w:sz w:val="32"/>
          <w:szCs w:val="32"/>
        </w:rPr>
        <w:t>万元，降低</w:t>
      </w:r>
      <w:r>
        <w:rPr>
          <w:rFonts w:hint="eastAsia" w:eastAsia="仿宋_GB2312"/>
          <w:sz w:val="32"/>
          <w:szCs w:val="32"/>
          <w:lang w:val="en-US" w:eastAsia="zh-CN"/>
        </w:rPr>
        <w:t>28</w:t>
      </w:r>
      <w:r>
        <w:rPr>
          <w:rFonts w:eastAsia="仿宋_GB2312"/>
          <w:sz w:val="32"/>
          <w:szCs w:val="32"/>
        </w:rPr>
        <w:t>%，主要是</w:t>
      </w:r>
      <w:r>
        <w:rPr>
          <w:rFonts w:hint="eastAsia" w:eastAsia="仿宋_GB2312"/>
          <w:sz w:val="32"/>
          <w:szCs w:val="32"/>
          <w:lang w:eastAsia="zh-CN"/>
        </w:rPr>
        <w:t>减少三公经费支出</w:t>
      </w:r>
      <w:r>
        <w:rPr>
          <w:rFonts w:eastAsia="仿宋_GB2312"/>
          <w:sz w:val="32"/>
          <w:szCs w:val="32"/>
        </w:rPr>
        <w:t>。</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（三）公务接待费支出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年度公务接待共</w:t>
      </w:r>
      <w:r>
        <w:rPr>
          <w:rFonts w:hint="eastAsia" w:eastAsia="仿宋_GB2312"/>
          <w:sz w:val="32"/>
          <w:szCs w:val="32"/>
          <w:lang w:val="en-US" w:eastAsia="zh-CN"/>
        </w:rPr>
        <w:t>0</w:t>
      </w:r>
      <w:r>
        <w:rPr>
          <w:rFonts w:eastAsia="仿宋_GB2312"/>
          <w:sz w:val="32"/>
          <w:szCs w:val="32"/>
        </w:rPr>
        <w:t>批次、</w:t>
      </w:r>
      <w:r>
        <w:rPr>
          <w:rFonts w:hint="eastAsia" w:eastAsia="仿宋_GB2312"/>
          <w:sz w:val="32"/>
          <w:szCs w:val="32"/>
          <w:lang w:val="en-US" w:eastAsia="zh-CN"/>
        </w:rPr>
        <w:t>0</w:t>
      </w:r>
      <w:r>
        <w:rPr>
          <w:rFonts w:eastAsia="仿宋_GB2312"/>
          <w:sz w:val="32"/>
          <w:szCs w:val="32"/>
        </w:rPr>
        <w:t>人次。公务接待费支出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%，主要是</w:t>
      </w:r>
      <w:r>
        <w:rPr>
          <w:rFonts w:hint="eastAsia" w:eastAsia="仿宋_GB2312"/>
          <w:sz w:val="32"/>
          <w:szCs w:val="32"/>
          <w:lang w:eastAsia="zh-CN"/>
        </w:rPr>
        <w:t>未发生公务接待费支出</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%，主要是</w:t>
      </w:r>
      <w:r>
        <w:rPr>
          <w:rFonts w:hint="eastAsia" w:eastAsia="仿宋_GB2312"/>
          <w:sz w:val="32"/>
          <w:szCs w:val="32"/>
          <w:lang w:eastAsia="zh-CN"/>
        </w:rPr>
        <w:t>未发生公务接待费支出</w:t>
      </w:r>
      <w:r>
        <w:rPr>
          <w:rFonts w:eastAsia="仿宋_GB2312"/>
          <w:sz w:val="32"/>
          <w:szCs w:val="32"/>
        </w:rPr>
        <w:t>。</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numPr>
          <w:ilvl w:val="0"/>
          <w:numId w:val="2"/>
        </w:numPr>
        <w:adjustRightInd w:val="0"/>
        <w:snapToGrid w:val="0"/>
        <w:spacing w:after="0" w:line="580" w:lineRule="exact"/>
        <w:ind w:left="0"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预算绩效管理工作开展情况。</w:t>
      </w:r>
    </w:p>
    <w:p>
      <w:pPr>
        <w:spacing w:line="500" w:lineRule="exact"/>
        <w:ind w:firstLine="560"/>
        <w:rPr>
          <w:rFonts w:ascii="仿宋" w:eastAsia="仿宋"/>
          <w:sz w:val="32"/>
          <w:szCs w:val="32"/>
        </w:rPr>
      </w:pPr>
      <w:r>
        <w:rPr>
          <w:rFonts w:ascii="仿宋" w:eastAsia="仿宋"/>
          <w:sz w:val="32"/>
          <w:szCs w:val="32"/>
        </w:rPr>
        <w:t>1</w:t>
      </w:r>
      <w:r>
        <w:rPr>
          <w:rFonts w:hint="eastAsia" w:ascii="仿宋" w:eastAsia="仿宋" w:cs="宋体"/>
          <w:sz w:val="32"/>
          <w:szCs w:val="32"/>
        </w:rPr>
        <w:t>、做好会员发展工作，扩大会员队伍。把热爱工商联工作，有代表性，有影响力，积极参与公益事业的企业纳入工商联队伍。</w:t>
      </w:r>
    </w:p>
    <w:p>
      <w:pPr>
        <w:spacing w:line="500" w:lineRule="exact"/>
        <w:ind w:firstLine="560"/>
        <w:rPr>
          <w:rFonts w:ascii="仿宋" w:eastAsia="仿宋"/>
          <w:sz w:val="32"/>
          <w:szCs w:val="32"/>
        </w:rPr>
      </w:pPr>
      <w:r>
        <w:rPr>
          <w:rFonts w:ascii="仿宋" w:eastAsia="仿宋"/>
          <w:sz w:val="32"/>
          <w:szCs w:val="32"/>
        </w:rPr>
        <w:t>2</w:t>
      </w:r>
      <w:r>
        <w:rPr>
          <w:rFonts w:hint="eastAsia" w:ascii="仿宋" w:eastAsia="仿宋" w:cs="宋体"/>
          <w:sz w:val="32"/>
          <w:szCs w:val="32"/>
        </w:rPr>
        <w:t>、积极培育、组建行业协会。加快推动民营经济担保商会以及其他行业协会建设步伐，完善各行业协会制度，逐步形成自我约束、团结合作、共同发展的良好格局。</w:t>
      </w:r>
    </w:p>
    <w:p>
      <w:pPr>
        <w:spacing w:line="500" w:lineRule="exact"/>
        <w:ind w:firstLine="560"/>
        <w:rPr>
          <w:rFonts w:ascii="仿宋" w:eastAsia="仿宋"/>
          <w:sz w:val="32"/>
          <w:szCs w:val="32"/>
        </w:rPr>
      </w:pPr>
      <w:r>
        <w:rPr>
          <w:rFonts w:ascii="仿宋" w:eastAsia="仿宋"/>
          <w:sz w:val="32"/>
          <w:szCs w:val="32"/>
        </w:rPr>
        <w:t>3</w:t>
      </w:r>
      <w:r>
        <w:rPr>
          <w:rFonts w:hint="eastAsia" w:ascii="仿宋" w:eastAsia="仿宋" w:cs="宋体"/>
          <w:sz w:val="32"/>
          <w:szCs w:val="32"/>
        </w:rPr>
        <w:t>、大城县民营经济信用担保商会，继续做好新会员的发展工作，充分发挥商会职能作用，着力解决会员企业融资难的问题。</w:t>
      </w:r>
    </w:p>
    <w:p>
      <w:pPr>
        <w:adjustRightInd w:val="0"/>
        <w:snapToGrid w:val="0"/>
        <w:spacing w:after="0" w:line="580" w:lineRule="exact"/>
        <w:rPr>
          <w:rFonts w:ascii="仿宋_GB2312" w:eastAsia="仿宋_GB2312" w:cs="DengXian-Regular"/>
          <w:sz w:val="32"/>
          <w:szCs w:val="32"/>
        </w:rPr>
      </w:pPr>
      <w:r>
        <w:rPr>
          <w:rFonts w:hint="eastAsia" w:ascii="仿宋_GB2312" w:eastAsia="仿宋_GB2312" w:cs="DengXian-Regular"/>
          <w:sz w:val="32"/>
          <w:szCs w:val="32"/>
        </w:rPr>
        <w:t>（二）项目绩效自评结果。</w:t>
      </w:r>
    </w:p>
    <w:p>
      <w:pPr>
        <w:spacing w:line="500" w:lineRule="exact"/>
        <w:ind w:firstLine="560"/>
        <w:rPr>
          <w:rFonts w:ascii="仿宋" w:eastAsia="仿宋"/>
          <w:sz w:val="32"/>
          <w:szCs w:val="32"/>
        </w:rPr>
      </w:pPr>
      <w:r>
        <w:rPr>
          <w:rFonts w:ascii="仿宋" w:eastAsia="仿宋"/>
          <w:sz w:val="32"/>
          <w:szCs w:val="32"/>
        </w:rPr>
        <w:t>1</w:t>
      </w:r>
      <w:r>
        <w:rPr>
          <w:rFonts w:hint="eastAsia" w:ascii="仿宋" w:eastAsia="仿宋" w:cs="宋体"/>
          <w:sz w:val="32"/>
          <w:szCs w:val="32"/>
        </w:rPr>
        <w:t>、</w:t>
      </w:r>
      <w:r>
        <w:rPr>
          <w:rFonts w:hint="eastAsia" w:ascii="仿宋" w:eastAsia="仿宋" w:cs="宋体"/>
          <w:sz w:val="32"/>
          <w:szCs w:val="32"/>
          <w:lang w:eastAsia="zh-CN"/>
        </w:rPr>
        <w:t>完成</w:t>
      </w:r>
      <w:r>
        <w:rPr>
          <w:rFonts w:hint="eastAsia" w:ascii="仿宋" w:eastAsia="仿宋" w:cs="宋体"/>
          <w:sz w:val="32"/>
          <w:szCs w:val="32"/>
        </w:rPr>
        <w:t>会员发展工作，扩大会员队伍。把热爱工商联工作，有代表性，有影响力，积极参与公益事业的企业纳入工商联队伍。</w:t>
      </w:r>
    </w:p>
    <w:p>
      <w:pPr>
        <w:spacing w:line="500" w:lineRule="exact"/>
        <w:ind w:firstLine="560"/>
        <w:rPr>
          <w:rFonts w:ascii="仿宋" w:eastAsia="仿宋"/>
          <w:sz w:val="32"/>
          <w:szCs w:val="32"/>
        </w:rPr>
      </w:pPr>
      <w:r>
        <w:rPr>
          <w:rFonts w:ascii="仿宋" w:eastAsia="仿宋"/>
          <w:sz w:val="32"/>
          <w:szCs w:val="32"/>
        </w:rPr>
        <w:t>2</w:t>
      </w:r>
      <w:r>
        <w:rPr>
          <w:rFonts w:hint="eastAsia" w:ascii="仿宋" w:eastAsia="仿宋" w:cs="宋体"/>
          <w:sz w:val="32"/>
          <w:szCs w:val="32"/>
        </w:rPr>
        <w:t>、</w:t>
      </w:r>
      <w:r>
        <w:rPr>
          <w:rFonts w:hint="eastAsia" w:ascii="仿宋" w:eastAsia="仿宋" w:cs="宋体"/>
          <w:sz w:val="32"/>
          <w:szCs w:val="32"/>
          <w:lang w:val="en-US" w:eastAsia="zh-CN"/>
        </w:rPr>
        <w:t>2018年度本单位完成</w:t>
      </w:r>
      <w:r>
        <w:rPr>
          <w:rFonts w:hint="eastAsia" w:ascii="仿宋" w:eastAsia="仿宋" w:cs="宋体"/>
          <w:sz w:val="32"/>
          <w:szCs w:val="32"/>
        </w:rPr>
        <w:t>积极培育、组建行业协会。加快推动民营经济担保商会以及其他行业协会建设步伐，完善各行业协会制度，逐步形成自我约束、团结合作、共同发展的良好格局</w:t>
      </w:r>
      <w:r>
        <w:rPr>
          <w:rFonts w:hint="eastAsia" w:ascii="仿宋" w:eastAsia="仿宋" w:cs="宋体"/>
          <w:sz w:val="32"/>
          <w:szCs w:val="32"/>
          <w:lang w:eastAsia="zh-CN"/>
        </w:rPr>
        <w:t>的任务</w:t>
      </w:r>
      <w:r>
        <w:rPr>
          <w:rFonts w:hint="eastAsia" w:ascii="仿宋" w:eastAsia="仿宋" w:cs="宋体"/>
          <w:sz w:val="32"/>
          <w:szCs w:val="32"/>
          <w:lang w:val="en-US" w:eastAsia="zh-CN"/>
        </w:rPr>
        <w:tab/>
      </w:r>
      <w:r>
        <w:rPr>
          <w:rFonts w:hint="eastAsia" w:ascii="仿宋" w:eastAsia="仿宋" w:cs="宋体"/>
          <w:sz w:val="32"/>
          <w:szCs w:val="32"/>
        </w:rPr>
        <w:t>。</w:t>
      </w:r>
    </w:p>
    <w:p>
      <w:pPr>
        <w:spacing w:line="500" w:lineRule="exact"/>
        <w:ind w:firstLine="560"/>
        <w:rPr>
          <w:rFonts w:hint="eastAsia" w:ascii="仿宋" w:eastAsia="仿宋"/>
          <w:sz w:val="32"/>
          <w:szCs w:val="32"/>
          <w:lang w:eastAsia="zh-CN"/>
        </w:rPr>
      </w:pPr>
      <w:r>
        <w:rPr>
          <w:rFonts w:ascii="仿宋" w:eastAsia="仿宋"/>
          <w:sz w:val="32"/>
          <w:szCs w:val="32"/>
        </w:rPr>
        <w:t>3</w:t>
      </w:r>
      <w:r>
        <w:rPr>
          <w:rFonts w:hint="eastAsia" w:ascii="仿宋" w:eastAsia="仿宋" w:cs="宋体"/>
          <w:sz w:val="32"/>
          <w:szCs w:val="32"/>
        </w:rPr>
        <w:t>、大城县民营经济信用担保商会，</w:t>
      </w:r>
      <w:r>
        <w:rPr>
          <w:rFonts w:hint="eastAsia" w:ascii="仿宋" w:eastAsia="仿宋" w:cs="宋体"/>
          <w:sz w:val="32"/>
          <w:szCs w:val="32"/>
          <w:lang w:eastAsia="zh-CN"/>
        </w:rPr>
        <w:t>完成</w:t>
      </w:r>
      <w:r>
        <w:rPr>
          <w:rFonts w:hint="eastAsia" w:ascii="仿宋" w:eastAsia="仿宋" w:cs="宋体"/>
          <w:sz w:val="32"/>
          <w:szCs w:val="32"/>
        </w:rPr>
        <w:t>做好新会员的发展工作，充分发挥商会职能作用，着力解决会员企业融资难的问题。</w:t>
      </w:r>
      <w:r>
        <w:rPr>
          <w:rFonts w:hint="eastAsia" w:ascii="仿宋" w:eastAsia="仿宋" w:cs="宋体"/>
          <w:sz w:val="32"/>
          <w:szCs w:val="32"/>
          <w:lang w:eastAsia="zh-CN"/>
        </w:rPr>
        <w:t>自评结果为优。</w:t>
      </w:r>
    </w:p>
    <w:p>
      <w:pPr>
        <w:adjustRightInd w:val="0"/>
        <w:snapToGrid w:val="0"/>
        <w:spacing w:after="0" w:line="580" w:lineRule="exact"/>
        <w:rPr>
          <w:rFonts w:ascii="仿宋_GB2312" w:eastAsia="仿宋_GB2312" w:cs="DengXian-Regular"/>
          <w:sz w:val="32"/>
          <w:szCs w:val="32"/>
          <w:lang w:val="en-US" w:eastAsia="zh-CN"/>
        </w:rPr>
      </w:pPr>
    </w:p>
    <w:p>
      <w:pPr>
        <w:adjustRightInd w:val="0"/>
        <w:snapToGrid w:val="0"/>
        <w:spacing w:after="0" w:line="580" w:lineRule="exact"/>
        <w:rPr>
          <w:rFonts w:ascii="仿宋_GB2312" w:eastAsia="仿宋_GB2312" w:cs="DengXian-Regular"/>
          <w:sz w:val="32"/>
          <w:szCs w:val="32"/>
          <w:lang w:val="en-US" w:eastAsia="zh-CN"/>
        </w:rPr>
      </w:pPr>
    </w:p>
    <w:p>
      <w:pPr>
        <w:adjustRightInd w:val="0"/>
        <w:snapToGrid w:val="0"/>
        <w:spacing w:after="0" w:line="580" w:lineRule="exact"/>
        <w:rPr>
          <w:rFonts w:ascii="仿宋_GB2312" w:eastAsia="仿宋_GB2312" w:cs="DengXian-Regular"/>
          <w:sz w:val="32"/>
          <w:szCs w:val="32"/>
          <w:lang w:val="en-US" w:eastAsia="zh-CN"/>
        </w:rPr>
      </w:pPr>
    </w:p>
    <w:p>
      <w:pPr>
        <w:adjustRightInd w:val="0"/>
        <w:snapToGrid w:val="0"/>
        <w:spacing w:after="0" w:line="580" w:lineRule="exact"/>
        <w:rPr>
          <w:rFonts w:ascii="仿宋_GB2312" w:eastAsia="仿宋_GB2312" w:cs="DengXian-Regular"/>
          <w:sz w:val="32"/>
          <w:szCs w:val="32"/>
          <w:lang w:val="en-US" w:eastAsia="zh-CN"/>
        </w:rPr>
      </w:pPr>
    </w:p>
    <w:p>
      <w:pPr>
        <w:adjustRightInd w:val="0"/>
        <w:snapToGrid w:val="0"/>
        <w:spacing w:after="0" w:line="580" w:lineRule="exact"/>
        <w:rPr>
          <w:rFonts w:ascii="仿宋_GB2312" w:eastAsia="仿宋_GB2312" w:cs="DengXian-Regular"/>
          <w:sz w:val="32"/>
          <w:szCs w:val="32"/>
          <w:lang w:val="en-US" w:eastAsia="zh-CN"/>
        </w:rPr>
      </w:pPr>
    </w:p>
    <w:p>
      <w:pPr>
        <w:adjustRightInd w:val="0"/>
        <w:snapToGrid w:val="0"/>
        <w:spacing w:after="0" w:line="580" w:lineRule="exact"/>
        <w:rPr>
          <w:rFonts w:ascii="仿宋_GB2312" w:eastAsia="仿宋_GB2312" w:cs="DengXian-Regular"/>
          <w:sz w:val="32"/>
          <w:szCs w:val="32"/>
          <w:lang w:val="en-US" w:eastAsia="zh-CN"/>
        </w:rPr>
      </w:pPr>
    </w:p>
    <w:p>
      <w:pPr>
        <w:adjustRightInd w:val="0"/>
        <w:snapToGrid w:val="0"/>
        <w:spacing w:after="0" w:line="580" w:lineRule="exact"/>
        <w:rPr>
          <w:rFonts w:ascii="仿宋_GB2312" w:eastAsia="仿宋_GB2312" w:cs="DengXian-Regular"/>
          <w:sz w:val="32"/>
          <w:szCs w:val="32"/>
          <w:lang w:val="en-US" w:eastAsia="zh-CN"/>
        </w:rPr>
      </w:pPr>
    </w:p>
    <w:p>
      <w:pPr>
        <w:adjustRightInd w:val="0"/>
        <w:snapToGrid w:val="0"/>
        <w:spacing w:after="0" w:line="580" w:lineRule="exact"/>
        <w:rPr>
          <w:rFonts w:ascii="仿宋_GB2312" w:eastAsia="仿宋_GB2312" w:cs="DengXian-Regular"/>
          <w:sz w:val="32"/>
          <w:szCs w:val="32"/>
          <w:lang w:val="en-US" w:eastAsia="zh-CN"/>
        </w:rPr>
      </w:pPr>
    </w:p>
    <w:p>
      <w:pPr>
        <w:adjustRightInd w:val="0"/>
        <w:snapToGrid w:val="0"/>
        <w:spacing w:after="0" w:line="580" w:lineRule="exact"/>
        <w:rPr>
          <w:rFonts w:ascii="仿宋_GB2312" w:eastAsia="仿宋_GB2312" w:cs="DengXian-Regular"/>
          <w:sz w:val="32"/>
          <w:szCs w:val="32"/>
          <w:lang w:val="en-US" w:eastAsia="zh-CN"/>
        </w:rPr>
      </w:pPr>
    </w:p>
    <w:p>
      <w:pPr>
        <w:adjustRightInd w:val="0"/>
        <w:snapToGrid w:val="0"/>
        <w:spacing w:after="0" w:line="580" w:lineRule="exact"/>
        <w:rPr>
          <w:rFonts w:ascii="仿宋_GB2312" w:eastAsia="仿宋_GB2312" w:cs="DengXian-Regular"/>
          <w:sz w:val="32"/>
          <w:szCs w:val="32"/>
          <w:lang w:val="en-US" w:eastAsia="zh-CN"/>
        </w:rPr>
      </w:pPr>
    </w:p>
    <w:p>
      <w:pPr>
        <w:adjustRightInd w:val="0"/>
        <w:snapToGrid w:val="0"/>
        <w:spacing w:after="0" w:line="580" w:lineRule="exact"/>
        <w:rPr>
          <w:rFonts w:hint="eastAsia" w:ascii="仿宋_GB2312" w:eastAsia="仿宋_GB2312" w:cs="DengXian-Regular"/>
          <w:sz w:val="32"/>
          <w:szCs w:val="32"/>
          <w:lang w:val="en-US" w:eastAsia="zh-CN"/>
        </w:rPr>
      </w:pPr>
    </w:p>
    <w:p>
      <w:pPr>
        <w:numPr>
          <w:ilvl w:val="0"/>
          <w:numId w:val="3"/>
        </w:numPr>
        <w:adjustRightInd w:val="0"/>
        <w:snapToGrid w:val="0"/>
        <w:spacing w:after="0" w:line="580" w:lineRule="exact"/>
        <w:ind w:left="0"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重点项目绩效评价结果。</w:t>
      </w:r>
    </w:p>
    <w:tbl>
      <w:tblPr>
        <w:tblStyle w:val="12"/>
        <w:tblW w:w="904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2"/>
        <w:gridCol w:w="628"/>
        <w:gridCol w:w="1785"/>
        <w:gridCol w:w="1890"/>
        <w:gridCol w:w="1274"/>
        <w:gridCol w:w="735"/>
        <w:gridCol w:w="630"/>
        <w:gridCol w:w="630"/>
        <w:gridCol w:w="6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6418" w:type="dxa"/>
            <w:gridSpan w:val="5"/>
            <w:tcBorders>
              <w:top w:val="single" w:color="FFFFFF" w:sz="6" w:space="0"/>
              <w:left w:val="single" w:color="FFFFFF" w:sz="6" w:space="0"/>
              <w:right w:val="single" w:color="FFFFFF" w:sz="6" w:space="0"/>
            </w:tcBorders>
            <w:vAlign w:val="center"/>
          </w:tcPr>
          <w:p>
            <w:pPr>
              <w:spacing w:line="300" w:lineRule="exact"/>
              <w:jc w:val="left"/>
              <w:rPr>
                <w:rFonts w:ascii="仿宋" w:eastAsia="仿宋"/>
                <w:sz w:val="18"/>
                <w:szCs w:val="18"/>
              </w:rPr>
            </w:pPr>
            <w:r>
              <w:rPr>
                <w:rFonts w:ascii="仿宋" w:eastAsia="仿宋"/>
                <w:sz w:val="18"/>
                <w:szCs w:val="18"/>
              </w:rPr>
              <w:t>714</w:t>
            </w:r>
            <w:r>
              <w:rPr>
                <w:rFonts w:hint="eastAsia" w:ascii="仿宋" w:eastAsia="仿宋"/>
                <w:sz w:val="18"/>
                <w:szCs w:val="18"/>
              </w:rPr>
              <w:t>大城县工商业联合会</w:t>
            </w:r>
          </w:p>
        </w:tc>
        <w:tc>
          <w:tcPr>
            <w:tcW w:w="2624" w:type="dxa"/>
            <w:gridSpan w:val="4"/>
            <w:tcBorders>
              <w:top w:val="single" w:color="FFFFFF" w:sz="6" w:space="0"/>
              <w:left w:val="single" w:color="FFFFFF" w:sz="6" w:space="0"/>
              <w:right w:val="single" w:color="FFFFFF" w:sz="6" w:space="0"/>
            </w:tcBorders>
            <w:vAlign w:val="center"/>
          </w:tcPr>
          <w:p>
            <w:pPr>
              <w:spacing w:line="300" w:lineRule="exact"/>
              <w:jc w:val="right"/>
              <w:rPr>
                <w:rFonts w:ascii="仿宋" w:eastAsia="仿宋"/>
                <w:sz w:val="18"/>
                <w:szCs w:val="18"/>
              </w:rPr>
            </w:pPr>
            <w:r>
              <w:rPr>
                <w:rFonts w:hint="eastAsia" w:ascii="仿宋" w:eastAsia="仿宋"/>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842" w:type="dxa"/>
            <w:vMerge w:val="restart"/>
            <w:vAlign w:val="center"/>
          </w:tcPr>
          <w:p>
            <w:pPr>
              <w:spacing w:line="300" w:lineRule="exact"/>
              <w:jc w:val="center"/>
              <w:rPr>
                <w:rFonts w:ascii="仿宋" w:eastAsia="仿宋"/>
                <w:b/>
                <w:sz w:val="18"/>
                <w:szCs w:val="18"/>
              </w:rPr>
            </w:pPr>
            <w:r>
              <w:rPr>
                <w:rFonts w:hint="eastAsia" w:ascii="仿宋" w:eastAsia="仿宋"/>
                <w:b/>
                <w:sz w:val="18"/>
                <w:szCs w:val="18"/>
              </w:rPr>
              <w:t>职责活动</w:t>
            </w:r>
          </w:p>
        </w:tc>
        <w:tc>
          <w:tcPr>
            <w:tcW w:w="628" w:type="dxa"/>
            <w:vMerge w:val="restart"/>
            <w:vAlign w:val="center"/>
          </w:tcPr>
          <w:p>
            <w:pPr>
              <w:spacing w:line="300" w:lineRule="exact"/>
              <w:jc w:val="center"/>
              <w:rPr>
                <w:rFonts w:ascii="仿宋" w:eastAsia="仿宋"/>
                <w:b/>
                <w:sz w:val="18"/>
                <w:szCs w:val="18"/>
              </w:rPr>
            </w:pPr>
            <w:r>
              <w:rPr>
                <w:rFonts w:hint="eastAsia" w:ascii="仿宋" w:eastAsia="仿宋"/>
                <w:b/>
                <w:sz w:val="18"/>
                <w:szCs w:val="18"/>
              </w:rPr>
              <w:t>年度预算数</w:t>
            </w:r>
          </w:p>
        </w:tc>
        <w:tc>
          <w:tcPr>
            <w:tcW w:w="1785" w:type="dxa"/>
            <w:vMerge w:val="restart"/>
            <w:vAlign w:val="center"/>
          </w:tcPr>
          <w:p>
            <w:pPr>
              <w:spacing w:line="300" w:lineRule="exact"/>
              <w:jc w:val="center"/>
              <w:rPr>
                <w:rFonts w:ascii="仿宋" w:eastAsia="仿宋"/>
                <w:b/>
                <w:sz w:val="18"/>
                <w:szCs w:val="18"/>
              </w:rPr>
            </w:pPr>
            <w:r>
              <w:rPr>
                <w:rFonts w:hint="eastAsia" w:ascii="仿宋" w:eastAsia="仿宋"/>
                <w:b/>
                <w:sz w:val="18"/>
                <w:szCs w:val="18"/>
              </w:rPr>
              <w:t>内容描述</w:t>
            </w:r>
          </w:p>
        </w:tc>
        <w:tc>
          <w:tcPr>
            <w:tcW w:w="1890" w:type="dxa"/>
            <w:vMerge w:val="restart"/>
            <w:vAlign w:val="center"/>
          </w:tcPr>
          <w:p>
            <w:pPr>
              <w:spacing w:line="300" w:lineRule="exact"/>
              <w:jc w:val="center"/>
              <w:rPr>
                <w:rFonts w:ascii="仿宋" w:eastAsia="仿宋"/>
                <w:b/>
                <w:sz w:val="18"/>
                <w:szCs w:val="18"/>
              </w:rPr>
            </w:pPr>
            <w:r>
              <w:rPr>
                <w:rFonts w:hint="eastAsia" w:ascii="仿宋" w:eastAsia="仿宋"/>
                <w:b/>
                <w:sz w:val="18"/>
                <w:szCs w:val="18"/>
              </w:rPr>
              <w:t>绩效目标</w:t>
            </w:r>
          </w:p>
        </w:tc>
        <w:tc>
          <w:tcPr>
            <w:tcW w:w="1274" w:type="dxa"/>
            <w:vMerge w:val="restart"/>
            <w:vAlign w:val="center"/>
          </w:tcPr>
          <w:p>
            <w:pPr>
              <w:spacing w:line="300" w:lineRule="exact"/>
              <w:jc w:val="center"/>
              <w:rPr>
                <w:rFonts w:ascii="仿宋" w:eastAsia="仿宋"/>
                <w:b/>
                <w:sz w:val="18"/>
                <w:szCs w:val="18"/>
              </w:rPr>
            </w:pPr>
            <w:r>
              <w:rPr>
                <w:rFonts w:hint="eastAsia" w:ascii="仿宋" w:eastAsia="仿宋"/>
                <w:b/>
                <w:sz w:val="18"/>
                <w:szCs w:val="18"/>
              </w:rPr>
              <w:t>绩效指标</w:t>
            </w:r>
          </w:p>
        </w:tc>
        <w:tc>
          <w:tcPr>
            <w:tcW w:w="2624" w:type="dxa"/>
            <w:gridSpan w:val="4"/>
            <w:vAlign w:val="center"/>
          </w:tcPr>
          <w:p>
            <w:pPr>
              <w:spacing w:line="300" w:lineRule="exact"/>
              <w:jc w:val="center"/>
              <w:rPr>
                <w:rFonts w:ascii="仿宋" w:eastAsia="仿宋"/>
                <w:b/>
                <w:sz w:val="18"/>
                <w:szCs w:val="18"/>
              </w:rPr>
            </w:pPr>
            <w:r>
              <w:rPr>
                <w:rFonts w:hint="eastAsia" w:ascii="仿宋" w:eastAsia="仿宋"/>
                <w:b/>
                <w:sz w:val="18"/>
                <w:szCs w:val="18"/>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vAlign w:val="center"/>
          </w:tcPr>
          <w:p/>
        </w:tc>
        <w:tc>
          <w:tcPr>
            <w:tcW w:w="1276" w:type="dxa"/>
            <w:vMerge w:val="continue"/>
            <w:vAlign w:val="center"/>
          </w:tcPr>
          <w:p/>
        </w:tc>
        <w:tc>
          <w:tcPr>
            <w:tcW w:w="2976" w:type="dxa"/>
            <w:vMerge w:val="continue"/>
            <w:vAlign w:val="center"/>
          </w:tcPr>
          <w:p/>
        </w:tc>
        <w:tc>
          <w:tcPr>
            <w:tcW w:w="2976" w:type="dxa"/>
            <w:vMerge w:val="continue"/>
            <w:vAlign w:val="center"/>
          </w:tcPr>
          <w:p/>
        </w:tc>
        <w:tc>
          <w:tcPr>
            <w:tcW w:w="1417" w:type="dxa"/>
            <w:vMerge w:val="continue"/>
            <w:vAlign w:val="center"/>
          </w:tcPr>
          <w:p/>
        </w:tc>
        <w:tc>
          <w:tcPr>
            <w:tcW w:w="735" w:type="dxa"/>
            <w:vAlign w:val="center"/>
          </w:tcPr>
          <w:p>
            <w:pPr>
              <w:spacing w:line="300" w:lineRule="exact"/>
              <w:jc w:val="center"/>
              <w:rPr>
                <w:rFonts w:ascii="仿宋" w:eastAsia="仿宋"/>
                <w:b/>
                <w:sz w:val="18"/>
                <w:szCs w:val="18"/>
              </w:rPr>
            </w:pPr>
            <w:r>
              <w:rPr>
                <w:rFonts w:hint="eastAsia" w:ascii="仿宋" w:eastAsia="仿宋"/>
                <w:b/>
                <w:sz w:val="18"/>
                <w:szCs w:val="18"/>
              </w:rPr>
              <w:t>优</w:t>
            </w:r>
          </w:p>
        </w:tc>
        <w:tc>
          <w:tcPr>
            <w:tcW w:w="630" w:type="dxa"/>
            <w:vAlign w:val="center"/>
          </w:tcPr>
          <w:p>
            <w:pPr>
              <w:spacing w:line="300" w:lineRule="exact"/>
              <w:jc w:val="center"/>
              <w:rPr>
                <w:rFonts w:ascii="仿宋" w:eastAsia="仿宋"/>
                <w:b/>
                <w:sz w:val="18"/>
                <w:szCs w:val="18"/>
              </w:rPr>
            </w:pPr>
            <w:r>
              <w:rPr>
                <w:rFonts w:hint="eastAsia" w:ascii="仿宋" w:eastAsia="仿宋"/>
                <w:b/>
                <w:sz w:val="18"/>
                <w:szCs w:val="18"/>
              </w:rPr>
              <w:t>良</w:t>
            </w:r>
          </w:p>
        </w:tc>
        <w:tc>
          <w:tcPr>
            <w:tcW w:w="630" w:type="dxa"/>
            <w:vAlign w:val="center"/>
          </w:tcPr>
          <w:p>
            <w:pPr>
              <w:spacing w:line="300" w:lineRule="exact"/>
              <w:jc w:val="center"/>
              <w:rPr>
                <w:rFonts w:ascii="仿宋" w:eastAsia="仿宋"/>
                <w:b/>
                <w:sz w:val="18"/>
                <w:szCs w:val="18"/>
              </w:rPr>
            </w:pPr>
            <w:r>
              <w:rPr>
                <w:rFonts w:hint="eastAsia" w:ascii="仿宋" w:eastAsia="仿宋"/>
                <w:b/>
                <w:sz w:val="18"/>
                <w:szCs w:val="18"/>
              </w:rPr>
              <w:t>中</w:t>
            </w:r>
          </w:p>
        </w:tc>
        <w:tc>
          <w:tcPr>
            <w:tcW w:w="630" w:type="dxa"/>
            <w:vAlign w:val="center"/>
          </w:tcPr>
          <w:p>
            <w:pPr>
              <w:spacing w:line="300" w:lineRule="exact"/>
              <w:jc w:val="center"/>
              <w:rPr>
                <w:rFonts w:ascii="仿宋" w:eastAsia="仿宋"/>
                <w:b/>
                <w:sz w:val="18"/>
                <w:szCs w:val="18"/>
              </w:rPr>
            </w:pPr>
            <w:r>
              <w:rPr>
                <w:rFonts w:hint="eastAsia" w:ascii="仿宋" w:eastAsia="仿宋"/>
                <w:b/>
                <w:sz w:val="18"/>
                <w:szCs w:val="18"/>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42" w:type="dxa"/>
            <w:vAlign w:val="center"/>
          </w:tcPr>
          <w:p>
            <w:pPr>
              <w:spacing w:line="300" w:lineRule="exact"/>
              <w:jc w:val="left"/>
              <w:rPr>
                <w:rFonts w:ascii="仿宋" w:eastAsia="仿宋"/>
                <w:b/>
              </w:rPr>
            </w:pPr>
            <w:r>
              <w:rPr>
                <w:rFonts w:hint="eastAsia" w:ascii="仿宋" w:eastAsia="仿宋"/>
                <w:b/>
              </w:rPr>
              <w:t>一、参政议政</w:t>
            </w:r>
          </w:p>
        </w:tc>
        <w:tc>
          <w:tcPr>
            <w:tcW w:w="628" w:type="dxa"/>
            <w:vAlign w:val="center"/>
          </w:tcPr>
          <w:p>
            <w:pPr>
              <w:spacing w:line="300" w:lineRule="exact"/>
              <w:jc w:val="left"/>
              <w:rPr>
                <w:rFonts w:ascii="仿宋" w:eastAsia="仿宋"/>
              </w:rPr>
            </w:pPr>
          </w:p>
        </w:tc>
        <w:tc>
          <w:tcPr>
            <w:tcW w:w="1785" w:type="dxa"/>
            <w:vAlign w:val="center"/>
          </w:tcPr>
          <w:p>
            <w:pPr>
              <w:spacing w:line="300" w:lineRule="exact"/>
              <w:jc w:val="left"/>
              <w:rPr>
                <w:rFonts w:ascii="仿宋" w:eastAsia="仿宋"/>
              </w:rPr>
            </w:pPr>
            <w:r>
              <w:rPr>
                <w:rFonts w:hint="eastAsia" w:ascii="仿宋" w:eastAsia="仿宋"/>
              </w:rPr>
              <w:t>参政议政、社会服务等事项</w:t>
            </w:r>
          </w:p>
        </w:tc>
        <w:tc>
          <w:tcPr>
            <w:tcW w:w="1890" w:type="dxa"/>
            <w:vAlign w:val="center"/>
          </w:tcPr>
          <w:p>
            <w:pPr>
              <w:spacing w:line="300" w:lineRule="exact"/>
              <w:jc w:val="left"/>
              <w:rPr>
                <w:rFonts w:ascii="仿宋" w:eastAsia="仿宋"/>
              </w:rPr>
            </w:pPr>
            <w:r>
              <w:rPr>
                <w:rFonts w:hint="eastAsia" w:ascii="仿宋" w:eastAsia="仿宋"/>
              </w:rPr>
              <w:t>增强组织凝聚力和社会影响力，提升参政议政水平。组织经贸洽谈、招商引资等经济活动，助力县域经济发展。</w:t>
            </w:r>
          </w:p>
        </w:tc>
        <w:tc>
          <w:tcPr>
            <w:tcW w:w="1274" w:type="dxa"/>
            <w:vAlign w:val="center"/>
          </w:tcPr>
          <w:p>
            <w:pPr>
              <w:spacing w:line="300" w:lineRule="exact"/>
              <w:jc w:val="left"/>
              <w:rPr>
                <w:rFonts w:ascii="仿宋" w:eastAsia="仿宋"/>
              </w:rPr>
            </w:pPr>
          </w:p>
        </w:tc>
        <w:tc>
          <w:tcPr>
            <w:tcW w:w="735" w:type="dxa"/>
            <w:vAlign w:val="center"/>
          </w:tcPr>
          <w:p>
            <w:pPr>
              <w:spacing w:line="300" w:lineRule="exact"/>
              <w:jc w:val="center"/>
              <w:rPr>
                <w:rFonts w:hint="eastAsia" w:ascii="仿宋" w:eastAsia="仿宋"/>
                <w:lang w:val="en-US" w:eastAsia="zh-CN"/>
              </w:rPr>
            </w:pPr>
            <w:r>
              <w:rPr>
                <w:rFonts w:hint="eastAsia" w:ascii="仿宋" w:eastAsia="仿宋"/>
                <w:lang w:val="en-US" w:eastAsia="zh-CN"/>
              </w:rPr>
              <w:t>优</w:t>
            </w:r>
          </w:p>
        </w:tc>
        <w:tc>
          <w:tcPr>
            <w:tcW w:w="630" w:type="dxa"/>
            <w:vAlign w:val="center"/>
          </w:tcPr>
          <w:p>
            <w:pPr>
              <w:spacing w:line="300" w:lineRule="exact"/>
              <w:jc w:val="center"/>
              <w:rPr>
                <w:rFonts w:ascii="仿宋" w:eastAsia="仿宋"/>
              </w:rPr>
            </w:pPr>
          </w:p>
        </w:tc>
        <w:tc>
          <w:tcPr>
            <w:tcW w:w="630" w:type="dxa"/>
            <w:vAlign w:val="center"/>
          </w:tcPr>
          <w:p>
            <w:pPr>
              <w:spacing w:line="300" w:lineRule="exact"/>
              <w:jc w:val="center"/>
              <w:rPr>
                <w:rFonts w:ascii="仿宋" w:eastAsia="仿宋"/>
              </w:rPr>
            </w:pPr>
          </w:p>
        </w:tc>
        <w:tc>
          <w:tcPr>
            <w:tcW w:w="630" w:type="dxa"/>
            <w:vAlign w:val="center"/>
          </w:tcPr>
          <w:p>
            <w:pPr>
              <w:spacing w:line="300" w:lineRule="exact"/>
              <w:jc w:val="center"/>
              <w:rPr>
                <w:rFonts w:asci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42" w:type="dxa"/>
            <w:vMerge w:val="restart"/>
            <w:vAlign w:val="center"/>
          </w:tcPr>
          <w:p>
            <w:pPr>
              <w:spacing w:line="300" w:lineRule="exact"/>
              <w:jc w:val="left"/>
              <w:rPr>
                <w:rFonts w:hint="eastAsia" w:ascii="仿宋" w:eastAsia="仿宋"/>
                <w:b/>
              </w:rPr>
            </w:pPr>
            <w:r>
              <w:rPr>
                <w:rFonts w:hint="eastAsia" w:ascii="仿宋" w:eastAsia="仿宋"/>
                <w:b/>
              </w:rPr>
              <w:t>　　</w:t>
            </w:r>
            <w:r>
              <w:rPr>
                <w:rFonts w:ascii="仿宋" w:eastAsia="仿宋"/>
                <w:b/>
              </w:rPr>
              <w:t>1</w:t>
            </w:r>
            <w:r>
              <w:rPr>
                <w:rFonts w:hint="eastAsia" w:ascii="仿宋" w:eastAsia="仿宋"/>
                <w:b/>
              </w:rPr>
              <w:t>、参政议政</w:t>
            </w:r>
          </w:p>
        </w:tc>
        <w:tc>
          <w:tcPr>
            <w:tcW w:w="628" w:type="dxa"/>
            <w:vMerge w:val="restart"/>
            <w:vAlign w:val="center"/>
          </w:tcPr>
          <w:p>
            <w:pPr>
              <w:spacing w:line="300" w:lineRule="exact"/>
              <w:jc w:val="left"/>
              <w:rPr>
                <w:rFonts w:ascii="仿宋" w:eastAsia="仿宋"/>
              </w:rPr>
            </w:pPr>
          </w:p>
        </w:tc>
        <w:tc>
          <w:tcPr>
            <w:tcW w:w="1785" w:type="dxa"/>
            <w:vMerge w:val="restart"/>
            <w:vAlign w:val="center"/>
          </w:tcPr>
          <w:p>
            <w:pPr>
              <w:spacing w:line="300" w:lineRule="exact"/>
              <w:jc w:val="left"/>
              <w:rPr>
                <w:rFonts w:hint="eastAsia" w:ascii="仿宋" w:eastAsia="仿宋"/>
              </w:rPr>
            </w:pPr>
            <w:r>
              <w:rPr>
                <w:rFonts w:hint="eastAsia" w:ascii="仿宋" w:eastAsia="仿宋"/>
              </w:rPr>
              <w:t>组织开展调研，向县政协提交大会发言和集体提案，反映社情民意，与县政府对口单位紧密联系。开展各种活动及相关会议</w:t>
            </w:r>
          </w:p>
        </w:tc>
        <w:tc>
          <w:tcPr>
            <w:tcW w:w="1890" w:type="dxa"/>
            <w:vMerge w:val="restart"/>
            <w:vAlign w:val="center"/>
          </w:tcPr>
          <w:p>
            <w:pPr>
              <w:spacing w:line="300" w:lineRule="exact"/>
              <w:jc w:val="left"/>
              <w:rPr>
                <w:rFonts w:hint="eastAsia" w:ascii="仿宋" w:eastAsia="仿宋"/>
              </w:rPr>
            </w:pPr>
            <w:r>
              <w:rPr>
                <w:rFonts w:hint="eastAsia" w:ascii="仿宋" w:eastAsia="仿宋"/>
              </w:rPr>
              <w:t>提升参政议政水平，为社会发展建言献策。</w:t>
            </w:r>
          </w:p>
        </w:tc>
        <w:tc>
          <w:tcPr>
            <w:tcW w:w="1274" w:type="dxa"/>
            <w:vAlign w:val="center"/>
          </w:tcPr>
          <w:p>
            <w:pPr>
              <w:spacing w:line="300" w:lineRule="exact"/>
              <w:jc w:val="left"/>
              <w:rPr>
                <w:rFonts w:ascii="仿宋" w:eastAsia="仿宋"/>
                <w:lang w:val="en-US" w:eastAsia="zh-CN"/>
              </w:rPr>
            </w:pPr>
            <w:r>
              <w:rPr>
                <w:rFonts w:hint="eastAsia" w:ascii="仿宋" w:eastAsia="仿宋"/>
              </w:rPr>
              <w:t>提交调研报告</w:t>
            </w:r>
            <w:r>
              <w:rPr>
                <w:rFonts w:hint="eastAsia" w:ascii="仿宋" w:eastAsia="仿宋"/>
                <w:lang w:val="en-US" w:eastAsia="zh-CN"/>
              </w:rPr>
              <w:t>11</w:t>
            </w:r>
          </w:p>
        </w:tc>
        <w:tc>
          <w:tcPr>
            <w:tcW w:w="735" w:type="dxa"/>
            <w:vAlign w:val="center"/>
          </w:tcPr>
          <w:p>
            <w:pPr>
              <w:spacing w:line="300" w:lineRule="exact"/>
              <w:jc w:val="center"/>
              <w:rPr>
                <w:rFonts w:ascii="仿宋" w:eastAsia="仿宋"/>
              </w:rPr>
            </w:pPr>
            <w:r>
              <w:rPr>
                <w:rFonts w:hint="eastAsia" w:ascii="仿宋" w:eastAsia="仿宋"/>
                <w:lang w:val="en-US" w:eastAsia="zh-CN"/>
              </w:rPr>
              <w:t>优</w:t>
            </w:r>
          </w:p>
        </w:tc>
        <w:tc>
          <w:tcPr>
            <w:tcW w:w="630" w:type="dxa"/>
            <w:vAlign w:val="center"/>
          </w:tcPr>
          <w:p>
            <w:pPr>
              <w:spacing w:line="300" w:lineRule="exact"/>
              <w:jc w:val="center"/>
              <w:rPr>
                <w:rFonts w:ascii="仿宋" w:eastAsia="仿宋"/>
              </w:rPr>
            </w:pPr>
          </w:p>
        </w:tc>
        <w:tc>
          <w:tcPr>
            <w:tcW w:w="630" w:type="dxa"/>
            <w:vAlign w:val="center"/>
          </w:tcPr>
          <w:p>
            <w:pPr>
              <w:spacing w:line="300" w:lineRule="exact"/>
              <w:jc w:val="center"/>
              <w:rPr>
                <w:rFonts w:ascii="仿宋" w:eastAsia="仿宋"/>
              </w:rPr>
            </w:pPr>
          </w:p>
        </w:tc>
        <w:tc>
          <w:tcPr>
            <w:tcW w:w="630" w:type="dxa"/>
            <w:vAlign w:val="center"/>
          </w:tcPr>
          <w:p>
            <w:pPr>
              <w:spacing w:line="300" w:lineRule="exact"/>
              <w:jc w:val="center"/>
              <w:rPr>
                <w:rFonts w:asci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tc>
        <w:tc>
          <w:tcPr>
            <w:tcW w:w="1276" w:type="dxa"/>
            <w:vMerge w:val="continue"/>
            <w:vAlign w:val="center"/>
          </w:tcPr>
          <w:p/>
        </w:tc>
        <w:tc>
          <w:tcPr>
            <w:tcW w:w="2976" w:type="dxa"/>
            <w:vMerge w:val="continue"/>
            <w:vAlign w:val="center"/>
          </w:tcPr>
          <w:p/>
        </w:tc>
        <w:tc>
          <w:tcPr>
            <w:tcW w:w="2976" w:type="dxa"/>
            <w:vMerge w:val="continue"/>
            <w:vAlign w:val="center"/>
          </w:tcPr>
          <w:p/>
        </w:tc>
        <w:tc>
          <w:tcPr>
            <w:tcW w:w="1274" w:type="dxa"/>
            <w:vAlign w:val="center"/>
          </w:tcPr>
          <w:p>
            <w:pPr>
              <w:spacing w:line="300" w:lineRule="exact"/>
              <w:jc w:val="left"/>
              <w:rPr>
                <w:rFonts w:hint="eastAsia" w:ascii="仿宋" w:eastAsia="仿宋"/>
              </w:rPr>
            </w:pPr>
            <w:r>
              <w:rPr>
                <w:rFonts w:hint="eastAsia" w:ascii="仿宋" w:eastAsia="仿宋"/>
              </w:rPr>
              <w:t>提交县政协大会集体提案</w:t>
            </w:r>
          </w:p>
        </w:tc>
        <w:tc>
          <w:tcPr>
            <w:tcW w:w="735" w:type="dxa"/>
            <w:vAlign w:val="center"/>
          </w:tcPr>
          <w:p>
            <w:pPr>
              <w:spacing w:line="300" w:lineRule="exact"/>
              <w:jc w:val="center"/>
              <w:rPr>
                <w:rFonts w:hint="eastAsia" w:ascii="仿宋" w:eastAsia="仿宋"/>
              </w:rPr>
            </w:pPr>
            <w:r>
              <w:rPr>
                <w:rFonts w:hint="eastAsia" w:ascii="仿宋" w:eastAsia="仿宋"/>
                <w:lang w:val="en-US" w:eastAsia="zh-CN"/>
              </w:rPr>
              <w:t>优</w:t>
            </w:r>
          </w:p>
        </w:tc>
        <w:tc>
          <w:tcPr>
            <w:tcW w:w="630" w:type="dxa"/>
            <w:vAlign w:val="center"/>
          </w:tcPr>
          <w:p>
            <w:pPr>
              <w:spacing w:line="300" w:lineRule="exact"/>
              <w:jc w:val="center"/>
              <w:rPr>
                <w:rFonts w:ascii="仿宋" w:eastAsia="仿宋"/>
              </w:rPr>
            </w:pPr>
          </w:p>
        </w:tc>
        <w:tc>
          <w:tcPr>
            <w:tcW w:w="630" w:type="dxa"/>
            <w:vAlign w:val="center"/>
          </w:tcPr>
          <w:p>
            <w:pPr>
              <w:spacing w:line="300" w:lineRule="exact"/>
              <w:jc w:val="center"/>
              <w:rPr>
                <w:rFonts w:ascii="仿宋" w:eastAsia="仿宋"/>
              </w:rPr>
            </w:pPr>
          </w:p>
        </w:tc>
        <w:tc>
          <w:tcPr>
            <w:tcW w:w="630" w:type="dxa"/>
            <w:vAlign w:val="center"/>
          </w:tcPr>
          <w:p>
            <w:pPr>
              <w:spacing w:line="300" w:lineRule="exact"/>
              <w:jc w:val="center"/>
              <w:rPr>
                <w:rFonts w:hint="eastAsia" w:asci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42" w:type="dxa"/>
            <w:vMerge w:val="restart"/>
            <w:vAlign w:val="center"/>
          </w:tcPr>
          <w:p>
            <w:pPr>
              <w:spacing w:line="300" w:lineRule="exact"/>
              <w:jc w:val="left"/>
              <w:rPr>
                <w:rFonts w:hint="eastAsia" w:ascii="仿宋" w:eastAsia="仿宋"/>
                <w:b/>
              </w:rPr>
            </w:pPr>
            <w:r>
              <w:rPr>
                <w:rFonts w:hint="eastAsia" w:ascii="仿宋" w:eastAsia="仿宋"/>
                <w:b/>
              </w:rPr>
              <w:t>　　</w:t>
            </w:r>
            <w:r>
              <w:rPr>
                <w:rFonts w:ascii="仿宋" w:eastAsia="仿宋"/>
                <w:b/>
              </w:rPr>
              <w:t>2</w:t>
            </w:r>
            <w:r>
              <w:rPr>
                <w:rFonts w:hint="eastAsia" w:ascii="仿宋" w:eastAsia="仿宋"/>
                <w:b/>
              </w:rPr>
              <w:t>、社会服务</w:t>
            </w:r>
          </w:p>
        </w:tc>
        <w:tc>
          <w:tcPr>
            <w:tcW w:w="628" w:type="dxa"/>
            <w:vMerge w:val="restart"/>
            <w:vAlign w:val="center"/>
          </w:tcPr>
          <w:p>
            <w:pPr>
              <w:spacing w:line="300" w:lineRule="exact"/>
              <w:jc w:val="left"/>
              <w:rPr>
                <w:rFonts w:ascii="仿宋" w:eastAsia="仿宋"/>
              </w:rPr>
            </w:pPr>
          </w:p>
        </w:tc>
        <w:tc>
          <w:tcPr>
            <w:tcW w:w="1785" w:type="dxa"/>
            <w:vMerge w:val="restart"/>
            <w:vAlign w:val="center"/>
          </w:tcPr>
          <w:p>
            <w:pPr>
              <w:spacing w:line="300" w:lineRule="exact"/>
              <w:jc w:val="left"/>
              <w:rPr>
                <w:rFonts w:hint="eastAsia" w:ascii="仿宋" w:eastAsia="仿宋"/>
              </w:rPr>
            </w:pPr>
            <w:r>
              <w:rPr>
                <w:rFonts w:hint="eastAsia" w:ascii="仿宋" w:eastAsia="仿宋"/>
              </w:rPr>
              <w:t>积极搭建服务平台，举办招商会、银企对接会、招商引资，民企活动及法律维权、科技进民企活动。加强与知名企业的合作交流。组织会员企业参与农村面貌改造提升行动、社会扶贫和公益事业。</w:t>
            </w:r>
          </w:p>
        </w:tc>
        <w:tc>
          <w:tcPr>
            <w:tcW w:w="1890" w:type="dxa"/>
            <w:vMerge w:val="restart"/>
            <w:vAlign w:val="center"/>
          </w:tcPr>
          <w:p>
            <w:pPr>
              <w:spacing w:line="300" w:lineRule="exact"/>
              <w:jc w:val="left"/>
              <w:rPr>
                <w:rFonts w:hint="eastAsia" w:ascii="仿宋" w:eastAsia="仿宋"/>
              </w:rPr>
            </w:pPr>
            <w:r>
              <w:rPr>
                <w:rFonts w:hint="eastAsia" w:ascii="仿宋" w:eastAsia="仿宋"/>
              </w:rPr>
              <w:t>引导会员积极承担社会责任，热心公益事业发挥工商联在政府管理和服务非公有制经济中的助手作用，助力县域经济发展</w:t>
            </w:r>
          </w:p>
        </w:tc>
        <w:tc>
          <w:tcPr>
            <w:tcW w:w="1274" w:type="dxa"/>
            <w:vAlign w:val="center"/>
          </w:tcPr>
          <w:p>
            <w:pPr>
              <w:spacing w:line="300" w:lineRule="exact"/>
              <w:jc w:val="left"/>
              <w:rPr>
                <w:rFonts w:hint="eastAsia" w:ascii="仿宋" w:eastAsia="仿宋"/>
              </w:rPr>
            </w:pPr>
            <w:r>
              <w:rPr>
                <w:rFonts w:hint="eastAsia" w:ascii="仿宋" w:eastAsia="仿宋"/>
              </w:rPr>
              <w:t>银企对接会</w:t>
            </w:r>
            <w:r>
              <w:rPr>
                <w:rFonts w:hint="eastAsia" w:ascii="仿宋" w:eastAsia="仿宋"/>
                <w:lang w:val="en-US" w:eastAsia="zh-CN"/>
              </w:rPr>
              <w:t>2</w:t>
            </w:r>
            <w:r>
              <w:rPr>
                <w:rFonts w:hint="eastAsia" w:ascii="仿宋" w:eastAsia="仿宋"/>
              </w:rPr>
              <w:t>数</w:t>
            </w:r>
          </w:p>
        </w:tc>
        <w:tc>
          <w:tcPr>
            <w:tcW w:w="735" w:type="dxa"/>
            <w:vAlign w:val="center"/>
          </w:tcPr>
          <w:p>
            <w:pPr>
              <w:spacing w:line="300" w:lineRule="exact"/>
              <w:jc w:val="center"/>
              <w:rPr>
                <w:rFonts w:hint="eastAsia" w:ascii="仿宋" w:eastAsia="仿宋"/>
              </w:rPr>
            </w:pPr>
            <w:r>
              <w:rPr>
                <w:rFonts w:hint="eastAsia" w:ascii="仿宋" w:eastAsia="仿宋"/>
                <w:lang w:val="en-US" w:eastAsia="zh-CN"/>
              </w:rPr>
              <w:t>优</w:t>
            </w:r>
          </w:p>
        </w:tc>
        <w:tc>
          <w:tcPr>
            <w:tcW w:w="630" w:type="dxa"/>
            <w:vAlign w:val="center"/>
          </w:tcPr>
          <w:p>
            <w:pPr>
              <w:spacing w:line="300" w:lineRule="exact"/>
              <w:jc w:val="center"/>
              <w:rPr>
                <w:rFonts w:ascii="仿宋" w:eastAsia="仿宋"/>
              </w:rPr>
            </w:pPr>
          </w:p>
        </w:tc>
        <w:tc>
          <w:tcPr>
            <w:tcW w:w="630" w:type="dxa"/>
            <w:vAlign w:val="center"/>
          </w:tcPr>
          <w:p>
            <w:pPr>
              <w:spacing w:line="300" w:lineRule="exact"/>
              <w:jc w:val="center"/>
              <w:rPr>
                <w:rFonts w:ascii="仿宋" w:eastAsia="仿宋"/>
              </w:rPr>
            </w:pPr>
          </w:p>
        </w:tc>
        <w:tc>
          <w:tcPr>
            <w:tcW w:w="630" w:type="dxa"/>
            <w:vAlign w:val="center"/>
          </w:tcPr>
          <w:p>
            <w:pPr>
              <w:spacing w:line="300" w:lineRule="exact"/>
              <w:jc w:val="center"/>
              <w:rPr>
                <w:rFonts w:hint="eastAsia" w:asci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tc>
        <w:tc>
          <w:tcPr>
            <w:tcW w:w="1276" w:type="dxa"/>
            <w:vMerge w:val="continue"/>
            <w:vAlign w:val="center"/>
          </w:tcPr>
          <w:p/>
        </w:tc>
        <w:tc>
          <w:tcPr>
            <w:tcW w:w="2976" w:type="dxa"/>
            <w:vMerge w:val="continue"/>
            <w:vAlign w:val="center"/>
          </w:tcPr>
          <w:p/>
        </w:tc>
        <w:tc>
          <w:tcPr>
            <w:tcW w:w="2976" w:type="dxa"/>
            <w:vMerge w:val="continue"/>
            <w:vAlign w:val="center"/>
          </w:tcPr>
          <w:p/>
        </w:tc>
        <w:tc>
          <w:tcPr>
            <w:tcW w:w="1274" w:type="dxa"/>
            <w:vAlign w:val="center"/>
          </w:tcPr>
          <w:p>
            <w:pPr>
              <w:spacing w:line="300" w:lineRule="exact"/>
              <w:jc w:val="left"/>
              <w:rPr>
                <w:rFonts w:hint="eastAsia" w:ascii="仿宋" w:eastAsia="仿宋"/>
              </w:rPr>
            </w:pPr>
            <w:r>
              <w:rPr>
                <w:rFonts w:hint="eastAsia" w:ascii="仿宋" w:eastAsia="仿宋"/>
              </w:rPr>
              <w:t>法律维权服务</w:t>
            </w:r>
            <w:r>
              <w:rPr>
                <w:rFonts w:hint="eastAsia" w:ascii="仿宋" w:eastAsia="仿宋"/>
                <w:lang w:val="en-US" w:eastAsia="zh-CN"/>
              </w:rPr>
              <w:t>5</w:t>
            </w:r>
            <w:r>
              <w:rPr>
                <w:rFonts w:hint="eastAsia" w:ascii="仿宋" w:eastAsia="仿宋"/>
              </w:rPr>
              <w:t>次</w:t>
            </w:r>
          </w:p>
        </w:tc>
        <w:tc>
          <w:tcPr>
            <w:tcW w:w="735" w:type="dxa"/>
            <w:vAlign w:val="center"/>
          </w:tcPr>
          <w:p>
            <w:pPr>
              <w:spacing w:line="300" w:lineRule="exact"/>
              <w:jc w:val="center"/>
              <w:rPr>
                <w:rFonts w:hint="eastAsia" w:ascii="仿宋" w:eastAsia="仿宋"/>
              </w:rPr>
            </w:pPr>
            <w:r>
              <w:rPr>
                <w:rFonts w:hint="eastAsia" w:ascii="仿宋" w:eastAsia="仿宋"/>
                <w:lang w:val="en-US" w:eastAsia="zh-CN"/>
              </w:rPr>
              <w:t>优</w:t>
            </w:r>
          </w:p>
        </w:tc>
        <w:tc>
          <w:tcPr>
            <w:tcW w:w="630" w:type="dxa"/>
            <w:vAlign w:val="center"/>
          </w:tcPr>
          <w:p>
            <w:pPr>
              <w:spacing w:line="300" w:lineRule="exact"/>
              <w:jc w:val="center"/>
              <w:rPr>
                <w:rFonts w:ascii="仿宋" w:eastAsia="仿宋"/>
              </w:rPr>
            </w:pPr>
          </w:p>
        </w:tc>
        <w:tc>
          <w:tcPr>
            <w:tcW w:w="630" w:type="dxa"/>
            <w:vAlign w:val="center"/>
          </w:tcPr>
          <w:p>
            <w:pPr>
              <w:spacing w:line="300" w:lineRule="exact"/>
              <w:jc w:val="center"/>
              <w:rPr>
                <w:rFonts w:ascii="仿宋" w:eastAsia="仿宋"/>
              </w:rPr>
            </w:pPr>
          </w:p>
        </w:tc>
        <w:tc>
          <w:tcPr>
            <w:tcW w:w="630" w:type="dxa"/>
            <w:vAlign w:val="center"/>
          </w:tcPr>
          <w:p>
            <w:pPr>
              <w:spacing w:line="300" w:lineRule="exact"/>
              <w:jc w:val="center"/>
              <w:rPr>
                <w:rFonts w:asci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tc>
        <w:tc>
          <w:tcPr>
            <w:tcW w:w="1276" w:type="dxa"/>
            <w:vMerge w:val="continue"/>
            <w:vAlign w:val="center"/>
          </w:tcPr>
          <w:p/>
        </w:tc>
        <w:tc>
          <w:tcPr>
            <w:tcW w:w="2976" w:type="dxa"/>
            <w:vMerge w:val="continue"/>
            <w:vAlign w:val="center"/>
          </w:tcPr>
          <w:p/>
        </w:tc>
        <w:tc>
          <w:tcPr>
            <w:tcW w:w="2976" w:type="dxa"/>
            <w:vMerge w:val="continue"/>
            <w:vAlign w:val="center"/>
          </w:tcPr>
          <w:p/>
        </w:tc>
        <w:tc>
          <w:tcPr>
            <w:tcW w:w="1274" w:type="dxa"/>
            <w:vAlign w:val="center"/>
          </w:tcPr>
          <w:p>
            <w:pPr>
              <w:spacing w:line="300" w:lineRule="exact"/>
              <w:jc w:val="left"/>
              <w:rPr>
                <w:rFonts w:hint="eastAsia" w:ascii="仿宋" w:eastAsia="仿宋"/>
              </w:rPr>
            </w:pPr>
            <w:r>
              <w:rPr>
                <w:rFonts w:hint="eastAsia" w:ascii="仿宋" w:eastAsia="仿宋"/>
              </w:rPr>
              <w:t>组织招商引资活动</w:t>
            </w:r>
            <w:r>
              <w:rPr>
                <w:rFonts w:hint="eastAsia" w:ascii="仿宋" w:eastAsia="仿宋"/>
                <w:lang w:val="en-US" w:eastAsia="zh-CN"/>
              </w:rPr>
              <w:t>8</w:t>
            </w:r>
            <w:r>
              <w:rPr>
                <w:rFonts w:hint="eastAsia" w:ascii="仿宋" w:eastAsia="仿宋"/>
              </w:rPr>
              <w:t>次</w:t>
            </w:r>
          </w:p>
        </w:tc>
        <w:tc>
          <w:tcPr>
            <w:tcW w:w="735" w:type="dxa"/>
            <w:vAlign w:val="center"/>
          </w:tcPr>
          <w:p>
            <w:pPr>
              <w:spacing w:line="300" w:lineRule="exact"/>
              <w:jc w:val="center"/>
              <w:rPr>
                <w:rFonts w:hint="eastAsia" w:ascii="仿宋" w:eastAsia="仿宋"/>
              </w:rPr>
            </w:pPr>
            <w:r>
              <w:rPr>
                <w:rFonts w:hint="eastAsia" w:ascii="仿宋" w:eastAsia="仿宋"/>
                <w:lang w:val="en-US" w:eastAsia="zh-CN"/>
              </w:rPr>
              <w:t>优</w:t>
            </w:r>
          </w:p>
        </w:tc>
        <w:tc>
          <w:tcPr>
            <w:tcW w:w="630" w:type="dxa"/>
            <w:vAlign w:val="center"/>
          </w:tcPr>
          <w:p>
            <w:pPr>
              <w:spacing w:line="300" w:lineRule="exact"/>
              <w:jc w:val="center"/>
              <w:rPr>
                <w:rFonts w:ascii="仿宋" w:eastAsia="仿宋"/>
              </w:rPr>
            </w:pPr>
          </w:p>
        </w:tc>
        <w:tc>
          <w:tcPr>
            <w:tcW w:w="630" w:type="dxa"/>
            <w:vAlign w:val="center"/>
          </w:tcPr>
          <w:p>
            <w:pPr>
              <w:spacing w:line="300" w:lineRule="exact"/>
              <w:jc w:val="center"/>
              <w:rPr>
                <w:rFonts w:ascii="仿宋" w:eastAsia="仿宋"/>
              </w:rPr>
            </w:pPr>
          </w:p>
        </w:tc>
        <w:tc>
          <w:tcPr>
            <w:tcW w:w="630" w:type="dxa"/>
            <w:vAlign w:val="center"/>
          </w:tcPr>
          <w:p>
            <w:pPr>
              <w:spacing w:line="300" w:lineRule="exact"/>
              <w:jc w:val="center"/>
              <w:rPr>
                <w:rFonts w:hint="eastAsia" w:asci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42" w:type="dxa"/>
            <w:vAlign w:val="center"/>
          </w:tcPr>
          <w:p>
            <w:pPr>
              <w:spacing w:line="300" w:lineRule="exact"/>
              <w:jc w:val="left"/>
              <w:rPr>
                <w:rFonts w:hint="eastAsia" w:ascii="仿宋" w:eastAsia="仿宋"/>
                <w:b/>
              </w:rPr>
            </w:pPr>
            <w:r>
              <w:rPr>
                <w:rFonts w:hint="eastAsia" w:ascii="仿宋" w:eastAsia="仿宋"/>
                <w:b/>
              </w:rPr>
              <w:t>二、组织建设</w:t>
            </w:r>
          </w:p>
        </w:tc>
        <w:tc>
          <w:tcPr>
            <w:tcW w:w="628" w:type="dxa"/>
            <w:vAlign w:val="center"/>
          </w:tcPr>
          <w:p>
            <w:pPr>
              <w:spacing w:line="300" w:lineRule="exact"/>
              <w:jc w:val="left"/>
              <w:rPr>
                <w:rFonts w:ascii="仿宋" w:eastAsia="仿宋"/>
              </w:rPr>
            </w:pPr>
          </w:p>
        </w:tc>
        <w:tc>
          <w:tcPr>
            <w:tcW w:w="1785" w:type="dxa"/>
            <w:vAlign w:val="center"/>
          </w:tcPr>
          <w:p>
            <w:pPr>
              <w:spacing w:line="300" w:lineRule="exact"/>
              <w:jc w:val="left"/>
              <w:rPr>
                <w:rFonts w:hint="eastAsia" w:ascii="仿宋" w:eastAsia="仿宋"/>
              </w:rPr>
            </w:pPr>
            <w:r>
              <w:rPr>
                <w:rFonts w:hint="eastAsia" w:ascii="仿宋" w:eastAsia="仿宋"/>
              </w:rPr>
              <w:t>组织建设及宣传教育、培训等事项</w:t>
            </w:r>
          </w:p>
        </w:tc>
        <w:tc>
          <w:tcPr>
            <w:tcW w:w="1890" w:type="dxa"/>
            <w:vAlign w:val="center"/>
          </w:tcPr>
          <w:p>
            <w:pPr>
              <w:spacing w:line="300" w:lineRule="exact"/>
              <w:jc w:val="left"/>
              <w:rPr>
                <w:rFonts w:hint="eastAsia" w:ascii="仿宋" w:eastAsia="仿宋"/>
              </w:rPr>
            </w:pPr>
            <w:r>
              <w:rPr>
                <w:rFonts w:hint="eastAsia" w:ascii="仿宋" w:eastAsia="仿宋"/>
              </w:rPr>
              <w:t>发展工商联会员、指导基层工商联组织建设；组织培训、思想政治教育，对非公有制经济优秀事迹进行宣传等事项。</w:t>
            </w:r>
          </w:p>
        </w:tc>
        <w:tc>
          <w:tcPr>
            <w:tcW w:w="1274" w:type="dxa"/>
            <w:vAlign w:val="center"/>
          </w:tcPr>
          <w:p>
            <w:pPr>
              <w:spacing w:line="300" w:lineRule="exact"/>
              <w:jc w:val="left"/>
              <w:rPr>
                <w:rFonts w:hint="eastAsia" w:ascii="仿宋" w:eastAsia="仿宋"/>
              </w:rPr>
            </w:pPr>
          </w:p>
        </w:tc>
        <w:tc>
          <w:tcPr>
            <w:tcW w:w="735" w:type="dxa"/>
            <w:vAlign w:val="center"/>
          </w:tcPr>
          <w:p>
            <w:pPr>
              <w:spacing w:line="300" w:lineRule="exact"/>
              <w:jc w:val="center"/>
              <w:rPr>
                <w:rFonts w:hint="eastAsia" w:ascii="仿宋" w:eastAsia="仿宋"/>
              </w:rPr>
            </w:pPr>
            <w:r>
              <w:rPr>
                <w:rFonts w:hint="eastAsia" w:ascii="仿宋" w:eastAsia="仿宋"/>
                <w:lang w:val="en-US" w:eastAsia="zh-CN"/>
              </w:rPr>
              <w:t>优</w:t>
            </w:r>
          </w:p>
        </w:tc>
        <w:tc>
          <w:tcPr>
            <w:tcW w:w="630" w:type="dxa"/>
            <w:vAlign w:val="center"/>
          </w:tcPr>
          <w:p>
            <w:pPr>
              <w:spacing w:line="300" w:lineRule="exact"/>
              <w:jc w:val="center"/>
              <w:rPr>
                <w:rFonts w:ascii="仿宋" w:eastAsia="仿宋"/>
              </w:rPr>
            </w:pPr>
          </w:p>
        </w:tc>
        <w:tc>
          <w:tcPr>
            <w:tcW w:w="630" w:type="dxa"/>
            <w:vAlign w:val="center"/>
          </w:tcPr>
          <w:p>
            <w:pPr>
              <w:spacing w:line="300" w:lineRule="exact"/>
              <w:jc w:val="center"/>
              <w:rPr>
                <w:rFonts w:ascii="仿宋" w:eastAsia="仿宋"/>
              </w:rPr>
            </w:pPr>
          </w:p>
        </w:tc>
        <w:tc>
          <w:tcPr>
            <w:tcW w:w="630" w:type="dxa"/>
            <w:vAlign w:val="center"/>
          </w:tcPr>
          <w:p>
            <w:pPr>
              <w:spacing w:line="300" w:lineRule="exact"/>
              <w:jc w:val="center"/>
              <w:rPr>
                <w:rFonts w:hint="eastAsia" w:asci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42" w:type="dxa"/>
            <w:vMerge w:val="restart"/>
            <w:vAlign w:val="center"/>
          </w:tcPr>
          <w:p>
            <w:pPr>
              <w:spacing w:line="300" w:lineRule="exact"/>
              <w:jc w:val="left"/>
              <w:rPr>
                <w:rFonts w:hint="eastAsia" w:ascii="仿宋" w:eastAsia="仿宋"/>
                <w:b/>
              </w:rPr>
            </w:pPr>
            <w:r>
              <w:rPr>
                <w:rFonts w:hint="eastAsia" w:ascii="仿宋" w:eastAsia="仿宋"/>
                <w:b/>
              </w:rPr>
              <w:t>　　</w:t>
            </w:r>
            <w:r>
              <w:rPr>
                <w:rFonts w:ascii="仿宋" w:eastAsia="仿宋"/>
                <w:b/>
              </w:rPr>
              <w:t>1</w:t>
            </w:r>
            <w:r>
              <w:rPr>
                <w:rFonts w:hint="eastAsia" w:ascii="仿宋" w:eastAsia="仿宋"/>
                <w:b/>
              </w:rPr>
              <w:t>、组织建设及宣传教育、培训</w:t>
            </w:r>
          </w:p>
        </w:tc>
        <w:tc>
          <w:tcPr>
            <w:tcW w:w="628" w:type="dxa"/>
            <w:vMerge w:val="restart"/>
            <w:vAlign w:val="center"/>
          </w:tcPr>
          <w:p>
            <w:pPr>
              <w:spacing w:line="300" w:lineRule="exact"/>
              <w:jc w:val="left"/>
              <w:rPr>
                <w:rFonts w:ascii="仿宋" w:eastAsia="仿宋"/>
              </w:rPr>
            </w:pPr>
          </w:p>
        </w:tc>
        <w:tc>
          <w:tcPr>
            <w:tcW w:w="1785" w:type="dxa"/>
            <w:vMerge w:val="restart"/>
            <w:vAlign w:val="center"/>
          </w:tcPr>
          <w:p>
            <w:pPr>
              <w:spacing w:line="300" w:lineRule="exact"/>
              <w:jc w:val="left"/>
              <w:rPr>
                <w:rFonts w:hint="eastAsia" w:ascii="仿宋" w:eastAsia="仿宋"/>
              </w:rPr>
            </w:pPr>
            <w:r>
              <w:rPr>
                <w:rFonts w:hint="eastAsia" w:ascii="仿宋" w:eastAsia="仿宋"/>
              </w:rPr>
              <w:t>贯彻省市工商联组织建设工作方针，指导全县各级组织的建设，维护会员合法权益，组织换届、培训、思想教育和基层建设工作，对非公有制经济优秀事迹进行宣传。</w:t>
            </w:r>
          </w:p>
        </w:tc>
        <w:tc>
          <w:tcPr>
            <w:tcW w:w="1890" w:type="dxa"/>
            <w:vMerge w:val="restart"/>
            <w:vAlign w:val="center"/>
          </w:tcPr>
          <w:p>
            <w:pPr>
              <w:spacing w:line="300" w:lineRule="exact"/>
              <w:jc w:val="left"/>
              <w:rPr>
                <w:rFonts w:hint="eastAsia" w:ascii="仿宋" w:eastAsia="仿宋"/>
              </w:rPr>
            </w:pPr>
            <w:r>
              <w:rPr>
                <w:rFonts w:hint="eastAsia" w:ascii="仿宋" w:eastAsia="仿宋"/>
              </w:rPr>
              <w:t>指导全县各级组织建设。提升民营企业家素质，推进民营企业文化建设，提升工商联工作影响力。</w:t>
            </w:r>
          </w:p>
        </w:tc>
        <w:tc>
          <w:tcPr>
            <w:tcW w:w="1274" w:type="dxa"/>
            <w:vAlign w:val="center"/>
          </w:tcPr>
          <w:p>
            <w:pPr>
              <w:spacing w:line="300" w:lineRule="exact"/>
              <w:jc w:val="left"/>
              <w:rPr>
                <w:rFonts w:ascii="仿宋" w:eastAsia="仿宋"/>
                <w:lang w:val="en-US" w:eastAsia="zh-CN"/>
              </w:rPr>
            </w:pPr>
            <w:r>
              <w:rPr>
                <w:rFonts w:hint="eastAsia" w:ascii="仿宋" w:eastAsia="仿宋"/>
              </w:rPr>
              <w:t>新会员培训合格率</w:t>
            </w:r>
            <w:r>
              <w:rPr>
                <w:rFonts w:hint="eastAsia" w:ascii="仿宋" w:eastAsia="仿宋"/>
                <w:lang w:val="en-US" w:eastAsia="zh-CN"/>
              </w:rPr>
              <w:t>86%</w:t>
            </w:r>
          </w:p>
        </w:tc>
        <w:tc>
          <w:tcPr>
            <w:tcW w:w="735" w:type="dxa"/>
            <w:vAlign w:val="center"/>
          </w:tcPr>
          <w:p>
            <w:pPr>
              <w:spacing w:line="300" w:lineRule="exact"/>
              <w:jc w:val="center"/>
              <w:rPr>
                <w:rFonts w:hint="eastAsia" w:ascii="仿宋" w:eastAsia="仿宋"/>
              </w:rPr>
            </w:pPr>
            <w:r>
              <w:rPr>
                <w:rFonts w:hint="eastAsia" w:ascii="仿宋" w:eastAsia="仿宋"/>
                <w:lang w:val="en-US" w:eastAsia="zh-CN"/>
              </w:rPr>
              <w:t>优</w:t>
            </w:r>
          </w:p>
        </w:tc>
        <w:tc>
          <w:tcPr>
            <w:tcW w:w="630" w:type="dxa"/>
            <w:vAlign w:val="center"/>
          </w:tcPr>
          <w:p>
            <w:pPr>
              <w:spacing w:line="300" w:lineRule="exact"/>
              <w:jc w:val="center"/>
              <w:rPr>
                <w:rFonts w:ascii="仿宋" w:eastAsia="仿宋"/>
              </w:rPr>
            </w:pPr>
          </w:p>
        </w:tc>
        <w:tc>
          <w:tcPr>
            <w:tcW w:w="630" w:type="dxa"/>
            <w:vAlign w:val="center"/>
          </w:tcPr>
          <w:p>
            <w:pPr>
              <w:spacing w:line="300" w:lineRule="exact"/>
              <w:jc w:val="center"/>
              <w:rPr>
                <w:rFonts w:ascii="仿宋" w:eastAsia="仿宋"/>
              </w:rPr>
            </w:pPr>
          </w:p>
        </w:tc>
        <w:tc>
          <w:tcPr>
            <w:tcW w:w="630" w:type="dxa"/>
            <w:vAlign w:val="center"/>
          </w:tcPr>
          <w:p>
            <w:pPr>
              <w:spacing w:line="300" w:lineRule="exact"/>
              <w:jc w:val="center"/>
              <w:rPr>
                <w:rFonts w:hint="eastAsia" w:asci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tc>
        <w:tc>
          <w:tcPr>
            <w:tcW w:w="1276" w:type="dxa"/>
            <w:vMerge w:val="continue"/>
            <w:vAlign w:val="center"/>
          </w:tcPr>
          <w:p/>
        </w:tc>
        <w:tc>
          <w:tcPr>
            <w:tcW w:w="2976" w:type="dxa"/>
            <w:vMerge w:val="continue"/>
            <w:vAlign w:val="center"/>
          </w:tcPr>
          <w:p/>
        </w:tc>
        <w:tc>
          <w:tcPr>
            <w:tcW w:w="2976" w:type="dxa"/>
            <w:vMerge w:val="continue"/>
            <w:vAlign w:val="center"/>
          </w:tcPr>
          <w:p/>
        </w:tc>
        <w:tc>
          <w:tcPr>
            <w:tcW w:w="1274" w:type="dxa"/>
            <w:vAlign w:val="center"/>
          </w:tcPr>
          <w:p>
            <w:pPr>
              <w:spacing w:line="300" w:lineRule="exact"/>
              <w:jc w:val="left"/>
              <w:rPr>
                <w:rFonts w:hint="eastAsia" w:ascii="仿宋" w:eastAsia="仿宋"/>
              </w:rPr>
            </w:pPr>
            <w:r>
              <w:rPr>
                <w:rFonts w:hint="eastAsia" w:ascii="仿宋" w:eastAsia="仿宋"/>
              </w:rPr>
              <w:t>培训人次</w:t>
            </w:r>
            <w:r>
              <w:rPr>
                <w:rFonts w:hint="eastAsia" w:ascii="仿宋" w:eastAsia="仿宋"/>
                <w:lang w:val="en-US" w:eastAsia="zh-CN"/>
              </w:rPr>
              <w:t>136</w:t>
            </w:r>
            <w:r>
              <w:rPr>
                <w:rFonts w:ascii="仿宋" w:eastAsia="仿宋"/>
              </w:rPr>
              <w:t>(</w:t>
            </w:r>
            <w:r>
              <w:rPr>
                <w:rFonts w:hint="eastAsia" w:ascii="仿宋" w:eastAsia="仿宋"/>
              </w:rPr>
              <w:t>人）</w:t>
            </w:r>
          </w:p>
        </w:tc>
        <w:tc>
          <w:tcPr>
            <w:tcW w:w="735" w:type="dxa"/>
            <w:vAlign w:val="center"/>
          </w:tcPr>
          <w:p>
            <w:pPr>
              <w:spacing w:line="300" w:lineRule="exact"/>
              <w:jc w:val="center"/>
              <w:rPr>
                <w:rFonts w:hint="eastAsia" w:ascii="仿宋" w:eastAsia="仿宋"/>
              </w:rPr>
            </w:pPr>
            <w:r>
              <w:rPr>
                <w:rFonts w:hint="eastAsia" w:ascii="仿宋" w:eastAsia="仿宋"/>
                <w:lang w:val="en-US" w:eastAsia="zh-CN"/>
              </w:rPr>
              <w:t>优</w:t>
            </w:r>
          </w:p>
        </w:tc>
        <w:tc>
          <w:tcPr>
            <w:tcW w:w="630" w:type="dxa"/>
            <w:vAlign w:val="center"/>
          </w:tcPr>
          <w:p>
            <w:pPr>
              <w:spacing w:line="300" w:lineRule="exact"/>
              <w:jc w:val="center"/>
              <w:rPr>
                <w:rFonts w:hint="eastAsia" w:ascii="仿宋" w:eastAsia="仿宋"/>
              </w:rPr>
            </w:pPr>
          </w:p>
        </w:tc>
        <w:tc>
          <w:tcPr>
            <w:tcW w:w="630" w:type="dxa"/>
            <w:vAlign w:val="center"/>
          </w:tcPr>
          <w:p>
            <w:pPr>
              <w:spacing w:line="300" w:lineRule="exact"/>
              <w:jc w:val="center"/>
              <w:rPr>
                <w:rFonts w:hint="eastAsia" w:ascii="仿宋" w:eastAsia="仿宋"/>
              </w:rPr>
            </w:pPr>
          </w:p>
        </w:tc>
        <w:tc>
          <w:tcPr>
            <w:tcW w:w="630" w:type="dxa"/>
            <w:vAlign w:val="center"/>
          </w:tcPr>
          <w:p>
            <w:pPr>
              <w:spacing w:line="300" w:lineRule="exact"/>
              <w:jc w:val="center"/>
              <w:rPr>
                <w:rFonts w:hint="eastAsia" w:asci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tc>
        <w:tc>
          <w:tcPr>
            <w:tcW w:w="1276" w:type="dxa"/>
            <w:vMerge w:val="continue"/>
            <w:vAlign w:val="center"/>
          </w:tcPr>
          <w:p/>
        </w:tc>
        <w:tc>
          <w:tcPr>
            <w:tcW w:w="2976" w:type="dxa"/>
            <w:vMerge w:val="continue"/>
            <w:vAlign w:val="center"/>
          </w:tcPr>
          <w:p/>
        </w:tc>
        <w:tc>
          <w:tcPr>
            <w:tcW w:w="2976" w:type="dxa"/>
            <w:vMerge w:val="continue"/>
            <w:vAlign w:val="center"/>
          </w:tcPr>
          <w:p/>
        </w:tc>
        <w:tc>
          <w:tcPr>
            <w:tcW w:w="1274" w:type="dxa"/>
            <w:vAlign w:val="center"/>
          </w:tcPr>
          <w:p>
            <w:pPr>
              <w:spacing w:line="300" w:lineRule="exact"/>
              <w:jc w:val="left"/>
              <w:rPr>
                <w:rFonts w:ascii="仿宋" w:eastAsia="仿宋"/>
                <w:lang w:val="en-US" w:eastAsia="zh-CN"/>
              </w:rPr>
            </w:pPr>
            <w:r>
              <w:rPr>
                <w:rFonts w:hint="eastAsia" w:ascii="仿宋" w:eastAsia="仿宋"/>
              </w:rPr>
              <w:t>新会员培训率</w:t>
            </w:r>
            <w:r>
              <w:rPr>
                <w:rFonts w:hint="eastAsia" w:ascii="仿宋" w:eastAsia="仿宋"/>
                <w:lang w:val="en-US" w:eastAsia="zh-CN"/>
              </w:rPr>
              <w:t>98%</w:t>
            </w:r>
          </w:p>
        </w:tc>
        <w:tc>
          <w:tcPr>
            <w:tcW w:w="735" w:type="dxa"/>
            <w:vAlign w:val="center"/>
          </w:tcPr>
          <w:p>
            <w:pPr>
              <w:spacing w:line="300" w:lineRule="exact"/>
              <w:jc w:val="center"/>
              <w:rPr>
                <w:rFonts w:hint="eastAsia" w:ascii="仿宋" w:eastAsia="仿宋"/>
              </w:rPr>
            </w:pPr>
            <w:r>
              <w:rPr>
                <w:rFonts w:hint="eastAsia" w:ascii="仿宋" w:eastAsia="仿宋"/>
                <w:lang w:val="en-US" w:eastAsia="zh-CN"/>
              </w:rPr>
              <w:t>优</w:t>
            </w:r>
          </w:p>
        </w:tc>
        <w:tc>
          <w:tcPr>
            <w:tcW w:w="630" w:type="dxa"/>
            <w:vAlign w:val="center"/>
          </w:tcPr>
          <w:p>
            <w:pPr>
              <w:spacing w:line="300" w:lineRule="exact"/>
              <w:jc w:val="center"/>
              <w:rPr>
                <w:rFonts w:hint="eastAsia" w:ascii="仿宋" w:eastAsia="仿宋"/>
              </w:rPr>
            </w:pPr>
          </w:p>
        </w:tc>
        <w:tc>
          <w:tcPr>
            <w:tcW w:w="630" w:type="dxa"/>
            <w:vAlign w:val="center"/>
          </w:tcPr>
          <w:p>
            <w:pPr>
              <w:spacing w:line="300" w:lineRule="exact"/>
              <w:jc w:val="center"/>
              <w:rPr>
                <w:rFonts w:hint="eastAsia" w:ascii="仿宋" w:eastAsia="仿宋"/>
              </w:rPr>
            </w:pPr>
          </w:p>
        </w:tc>
        <w:tc>
          <w:tcPr>
            <w:tcW w:w="630" w:type="dxa"/>
            <w:vAlign w:val="center"/>
          </w:tcPr>
          <w:p>
            <w:pPr>
              <w:spacing w:line="300" w:lineRule="exact"/>
              <w:jc w:val="center"/>
              <w:rPr>
                <w:rFonts w:hint="eastAsia" w:asci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42" w:type="dxa"/>
            <w:vAlign w:val="center"/>
          </w:tcPr>
          <w:p>
            <w:pPr>
              <w:spacing w:line="300" w:lineRule="exact"/>
              <w:jc w:val="left"/>
              <w:rPr>
                <w:rFonts w:hint="eastAsia" w:ascii="仿宋" w:eastAsia="仿宋"/>
                <w:b/>
              </w:rPr>
            </w:pPr>
            <w:r>
              <w:rPr>
                <w:rFonts w:hint="eastAsia" w:ascii="仿宋" w:eastAsia="仿宋"/>
                <w:b/>
              </w:rPr>
              <w:t>三、工商联事务管理</w:t>
            </w:r>
          </w:p>
        </w:tc>
        <w:tc>
          <w:tcPr>
            <w:tcW w:w="628" w:type="dxa"/>
            <w:vAlign w:val="center"/>
          </w:tcPr>
          <w:p>
            <w:pPr>
              <w:spacing w:line="300" w:lineRule="exact"/>
              <w:jc w:val="left"/>
              <w:rPr>
                <w:rFonts w:ascii="仿宋" w:eastAsia="仿宋"/>
              </w:rPr>
            </w:pPr>
            <w:r>
              <w:rPr>
                <w:rFonts w:ascii="仿宋" w:eastAsia="仿宋"/>
              </w:rPr>
              <w:t>12.00</w:t>
            </w:r>
          </w:p>
        </w:tc>
        <w:tc>
          <w:tcPr>
            <w:tcW w:w="1785" w:type="dxa"/>
            <w:vAlign w:val="center"/>
          </w:tcPr>
          <w:p>
            <w:pPr>
              <w:spacing w:line="300" w:lineRule="exact"/>
              <w:jc w:val="left"/>
              <w:rPr>
                <w:rFonts w:hint="eastAsia" w:ascii="仿宋" w:eastAsia="仿宋"/>
              </w:rPr>
            </w:pPr>
            <w:r>
              <w:rPr>
                <w:rFonts w:hint="eastAsia" w:ascii="仿宋" w:eastAsia="仿宋"/>
              </w:rPr>
              <w:t>综合性事务管理等事项</w:t>
            </w:r>
          </w:p>
        </w:tc>
        <w:tc>
          <w:tcPr>
            <w:tcW w:w="1890" w:type="dxa"/>
            <w:vAlign w:val="center"/>
          </w:tcPr>
          <w:p>
            <w:pPr>
              <w:spacing w:line="300" w:lineRule="exact"/>
              <w:jc w:val="left"/>
              <w:rPr>
                <w:rFonts w:hint="eastAsia" w:ascii="仿宋" w:eastAsia="仿宋"/>
              </w:rPr>
            </w:pPr>
            <w:r>
              <w:rPr>
                <w:rFonts w:hint="eastAsia" w:ascii="仿宋" w:eastAsia="仿宋"/>
              </w:rPr>
              <w:t>保障工商联各项工作顺利开展</w:t>
            </w:r>
          </w:p>
        </w:tc>
        <w:tc>
          <w:tcPr>
            <w:tcW w:w="1274" w:type="dxa"/>
            <w:vAlign w:val="center"/>
          </w:tcPr>
          <w:p>
            <w:pPr>
              <w:spacing w:line="300" w:lineRule="exact"/>
              <w:jc w:val="left"/>
              <w:rPr>
                <w:rFonts w:hint="eastAsia" w:ascii="仿宋" w:eastAsia="仿宋"/>
              </w:rPr>
            </w:pPr>
          </w:p>
        </w:tc>
        <w:tc>
          <w:tcPr>
            <w:tcW w:w="735" w:type="dxa"/>
            <w:vAlign w:val="center"/>
          </w:tcPr>
          <w:p>
            <w:pPr>
              <w:spacing w:line="300" w:lineRule="exact"/>
              <w:jc w:val="center"/>
              <w:rPr>
                <w:rFonts w:ascii="仿宋" w:eastAsia="仿宋"/>
              </w:rPr>
            </w:pPr>
            <w:r>
              <w:rPr>
                <w:rFonts w:hint="eastAsia" w:ascii="仿宋" w:eastAsia="仿宋"/>
                <w:lang w:val="en-US" w:eastAsia="zh-CN"/>
              </w:rPr>
              <w:t>优</w:t>
            </w:r>
          </w:p>
        </w:tc>
        <w:tc>
          <w:tcPr>
            <w:tcW w:w="630" w:type="dxa"/>
            <w:vAlign w:val="center"/>
          </w:tcPr>
          <w:p>
            <w:pPr>
              <w:spacing w:line="300" w:lineRule="exact"/>
              <w:jc w:val="center"/>
              <w:rPr>
                <w:rFonts w:hint="eastAsia" w:ascii="仿宋" w:eastAsia="仿宋"/>
              </w:rPr>
            </w:pPr>
          </w:p>
        </w:tc>
        <w:tc>
          <w:tcPr>
            <w:tcW w:w="630" w:type="dxa"/>
            <w:vAlign w:val="center"/>
          </w:tcPr>
          <w:p>
            <w:pPr>
              <w:spacing w:line="300" w:lineRule="exact"/>
              <w:jc w:val="center"/>
              <w:rPr>
                <w:rFonts w:hint="eastAsia" w:ascii="仿宋" w:eastAsia="仿宋"/>
              </w:rPr>
            </w:pPr>
          </w:p>
        </w:tc>
        <w:tc>
          <w:tcPr>
            <w:tcW w:w="630" w:type="dxa"/>
            <w:vAlign w:val="center"/>
          </w:tcPr>
          <w:p>
            <w:pPr>
              <w:spacing w:line="300" w:lineRule="exact"/>
              <w:jc w:val="center"/>
              <w:rPr>
                <w:rFonts w:hint="eastAsia" w:ascii="仿宋" w:eastAsia="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42" w:type="dxa"/>
            <w:vAlign w:val="center"/>
          </w:tcPr>
          <w:p>
            <w:pPr>
              <w:spacing w:line="300" w:lineRule="exact"/>
              <w:jc w:val="left"/>
              <w:rPr>
                <w:rFonts w:hint="eastAsia" w:ascii="仿宋" w:eastAsia="仿宋"/>
                <w:b/>
              </w:rPr>
            </w:pPr>
            <w:r>
              <w:rPr>
                <w:rFonts w:hint="eastAsia" w:ascii="仿宋" w:eastAsia="仿宋"/>
                <w:b/>
              </w:rPr>
              <w:t>　　</w:t>
            </w:r>
            <w:r>
              <w:rPr>
                <w:rFonts w:ascii="仿宋" w:eastAsia="仿宋"/>
                <w:b/>
              </w:rPr>
              <w:t>1</w:t>
            </w:r>
            <w:r>
              <w:rPr>
                <w:rFonts w:hint="eastAsia" w:ascii="仿宋" w:eastAsia="仿宋"/>
                <w:b/>
              </w:rPr>
              <w:t>、综合事务管理</w:t>
            </w:r>
          </w:p>
        </w:tc>
        <w:tc>
          <w:tcPr>
            <w:tcW w:w="628" w:type="dxa"/>
            <w:vAlign w:val="center"/>
          </w:tcPr>
          <w:p>
            <w:pPr>
              <w:spacing w:line="300" w:lineRule="exact"/>
              <w:jc w:val="left"/>
              <w:rPr>
                <w:rFonts w:ascii="仿宋" w:eastAsia="仿宋"/>
              </w:rPr>
            </w:pPr>
            <w:r>
              <w:rPr>
                <w:rFonts w:ascii="仿宋" w:eastAsia="仿宋"/>
              </w:rPr>
              <w:t>12.00</w:t>
            </w:r>
          </w:p>
        </w:tc>
        <w:tc>
          <w:tcPr>
            <w:tcW w:w="1785" w:type="dxa"/>
            <w:vAlign w:val="center"/>
          </w:tcPr>
          <w:p>
            <w:pPr>
              <w:spacing w:line="300" w:lineRule="exact"/>
              <w:jc w:val="left"/>
              <w:rPr>
                <w:rFonts w:hint="eastAsia" w:ascii="仿宋" w:eastAsia="仿宋"/>
              </w:rPr>
            </w:pPr>
            <w:r>
              <w:rPr>
                <w:rFonts w:hint="eastAsia" w:ascii="仿宋" w:eastAsia="仿宋"/>
              </w:rPr>
              <w:t>档案、信息、机关各类会议、财务、机要、保密、安全保卫、固定资产、车辆等管理和后勤保障工作。</w:t>
            </w:r>
          </w:p>
        </w:tc>
        <w:tc>
          <w:tcPr>
            <w:tcW w:w="1890" w:type="dxa"/>
            <w:vAlign w:val="center"/>
          </w:tcPr>
          <w:p>
            <w:pPr>
              <w:spacing w:line="300" w:lineRule="exact"/>
              <w:jc w:val="left"/>
              <w:rPr>
                <w:rFonts w:hint="eastAsia" w:ascii="仿宋" w:eastAsia="仿宋"/>
              </w:rPr>
            </w:pPr>
            <w:r>
              <w:rPr>
                <w:rFonts w:hint="eastAsia" w:ascii="仿宋" w:eastAsia="仿宋"/>
              </w:rPr>
              <w:t>保证工商联日常工作正常运转</w:t>
            </w:r>
          </w:p>
        </w:tc>
        <w:tc>
          <w:tcPr>
            <w:tcW w:w="1274" w:type="dxa"/>
            <w:vAlign w:val="center"/>
          </w:tcPr>
          <w:p>
            <w:pPr>
              <w:spacing w:line="300" w:lineRule="exact"/>
              <w:jc w:val="left"/>
              <w:rPr>
                <w:rFonts w:ascii="仿宋" w:eastAsia="仿宋"/>
                <w:lang w:val="en-US" w:eastAsia="zh-CN"/>
              </w:rPr>
            </w:pPr>
            <w:r>
              <w:rPr>
                <w:rFonts w:hint="eastAsia" w:ascii="仿宋" w:eastAsia="仿宋"/>
              </w:rPr>
              <w:t>综合事务工作完成率</w:t>
            </w:r>
            <w:r>
              <w:rPr>
                <w:rFonts w:hint="eastAsia" w:ascii="仿宋" w:eastAsia="仿宋"/>
                <w:lang w:val="en-US" w:eastAsia="zh-CN"/>
              </w:rPr>
              <w:t>100%</w:t>
            </w:r>
          </w:p>
        </w:tc>
        <w:tc>
          <w:tcPr>
            <w:tcW w:w="735" w:type="dxa"/>
            <w:vAlign w:val="center"/>
          </w:tcPr>
          <w:p>
            <w:pPr>
              <w:spacing w:line="300" w:lineRule="exact"/>
              <w:jc w:val="center"/>
              <w:rPr>
                <w:rFonts w:ascii="仿宋" w:eastAsia="仿宋"/>
              </w:rPr>
            </w:pPr>
            <w:r>
              <w:rPr>
                <w:rFonts w:hint="eastAsia" w:ascii="仿宋" w:eastAsia="仿宋"/>
                <w:lang w:val="en-US" w:eastAsia="zh-CN"/>
              </w:rPr>
              <w:t>优</w:t>
            </w:r>
          </w:p>
        </w:tc>
        <w:tc>
          <w:tcPr>
            <w:tcW w:w="630" w:type="dxa"/>
            <w:vAlign w:val="center"/>
          </w:tcPr>
          <w:p>
            <w:pPr>
              <w:spacing w:line="300" w:lineRule="exact"/>
              <w:jc w:val="center"/>
              <w:rPr>
                <w:rFonts w:hint="eastAsia" w:ascii="仿宋" w:eastAsia="仿宋"/>
              </w:rPr>
            </w:pPr>
          </w:p>
        </w:tc>
        <w:tc>
          <w:tcPr>
            <w:tcW w:w="630" w:type="dxa"/>
            <w:vAlign w:val="center"/>
          </w:tcPr>
          <w:p>
            <w:pPr>
              <w:spacing w:line="300" w:lineRule="exact"/>
              <w:jc w:val="center"/>
              <w:rPr>
                <w:rFonts w:hint="eastAsia" w:ascii="仿宋" w:eastAsia="仿宋"/>
              </w:rPr>
            </w:pPr>
          </w:p>
        </w:tc>
        <w:tc>
          <w:tcPr>
            <w:tcW w:w="630" w:type="dxa"/>
            <w:vAlign w:val="center"/>
          </w:tcPr>
          <w:p>
            <w:pPr>
              <w:spacing w:line="300" w:lineRule="exact"/>
              <w:jc w:val="center"/>
              <w:rPr>
                <w:rFonts w:hint="eastAsia" w:ascii="仿宋" w:eastAsia="仿宋"/>
              </w:rPr>
            </w:pPr>
          </w:p>
        </w:tc>
      </w:tr>
    </w:tbl>
    <w:p>
      <w:pPr>
        <w:pStyle w:val="3"/>
        <w:spacing w:before="0" w:after="0" w:line="580" w:lineRule="exact"/>
        <w:ind w:firstLine="640" w:firstLineChars="200"/>
        <w:rPr>
          <w:rFonts w:ascii="黑体" w:eastAsia="黑体" w:cs="Times New Roman"/>
          <w:b w:val="0"/>
          <w:bCs w:val="0"/>
        </w:rPr>
      </w:pP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本部门2018年度机关运行经费支出</w:t>
      </w:r>
      <w:r>
        <w:rPr>
          <w:rFonts w:hint="eastAsia" w:ascii="仿宋_GB2312" w:eastAsia="仿宋_GB2312" w:cs="DengXian-Regular"/>
          <w:sz w:val="32"/>
          <w:szCs w:val="32"/>
          <w:lang w:val="en-US" w:eastAsia="zh-CN"/>
        </w:rPr>
        <w:t>5.95</w:t>
      </w:r>
      <w:r>
        <w:rPr>
          <w:rFonts w:hint="eastAsia" w:ascii="仿宋_GB2312" w:eastAsia="仿宋_GB2312" w:cs="DengXian-Regular"/>
          <w:sz w:val="32"/>
          <w:szCs w:val="32"/>
        </w:rPr>
        <w:t>万元，比年初预算数减少</w:t>
      </w:r>
      <w:r>
        <w:rPr>
          <w:rFonts w:hint="eastAsia" w:ascii="仿宋_GB2312" w:eastAsia="仿宋_GB2312" w:cs="DengXian-Regular"/>
          <w:sz w:val="32"/>
          <w:szCs w:val="32"/>
          <w:lang w:val="en-US" w:eastAsia="zh-CN"/>
        </w:rPr>
        <w:t>3.61</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37.76</w:t>
      </w:r>
      <w:r>
        <w:rPr>
          <w:rFonts w:hint="eastAsia" w:ascii="仿宋_GB2312" w:eastAsia="仿宋_GB2312" w:cs="DengXian-Regular"/>
          <w:sz w:val="32"/>
          <w:szCs w:val="32"/>
        </w:rPr>
        <w:t xml:space="preserve"> </w:t>
      </w:r>
      <w:r>
        <w:rPr>
          <w:rFonts w:eastAsia="仿宋_GB2312"/>
          <w:sz w:val="32"/>
          <w:szCs w:val="32"/>
        </w:rPr>
        <w:t>%</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压减经费支出</w:t>
      </w:r>
      <w:r>
        <w:rPr>
          <w:rFonts w:hint="eastAsia" w:ascii="仿宋_GB2312" w:eastAsia="仿宋_GB2312" w:cs="DengXian-Regular"/>
          <w:sz w:val="32"/>
          <w:szCs w:val="32"/>
        </w:rPr>
        <w:t>。</w:t>
      </w:r>
      <w:r>
        <w:rPr>
          <w:rFonts w:eastAsia="仿宋_GB2312"/>
          <w:sz w:val="32"/>
          <w:szCs w:val="32"/>
        </w:rPr>
        <w:t>较201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14.75</w:t>
      </w:r>
      <w:r>
        <w:rPr>
          <w:rFonts w:eastAsia="仿宋_GB2312"/>
          <w:sz w:val="32"/>
          <w:szCs w:val="32"/>
        </w:rPr>
        <w:t>万元，降低</w:t>
      </w:r>
      <w:r>
        <w:rPr>
          <w:rFonts w:hint="eastAsia" w:eastAsia="仿宋_GB2312"/>
          <w:sz w:val="32"/>
          <w:szCs w:val="32"/>
          <w:lang w:val="en-US" w:eastAsia="zh-CN"/>
        </w:rPr>
        <w:t>71.26</w:t>
      </w:r>
      <w:r>
        <w:rPr>
          <w:rFonts w:eastAsia="仿宋_GB2312"/>
          <w:sz w:val="32"/>
          <w:szCs w:val="32"/>
        </w:rPr>
        <w:t>%，主要是</w:t>
      </w:r>
      <w:r>
        <w:rPr>
          <w:rFonts w:hint="eastAsia" w:ascii="仿宋_GB2312" w:eastAsia="仿宋_GB2312" w:cs="DengXian-Regular"/>
          <w:sz w:val="32"/>
          <w:szCs w:val="32"/>
          <w:lang w:eastAsia="zh-CN"/>
        </w:rPr>
        <w:t>厉行节约，压减支出</w:t>
      </w:r>
      <w:r>
        <w:rPr>
          <w:rFonts w:eastAsia="仿宋_GB2312"/>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本部门2018年度政府采购支出总额</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 xml:space="preserve">万元、政府采购服务支出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 xml:space="preserve">万元，占政府采购支出总额的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截至2018年12月31日，本部门共有车辆</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辆，比上年增加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辆，主要是</w:t>
      </w:r>
      <w:r>
        <w:rPr>
          <w:rFonts w:hint="eastAsia" w:ascii="仿宋_GB2312" w:eastAsia="仿宋_GB2312" w:cs="DengXian-Regular"/>
          <w:sz w:val="32"/>
          <w:szCs w:val="32"/>
          <w:lang w:eastAsia="zh-CN"/>
        </w:rPr>
        <w:t>未发生增加车辆</w:t>
      </w:r>
      <w:r>
        <w:rPr>
          <w:rFonts w:hint="eastAsia" w:ascii="仿宋_GB2312" w:eastAsia="仿宋_GB2312" w:cs="DengXian-Regular"/>
          <w:sz w:val="32"/>
          <w:szCs w:val="32"/>
        </w:rPr>
        <w:t>。其中，副部（省）级及以上领导用车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辆，主要领导干部用车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辆，机要通信用车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辆，应急保障用车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辆，执法执勤用车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辆，特种专业技术用车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辆，离退休干部用车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辆，其他用车</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辆，其他用车主要是</w:t>
      </w:r>
      <w:r>
        <w:rPr>
          <w:rFonts w:hint="eastAsia" w:ascii="仿宋_GB2312" w:eastAsia="仿宋_GB2312" w:cs="DengXian-Regular"/>
          <w:sz w:val="32"/>
          <w:szCs w:val="32"/>
          <w:lang w:eastAsia="zh-CN"/>
        </w:rPr>
        <w:t>单位公务用车</w:t>
      </w:r>
      <w:r>
        <w:rPr>
          <w:rFonts w:hint="eastAsia" w:ascii="仿宋_GB2312"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台，比上年增加</w:t>
      </w:r>
      <w:r>
        <w:rPr>
          <w:rFonts w:hint="eastAsia" w:ascii="仿宋_GB2312" w:eastAsia="仿宋_GB2312" w:cs="DengXian-Regular"/>
          <w:sz w:val="32"/>
          <w:szCs w:val="32"/>
          <w:lang w:val="en-US" w:eastAsia="zh-CN"/>
        </w:rPr>
        <w:t>0台</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未发生购置设备</w:t>
      </w:r>
      <w:r>
        <w:rPr>
          <w:rFonts w:hint="eastAsia" w:ascii="仿宋_GB2312" w:eastAsia="仿宋_GB2312" w:cs="DengXian-Regular"/>
          <w:sz w:val="32"/>
          <w:szCs w:val="32"/>
        </w:rPr>
        <w:t xml:space="preserve"> ，单位价值</w:t>
      </w:r>
      <w:r>
        <w:rPr>
          <w:rFonts w:hint="eastAsia"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lang w:eastAsia="zh-CN"/>
        </w:rPr>
        <w:t>台，</w:t>
      </w:r>
      <w:r>
        <w:rPr>
          <w:rFonts w:hint="eastAsia" w:ascii="仿宋_GB2312" w:eastAsia="仿宋_GB2312" w:cs="DengXian-Regular"/>
          <w:sz w:val="32"/>
          <w:szCs w:val="32"/>
        </w:rPr>
        <w:t>比上年增加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lang w:eastAsia="zh-CN"/>
        </w:rPr>
        <w:t>台</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未发生购置设备</w:t>
      </w:r>
      <w:r>
        <w:rPr>
          <w:rFonts w:hint="eastAsia" w:ascii="仿宋_GB2312" w:eastAsia="仿宋_GB2312" w:cs="DengXian-Regular"/>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hint="eastAsia" w:ascii="仿宋_GB2312" w:eastAsia="仿宋_GB2312" w:cs="DengXian-Regular"/>
          <w:sz w:val="32"/>
          <w:szCs w:val="32"/>
          <w:lang w:val="en-US" w:eastAsia="zh-CN"/>
        </w:rPr>
      </w:pPr>
      <w:r>
        <w:rPr>
          <w:rFonts w:hint="eastAsia" w:ascii="仿宋_GB2312" w:eastAsia="仿宋_GB2312" w:cs="DengXian-Regular"/>
          <w:sz w:val="32"/>
          <w:szCs w:val="32"/>
        </w:rPr>
        <w:t>1、本部门2018年度</w:t>
      </w:r>
      <w:r>
        <w:rPr>
          <w:rFonts w:hint="eastAsia" w:ascii="仿宋_GB2312" w:eastAsia="仿宋_GB2312" w:cs="DengXian-Regular"/>
          <w:sz w:val="32"/>
          <w:szCs w:val="32"/>
          <w:lang w:eastAsia="zh-CN"/>
        </w:rPr>
        <w:t>末</w:t>
      </w:r>
      <w:r>
        <w:rPr>
          <w:rFonts w:hint="eastAsia" w:ascii="仿宋_GB2312" w:eastAsia="仿宋_GB2312" w:cs="DengXian-Regular"/>
          <w:sz w:val="32"/>
          <w:szCs w:val="32"/>
        </w:rPr>
        <w:t>结转</w:t>
      </w:r>
      <w:r>
        <w:rPr>
          <w:rFonts w:hint="eastAsia" w:ascii="仿宋_GB2312" w:eastAsia="仿宋_GB2312" w:cs="DengXian-Regular"/>
          <w:sz w:val="32"/>
          <w:szCs w:val="32"/>
          <w:lang w:eastAsia="zh-CN"/>
        </w:rPr>
        <w:t>资金</w:t>
      </w:r>
      <w:r>
        <w:rPr>
          <w:rFonts w:hint="eastAsia" w:ascii="仿宋_GB2312" w:eastAsia="仿宋_GB2312" w:cs="DengXian-Regular"/>
          <w:sz w:val="32"/>
          <w:szCs w:val="32"/>
          <w:lang w:val="en-US" w:eastAsia="zh-CN"/>
        </w:rPr>
        <w:t>5.87万元，结转资金为人员增资补助及部分项目资金。</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w:t>
      </w:r>
      <w:bookmarkStart w:id="0" w:name="_GoBack"/>
      <w:bookmarkEnd w:id="0"/>
      <w:r>
        <w:rPr>
          <w:rFonts w:hint="eastAsia" w:ascii="仿宋_GB2312" w:eastAsia="仿宋_GB2312" w:cs="DengXian-Regular"/>
          <w:sz w:val="32"/>
          <w:szCs w:val="32"/>
        </w:rPr>
        <w:t>当保留两位小数，公开数据为四舍五入计算结果，个别数据合计项与分项之和存在小数点后差额，特此说明。</w:t>
      </w:r>
    </w:p>
    <w:p>
      <w:pPr>
        <w:widowControl/>
        <w:spacing w:after="0" w:line="580" w:lineRule="exact"/>
        <w:ind w:firstLine="883" w:firstLineChars="200"/>
        <w:jc w:val="left"/>
        <w:rPr>
          <w:rFonts w:cs="MS-UIGothic,Bold" w:asciiTheme="majorEastAsia" w:hAnsiTheme="majorEastAsia" w:eastAsiaTheme="majorEastAsia"/>
          <w:b/>
          <w:bCs/>
          <w:kern w:val="0"/>
          <w:sz w:val="44"/>
          <w:szCs w:val="44"/>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r>
        <w:rPr>
          <w:rFonts w:hint="eastAsia" w:ascii="黑体" w:eastAsia="黑体"/>
          <w:color w:val="000000"/>
          <w:sz w:val="96"/>
          <w:szCs w:val="96"/>
        </w:rPr>
        <w:t>第四部分</w:t>
      </w:r>
    </w:p>
    <w:p>
      <w:pPr>
        <w:widowControl/>
        <w:spacing w:line="1200" w:lineRule="exact"/>
        <w:jc w:val="center"/>
        <w:rPr>
          <w:color w:val="000000"/>
          <w:sz w:val="96"/>
          <w:szCs w:val="96"/>
        </w:rPr>
      </w:pPr>
      <w:r>
        <w:rPr>
          <w:rFonts w:hint="eastAsia" w:ascii="黑体" w:eastAsia="黑体"/>
          <w:color w:val="000000"/>
          <w:sz w:val="96"/>
          <w:szCs w:val="96"/>
        </w:rPr>
        <w:t>名词解释</w:t>
      </w:r>
    </w:p>
    <w:p>
      <w:pPr>
        <w:rPr>
          <w:rFonts w:ascii="宋体" w:cs="ArialUnicodeMS"/>
          <w:color w:val="000000"/>
          <w:kern w:val="0"/>
        </w:rPr>
        <w:sectPr>
          <w:pgSz w:w="11906" w:h="16838"/>
          <w:pgMar w:top="1588" w:right="2098" w:bottom="1474" w:left="1984" w:header="851" w:footer="992" w:gutter="0"/>
          <w:cols w:space="720" w:num="1"/>
          <w:docGrid w:type="lines" w:linePitch="312" w:charSpace="0"/>
        </w:sectPr>
      </w:pP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（一）财政拨款收入：</w:t>
      </w:r>
      <w:r>
        <w:rPr>
          <w:rFonts w:hint="eastAsia" w:ascii="仿宋_GB2312"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（二）事业收入：</w:t>
      </w:r>
      <w:r>
        <w:rPr>
          <w:rFonts w:hint="eastAsia" w:ascii="仿宋_GB2312" w:eastAsia="仿宋_GB2312"/>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（三）其他收入：</w:t>
      </w:r>
      <w:r>
        <w:rPr>
          <w:rFonts w:hint="eastAsia" w:ascii="仿宋_GB2312" w:eastAsia="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（四）用事业基金弥补收支差额：</w:t>
      </w:r>
      <w:r>
        <w:rPr>
          <w:rFonts w:hint="eastAsia" w:ascii="仿宋_GB2312"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（五）年初结转和结余：</w:t>
      </w:r>
      <w:r>
        <w:rPr>
          <w:rFonts w:hint="eastAsia" w:ascii="仿宋_GB2312"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（六）结余分配：</w:t>
      </w:r>
      <w:r>
        <w:rPr>
          <w:rFonts w:hint="eastAsia" w:ascii="仿宋_GB2312" w:eastAsia="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（七）年末结转和结余：</w:t>
      </w:r>
      <w:r>
        <w:rPr>
          <w:rFonts w:hint="eastAsia" w:ascii="仿宋_GB2312"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（八）基本支出：</w:t>
      </w:r>
      <w:r>
        <w:rPr>
          <w:rFonts w:hint="eastAsia" w:ascii="仿宋_GB2312" w:eastAsia="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（九）项目支出：</w:t>
      </w:r>
      <w:r>
        <w:rPr>
          <w:rFonts w:hint="eastAsia" w:ascii="仿宋_GB2312"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（十）资本性支出（基本建设）：</w:t>
      </w:r>
      <w:r>
        <w:rPr>
          <w:rFonts w:hint="eastAsia" w:ascii="仿宋_GB2312" w:eastAsia="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（十一）资本性支出：</w:t>
      </w:r>
      <w:r>
        <w:rPr>
          <w:rFonts w:hint="eastAsia" w:ascii="仿宋_GB2312" w:eastAsia="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（十二）“三公”经费：</w:t>
      </w:r>
      <w:r>
        <w:rPr>
          <w:rFonts w:hint="eastAsia" w:ascii="仿宋_GB2312"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（十三）其他交通费用：</w:t>
      </w:r>
      <w:r>
        <w:rPr>
          <w:rFonts w:hint="eastAsia" w:ascii="仿宋_GB2312" w:eastAsia="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（十四）公务用车购置：</w:t>
      </w:r>
      <w:r>
        <w:rPr>
          <w:rFonts w:hint="eastAsia" w:ascii="仿宋_GB2312" w:eastAsia="仿宋_GB2312"/>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（十五）其他交通工具购置：</w:t>
      </w:r>
      <w:r>
        <w:rPr>
          <w:rFonts w:hint="eastAsia" w:ascii="仿宋_GB2312" w:eastAsia="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（十六）机关运行经费：</w:t>
      </w:r>
      <w:r>
        <w:rPr>
          <w:rFonts w:hint="eastAsia" w:ascii="仿宋_GB2312"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kern w:val="0"/>
          <w:sz w:val="32"/>
          <w:szCs w:val="32"/>
        </w:rPr>
      </w:pPr>
      <w:r>
        <w:rPr>
          <w:rFonts w:hint="eastAsia" w:ascii="仿宋_GB2312" w:eastAsia="仿宋_GB2312"/>
          <w:b/>
          <w:bCs/>
          <w:color w:val="000000"/>
          <w:kern w:val="0"/>
          <w:sz w:val="32"/>
          <w:szCs w:val="32"/>
        </w:rPr>
        <w:t>（十七）经费形式:</w:t>
      </w:r>
      <w:r>
        <w:rPr>
          <w:rFonts w:hint="eastAsia" w:ascii="仿宋_GB2312" w:eastAsia="仿宋_GB2312"/>
          <w:color w:val="000000"/>
          <w:kern w:val="0"/>
          <w:sz w:val="32"/>
          <w:szCs w:val="32"/>
        </w:rPr>
        <w:t>按照经费来源，</w:t>
      </w:r>
      <w:r>
        <w:rPr>
          <w:rFonts w:hint="eastAsia" w:ascii="仿宋_GB2312" w:eastAsia="仿宋_GB2312" w:cs="ArialUnicodeMS"/>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rPr>
          <w:rFonts w:ascii="仿宋_GB2312" w:eastAsia="仿宋_GB2312" w:cs="ArialUnicodeMS"/>
          <w:kern w:val="0"/>
          <w:sz w:val="32"/>
          <w:szCs w:val="32"/>
        </w:rPr>
      </w:pPr>
    </w:p>
    <w:sectPr>
      <w:pgSz w:w="11906" w:h="16838"/>
      <w:pgMar w:top="1588" w:right="2098" w:bottom="1474" w:left="1985"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MS-UIGothic,Bold">
    <w:altName w:val="Malgun Gothic"/>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algun Gothic">
    <w:panose1 w:val="020B0503020000020004"/>
    <w:charset w:val="81"/>
    <w:family w:val="auto"/>
    <w:pitch w:val="default"/>
    <w:sig w:usb0="900002AF" w:usb1="01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pPr>
        <w:tabs>
          <w:tab w:val="left" w:pos="0"/>
        </w:tabs>
        <w:ind w:left="0" w:firstLine="0"/>
      </w:pPr>
      <w:rPr>
        <w:rFonts w:hint="eastAsia"/>
      </w:rPr>
    </w:lvl>
  </w:abstractNum>
  <w:abstractNum w:abstractNumId="1">
    <w:nsid w:val="5DC16651"/>
    <w:multiLevelType w:val="singleLevel"/>
    <w:tmpl w:val="5DC16651"/>
    <w:lvl w:ilvl="0" w:tentative="0">
      <w:start w:val="1"/>
      <w:numFmt w:val="chineseCounting"/>
      <w:suff w:val="nothing"/>
      <w:lvlText w:val="（%1）"/>
      <w:lvlJc w:val="left"/>
      <w:pPr>
        <w:tabs>
          <w:tab w:val="left" w:pos="0"/>
        </w:tabs>
        <w:ind w:left="0" w:firstLine="0"/>
      </w:pPr>
    </w:lvl>
  </w:abstractNum>
  <w:abstractNum w:abstractNumId="2">
    <w:nsid w:val="5DC166DD"/>
    <w:multiLevelType w:val="singleLevel"/>
    <w:tmpl w:val="5DC166DD"/>
    <w:lvl w:ilvl="0" w:tentative="0">
      <w:start w:val="3"/>
      <w:numFmt w:val="chineseCounting"/>
      <w:suff w:val="nothing"/>
      <w:lvlText w:val="（%1）"/>
      <w:lvlJc w:val="left"/>
      <w:pPr>
        <w:tabs>
          <w:tab w:val="left"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noPunctuationKerning w:val="1"/>
  <w:characterSpacingControl w:val="compressPunctuation"/>
  <w:compat>
    <w:spaceForUL/>
    <w:balanceSingleByteDoubleByteWidth/>
    <w:ulTrailSpace/>
    <w:doNotExpandShiftReturn/>
    <w:adjustLineHeightInTable/>
    <w:growAutofit/>
    <w:useFELayout/>
    <w:compatSetting w:name="compatibilityMode" w:uri="http://schemas.microsoft.com/office/word" w:val="14"/>
  </w:compat>
  <w:rsids>
    <w:rsidRoot w:val="00000000"/>
    <w:rsid w:val="07744582"/>
    <w:rsid w:val="190A3722"/>
    <w:rsid w:val="32BC6CF6"/>
    <w:rsid w:val="77E530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1"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qFormat/>
    <w:uiPriority w:val="0"/>
    <w:pPr>
      <w:keepNext/>
      <w:keepLines/>
      <w:widowControl w:val="0"/>
      <w:spacing w:before="260" w:after="260" w:line="415" w:lineRule="auto"/>
      <w:outlineLvl w:val="1"/>
    </w:pPr>
    <w:rPr>
      <w:rFonts w:ascii="Calibri" w:hAnsi="Calibri" w:eastAsia="宋体" w:cs="Arial"/>
      <w:b/>
      <w:bCs/>
      <w:sz w:val="32"/>
      <w:szCs w:val="32"/>
    </w:rPr>
  </w:style>
  <w:style w:type="paragraph" w:styleId="4">
    <w:name w:val="heading 3"/>
    <w:basedOn w:val="1"/>
    <w:next w:val="1"/>
    <w:qFormat/>
    <w:uiPriority w:val="0"/>
    <w:pPr>
      <w:keepNext/>
      <w:keepLines/>
      <w:widowControl w:val="0"/>
      <w:spacing w:before="260" w:after="260" w:line="415" w:lineRule="auto"/>
      <w:outlineLvl w:val="2"/>
    </w:pPr>
    <w:rPr>
      <w:b/>
      <w:bCs/>
      <w:sz w:val="32"/>
      <w:szCs w:val="32"/>
    </w:rPr>
  </w:style>
  <w:style w:type="paragraph" w:styleId="5">
    <w:name w:val="heading 4"/>
    <w:basedOn w:val="1"/>
    <w:next w:val="1"/>
    <w:qFormat/>
    <w:uiPriority w:val="0"/>
    <w:pPr>
      <w:keepNext/>
      <w:keepLines/>
      <w:widowControl w:val="0"/>
      <w:spacing w:before="280" w:after="290" w:line="377" w:lineRule="auto"/>
      <w:outlineLvl w:val="3"/>
    </w:pPr>
    <w:rPr>
      <w:rFonts w:ascii="Calibri" w:hAnsi="Calibri" w:eastAsia="宋体" w:cs="Arial"/>
      <w:b/>
      <w:bCs/>
      <w:sz w:val="28"/>
      <w:szCs w:val="28"/>
    </w:rPr>
  </w:style>
  <w:style w:type="character" w:default="1" w:styleId="14">
    <w:name w:val="Default Paragraph Font"/>
    <w:qFormat/>
    <w:uiPriority w:val="0"/>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qFormat/>
    <w:uiPriority w:val="0"/>
    <w:pPr>
      <w:ind w:left="2500" w:leftChars="2500"/>
    </w:p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rFonts w:ascii="Cambria" w:hAnsi="Cambria" w:eastAsia="黑体" w:cs="Times New Roman"/>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ascii="Cambria" w:hAnsi="Cambria" w:eastAsia="黑体" w:cs="Times New Roman"/>
      <w:sz w:val="18"/>
      <w:szCs w:val="18"/>
    </w:rPr>
  </w:style>
  <w:style w:type="paragraph" w:styleId="10">
    <w:name w:val="Subtitle"/>
    <w:basedOn w:val="1"/>
    <w:next w:val="1"/>
    <w:qFormat/>
    <w:uiPriority w:val="0"/>
    <w:pPr>
      <w:widowControl/>
      <w:spacing w:after="200" w:line="276" w:lineRule="auto"/>
      <w:jc w:val="left"/>
    </w:pPr>
    <w:rPr>
      <w:rFonts w:ascii="Calibri" w:hAnsi="Calibri" w:eastAsia="宋体" w:cs="Arial"/>
      <w:i/>
      <w:iCs/>
      <w:color w:val="F0A22E"/>
      <w:spacing w:val="15"/>
      <w:kern w:val="0"/>
      <w:sz w:val="24"/>
    </w:rPr>
  </w:style>
  <w:style w:type="paragraph" w:styleId="11">
    <w:name w:val="Title"/>
    <w:basedOn w:val="1"/>
    <w:next w:val="1"/>
    <w:qFormat/>
    <w:uiPriority w:val="0"/>
    <w:pPr>
      <w:widowControl/>
      <w:pBdr>
        <w:bottom w:val="single" w:color="F0A22E" w:sz="8" w:space="4"/>
      </w:pBdr>
      <w:spacing w:after="300"/>
      <w:contextualSpacing/>
      <w:jc w:val="left"/>
    </w:pPr>
    <w:rPr>
      <w:rFonts w:ascii="Calibri" w:hAnsi="Calibri" w:eastAsia="宋体" w:cs="Arial"/>
      <w:color w:val="3A2C23"/>
      <w:spacing w:val="5"/>
      <w:kern w:val="28"/>
      <w:sz w:val="52"/>
      <w:szCs w:val="52"/>
    </w:rPr>
  </w:style>
  <w:style w:type="table" w:styleId="13">
    <w:name w:val="Table Grid"/>
    <w:basedOn w:val="12"/>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15">
    <w:name w:val="No Spacing"/>
    <w:qFormat/>
    <w:uiPriority w:val="0"/>
    <w:pPr>
      <w:spacing w:after="160" w:line="480" w:lineRule="auto"/>
    </w:pPr>
    <w:rPr>
      <w:rFonts w:ascii="Cambria" w:hAnsi="Cambria" w:eastAsia="黑体" w:cs="Times New Roman"/>
      <w:sz w:val="22"/>
      <w:szCs w:val="22"/>
      <w:lang w:val="en-US" w:eastAsia="zh-CN" w:bidi="ar-SA"/>
    </w:rPr>
  </w:style>
  <w:style w:type="character" w:customStyle="1" w:styleId="16">
    <w:name w:val="Style1"/>
    <w:basedOn w:val="14"/>
    <w:qFormat/>
    <w:uiPriority w:val="0"/>
    <w:rPr>
      <w:rFonts w:ascii="Cambria" w:hAnsi="Cambria" w:eastAsia="黑体" w:cs="Times New Roman"/>
      <w:sz w:val="22"/>
      <w:szCs w:val="22"/>
      <w:lang w:eastAsia="zh-CN"/>
    </w:rPr>
  </w:style>
  <w:style w:type="character" w:customStyle="1" w:styleId="17">
    <w:name w:val="Style2"/>
    <w:basedOn w:val="14"/>
    <w:qFormat/>
    <w:uiPriority w:val="0"/>
    <w:rPr>
      <w:rFonts w:ascii="Cambria" w:hAnsi="Cambria" w:eastAsia="黑体" w:cs="Times New Roman"/>
      <w:sz w:val="22"/>
      <w:szCs w:val="22"/>
      <w:lang w:eastAsia="zh-CN"/>
    </w:rPr>
  </w:style>
  <w:style w:type="character" w:customStyle="1" w:styleId="18">
    <w:name w:val="Style3"/>
    <w:basedOn w:val="14"/>
    <w:qFormat/>
    <w:uiPriority w:val="0"/>
    <w:rPr>
      <w:rFonts w:ascii="Cambria" w:hAnsi="Cambria" w:eastAsia="黑体" w:cs="Times New Roman"/>
      <w:szCs w:val="22"/>
      <w:lang w:eastAsia="zh-CN"/>
    </w:rPr>
  </w:style>
  <w:style w:type="character" w:customStyle="1" w:styleId="19">
    <w:name w:val="Style4"/>
    <w:basedOn w:val="14"/>
    <w:qFormat/>
    <w:uiPriority w:val="0"/>
    <w:rPr>
      <w:rFonts w:ascii="Cambria" w:hAnsi="Cambria" w:eastAsia="黑体" w:cs="Times New Roman"/>
      <w:szCs w:val="22"/>
      <w:lang w:eastAsia="zh-CN"/>
    </w:rPr>
  </w:style>
  <w:style w:type="character" w:customStyle="1" w:styleId="20">
    <w:name w:val="Style5"/>
    <w:basedOn w:val="14"/>
    <w:qFormat/>
    <w:uiPriority w:val="0"/>
    <w:rPr>
      <w:rFonts w:ascii="Cambria" w:hAnsi="Cambria" w:eastAsia="黑体" w:cs="Times New Roman"/>
      <w:sz w:val="22"/>
      <w:szCs w:val="22"/>
      <w:lang w:eastAsia="zh-CN"/>
    </w:rPr>
  </w:style>
  <w:style w:type="paragraph" w:customStyle="1" w:styleId="21">
    <w:name w:val="List Paragraph"/>
    <w:basedOn w:val="1"/>
    <w:qFormat/>
    <w:uiPriority w:val="0"/>
    <w:pPr>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21</Pages>
  <Words>5112</Words>
  <Characters>5448</Characters>
  <Lines>562</Lines>
  <Paragraphs>167</Paragraphs>
  <TotalTime>13</TotalTime>
  <ScaleCrop>false</ScaleCrop>
  <LinksUpToDate>false</LinksUpToDate>
  <CharactersWithSpaces>5486</CharactersWithSpaces>
  <Application>WPS Office_11.1.0.10000_F1E327BC-269C-435d-A152-05C5408002CA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Administrator</cp:lastModifiedBy>
  <cp:lastPrinted>2019-11-08T01:56:00Z</cp:lastPrinted>
  <dcterms:modified xsi:type="dcterms:W3CDTF">2021-05-31T09:04:15Z</dcterms:modified>
  <dc:subject>石家庄市xxx部门</dc:subject>
  <dc:title>2017年度部门决算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A9E3E1F9C2554ED8A3C402E4B838842E</vt:lpwstr>
  </property>
</Properties>
</file>