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0C" w:rsidRDefault="00CF240C">
      <w:pPr>
        <w:widowControl/>
        <w:spacing w:line="1200" w:lineRule="exact"/>
        <w:jc w:val="center"/>
        <w:rPr>
          <w:sz w:val="84"/>
          <w:szCs w:val="84"/>
        </w:rPr>
      </w:pPr>
    </w:p>
    <w:p w:rsidR="00CF240C" w:rsidRDefault="00CF240C">
      <w:pPr>
        <w:widowControl/>
        <w:spacing w:line="1200" w:lineRule="exact"/>
        <w:jc w:val="center"/>
        <w:rPr>
          <w:sz w:val="84"/>
          <w:szCs w:val="84"/>
        </w:rPr>
      </w:pPr>
    </w:p>
    <w:p w:rsidR="00CF240C" w:rsidRDefault="004B1808">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rsidR="00CF240C" w:rsidRDefault="004B1808">
      <w:pPr>
        <w:widowControl/>
        <w:spacing w:line="1200" w:lineRule="exact"/>
        <w:jc w:val="center"/>
        <w:rPr>
          <w:color w:val="000000"/>
          <w:sz w:val="96"/>
          <w:szCs w:val="96"/>
        </w:rPr>
      </w:pPr>
      <w:r>
        <w:rPr>
          <w:sz w:val="84"/>
          <w:szCs w:val="84"/>
        </w:rPr>
        <w:t>公开</w:t>
      </w:r>
    </w:p>
    <w:p w:rsidR="00CF240C" w:rsidRDefault="00CF240C">
      <w:pPr>
        <w:widowControl/>
        <w:jc w:val="center"/>
        <w:rPr>
          <w:rFonts w:ascii="黑体" w:eastAsia="黑体"/>
          <w:color w:val="002060"/>
          <w:sz w:val="72"/>
          <w:szCs w:val="72"/>
        </w:rPr>
      </w:pPr>
    </w:p>
    <w:p w:rsidR="00CF240C" w:rsidRDefault="00CF240C">
      <w:pPr>
        <w:widowControl/>
        <w:jc w:val="center"/>
        <w:rPr>
          <w:rFonts w:ascii="黑体" w:eastAsia="黑体"/>
          <w:color w:val="002060"/>
          <w:sz w:val="72"/>
          <w:szCs w:val="72"/>
        </w:rPr>
      </w:pPr>
    </w:p>
    <w:p w:rsidR="00CF240C" w:rsidRDefault="00CF240C">
      <w:pPr>
        <w:widowControl/>
        <w:jc w:val="center"/>
        <w:rPr>
          <w:rFonts w:ascii="黑体" w:eastAsia="黑体"/>
          <w:color w:val="002060"/>
          <w:sz w:val="72"/>
          <w:szCs w:val="72"/>
        </w:rPr>
      </w:pPr>
    </w:p>
    <w:p w:rsidR="00CF240C" w:rsidRDefault="00CF240C">
      <w:pPr>
        <w:widowControl/>
        <w:jc w:val="center"/>
        <w:rPr>
          <w:rFonts w:ascii="黑体" w:eastAsia="黑体"/>
          <w:color w:val="002060"/>
          <w:sz w:val="72"/>
          <w:szCs w:val="72"/>
        </w:rPr>
      </w:pPr>
    </w:p>
    <w:p w:rsidR="00CF240C" w:rsidRDefault="00CF240C">
      <w:pPr>
        <w:widowControl/>
        <w:jc w:val="center"/>
        <w:rPr>
          <w:rFonts w:ascii="黑体" w:eastAsia="黑体"/>
          <w:b/>
          <w:sz w:val="72"/>
          <w:szCs w:val="72"/>
        </w:rPr>
      </w:pPr>
    </w:p>
    <w:p w:rsidR="00CF240C" w:rsidRDefault="004B1808" w:rsidP="00CF240C">
      <w:pPr>
        <w:widowControl/>
        <w:ind w:firstLineChars="400" w:firstLine="1767"/>
        <w:rPr>
          <w:rFonts w:ascii="楷体" w:eastAsia="楷体" w:cs="楷体"/>
          <w:b/>
          <w:sz w:val="44"/>
          <w:szCs w:val="44"/>
        </w:rPr>
        <w:sectPr w:rsidR="00CF240C">
          <w:pgSz w:w="11906" w:h="16838"/>
          <w:pgMar w:top="1588" w:right="2098" w:bottom="1474" w:left="1985" w:header="851" w:footer="992" w:gutter="0"/>
          <w:cols w:space="720"/>
          <w:docGrid w:type="lines" w:linePitch="312"/>
        </w:sectPr>
      </w:pPr>
      <w:r>
        <w:rPr>
          <w:rFonts w:hint="eastAsia"/>
          <w:b/>
          <w:sz w:val="44"/>
          <w:szCs w:val="44"/>
        </w:rPr>
        <w:t>中共大城县老干部局</w:t>
      </w:r>
    </w:p>
    <w:p w:rsidR="00CF240C" w:rsidRDefault="004B1808" w:rsidP="00CF240C">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rsidR="00CF240C" w:rsidRDefault="00CF240C">
      <w:pPr>
        <w:widowControl/>
        <w:spacing w:line="580" w:lineRule="exact"/>
        <w:ind w:firstLineChars="200" w:firstLine="640"/>
        <w:rPr>
          <w:rFonts w:eastAsia="黑体"/>
          <w:sz w:val="32"/>
          <w:szCs w:val="32"/>
        </w:rPr>
      </w:pPr>
    </w:p>
    <w:p w:rsidR="00CF240C" w:rsidRDefault="004B1808">
      <w:pPr>
        <w:widowControl/>
        <w:spacing w:line="580" w:lineRule="exact"/>
        <w:ind w:firstLineChars="200" w:firstLine="640"/>
        <w:rPr>
          <w:rFonts w:eastAsia="仿宋_GB2312"/>
          <w:sz w:val="24"/>
          <w:szCs w:val="32"/>
        </w:rPr>
      </w:pPr>
      <w:r>
        <w:rPr>
          <w:rFonts w:eastAsia="黑体"/>
          <w:sz w:val="32"/>
          <w:szCs w:val="32"/>
        </w:rPr>
        <w:t>第一部分部门概况</w:t>
      </w:r>
    </w:p>
    <w:p w:rsidR="00CF240C" w:rsidRDefault="004B1808">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CF240C" w:rsidRDefault="004B1808">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CF240C" w:rsidRDefault="004B1808">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二、收入决算表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三、支出决算表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CF240C" w:rsidRDefault="00CF240C">
      <w:pPr>
        <w:widowControl/>
        <w:spacing w:line="580" w:lineRule="exact"/>
        <w:ind w:firstLineChars="200" w:firstLine="640"/>
        <w:rPr>
          <w:rFonts w:eastAsia="黑体"/>
          <w:sz w:val="32"/>
          <w:szCs w:val="32"/>
        </w:rPr>
      </w:pPr>
    </w:p>
    <w:p w:rsidR="00CF240C" w:rsidRDefault="004B1808">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大城县老干部局</w:t>
      </w:r>
      <w:r>
        <w:rPr>
          <w:rFonts w:eastAsia="黑体"/>
          <w:sz w:val="32"/>
          <w:szCs w:val="32"/>
        </w:rPr>
        <w:t>201</w:t>
      </w:r>
      <w:r>
        <w:rPr>
          <w:rFonts w:eastAsia="黑体" w:hint="eastAsia"/>
          <w:sz w:val="32"/>
          <w:szCs w:val="32"/>
        </w:rPr>
        <w:t>8</w:t>
      </w:r>
      <w:r>
        <w:rPr>
          <w:rFonts w:eastAsia="黑体"/>
          <w:sz w:val="32"/>
          <w:szCs w:val="32"/>
        </w:rPr>
        <w:t>年部门决算情况说明</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CF240C" w:rsidRDefault="004B1808">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CF240C" w:rsidRDefault="004B1808">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CF240C" w:rsidRDefault="004B1808">
      <w:pPr>
        <w:widowControl/>
        <w:spacing w:line="580" w:lineRule="exact"/>
        <w:ind w:firstLineChars="200" w:firstLine="640"/>
        <w:rPr>
          <w:rFonts w:eastAsia="黑体"/>
          <w:sz w:val="32"/>
          <w:szCs w:val="32"/>
        </w:rPr>
      </w:pPr>
      <w:r>
        <w:rPr>
          <w:rFonts w:eastAsia="黑体"/>
          <w:sz w:val="32"/>
          <w:szCs w:val="32"/>
        </w:rPr>
        <w:t>第四部分名词解释</w:t>
      </w:r>
    </w:p>
    <w:p w:rsidR="00CF240C" w:rsidRDefault="00CF240C">
      <w:pPr>
        <w:widowControl/>
        <w:spacing w:line="580" w:lineRule="exact"/>
        <w:ind w:firstLineChars="200" w:firstLine="640"/>
        <w:rPr>
          <w:rFonts w:eastAsia="黑体"/>
          <w:sz w:val="32"/>
          <w:szCs w:val="32"/>
        </w:rPr>
      </w:pPr>
    </w:p>
    <w:p w:rsidR="00CF240C" w:rsidRDefault="00CF240C">
      <w:pPr>
        <w:widowControl/>
        <w:spacing w:line="580" w:lineRule="exact"/>
        <w:ind w:firstLineChars="200" w:firstLine="640"/>
        <w:rPr>
          <w:rFonts w:eastAsia="黑体"/>
          <w:sz w:val="32"/>
          <w:szCs w:val="32"/>
        </w:rPr>
      </w:pPr>
    </w:p>
    <w:p w:rsidR="00CF240C" w:rsidRDefault="00CF240C">
      <w:pPr>
        <w:widowControl/>
        <w:spacing w:line="580" w:lineRule="exact"/>
        <w:ind w:firstLineChars="200" w:firstLine="640"/>
        <w:rPr>
          <w:rFonts w:eastAsia="黑体"/>
          <w:sz w:val="32"/>
          <w:szCs w:val="32"/>
        </w:rPr>
      </w:pPr>
    </w:p>
    <w:p w:rsidR="00CF240C" w:rsidRDefault="00CF240C">
      <w:pPr>
        <w:widowControl/>
        <w:spacing w:line="580" w:lineRule="exact"/>
        <w:ind w:firstLineChars="200" w:firstLine="640"/>
        <w:rPr>
          <w:rFonts w:eastAsia="黑体"/>
          <w:sz w:val="32"/>
          <w:szCs w:val="32"/>
        </w:rPr>
      </w:pPr>
    </w:p>
    <w:p w:rsidR="00CF240C" w:rsidRDefault="004B1808">
      <w:r>
        <w:br w:type="page"/>
      </w:r>
    </w:p>
    <w:p w:rsidR="00CF240C" w:rsidRDefault="00CF240C"/>
    <w:p w:rsidR="00CF240C" w:rsidRDefault="00CF240C"/>
    <w:p w:rsidR="00CF240C" w:rsidRDefault="00CF240C"/>
    <w:p w:rsidR="00CF240C" w:rsidRDefault="00CF240C"/>
    <w:p w:rsidR="00CF240C" w:rsidRDefault="00CF240C"/>
    <w:p w:rsidR="00CF240C" w:rsidRDefault="00CF240C"/>
    <w:p w:rsidR="00CF240C" w:rsidRDefault="004B1808">
      <w:pPr>
        <w:widowControl/>
        <w:jc w:val="center"/>
        <w:rPr>
          <w:color w:val="000000"/>
          <w:sz w:val="96"/>
          <w:szCs w:val="96"/>
        </w:rPr>
      </w:pPr>
      <w:r>
        <w:rPr>
          <w:rFonts w:ascii="黑体" w:eastAsia="黑体" w:hint="eastAsia"/>
          <w:color w:val="000000"/>
          <w:sz w:val="96"/>
          <w:szCs w:val="96"/>
        </w:rPr>
        <w:t>第一部分</w:t>
      </w:r>
      <w:r>
        <w:rPr>
          <w:rFonts w:ascii="黑体" w:eastAsia="黑体" w:hint="eastAsia"/>
          <w:color w:val="000000"/>
          <w:sz w:val="96"/>
          <w:szCs w:val="96"/>
        </w:rPr>
        <w:t xml:space="preserve">  </w:t>
      </w:r>
      <w:r>
        <w:rPr>
          <w:rFonts w:ascii="黑体" w:eastAsia="黑体" w:hint="eastAsia"/>
          <w:color w:val="000000"/>
          <w:sz w:val="96"/>
          <w:szCs w:val="96"/>
        </w:rPr>
        <w:t>部门概况</w:t>
      </w:r>
    </w:p>
    <w:p w:rsidR="00CF240C" w:rsidRDefault="00CF240C">
      <w:pPr>
        <w:jc w:val="center"/>
      </w:pPr>
    </w:p>
    <w:p w:rsidR="00CF240C" w:rsidRDefault="00CF240C"/>
    <w:p w:rsidR="00CF240C" w:rsidRDefault="00CF240C"/>
    <w:p w:rsidR="00CF240C" w:rsidRDefault="00CF240C">
      <w:pPr>
        <w:pStyle w:val="1"/>
        <w:spacing w:before="0" w:after="0" w:line="600" w:lineRule="exact"/>
        <w:jc w:val="left"/>
        <w:rPr>
          <w:rFonts w:ascii="黑体" w:eastAsia="黑体" w:cs="黑体"/>
          <w:b w:val="0"/>
          <w:bCs w:val="0"/>
          <w:kern w:val="0"/>
          <w:sz w:val="32"/>
          <w:szCs w:val="32"/>
        </w:rPr>
      </w:pPr>
    </w:p>
    <w:p w:rsidR="00CF240C" w:rsidRDefault="00CF240C">
      <w:pPr>
        <w:pStyle w:val="1"/>
        <w:spacing w:before="0" w:after="0" w:line="600" w:lineRule="exact"/>
        <w:jc w:val="left"/>
        <w:rPr>
          <w:rFonts w:ascii="黑体" w:eastAsia="黑体" w:cs="黑体"/>
          <w:b w:val="0"/>
          <w:bCs w:val="0"/>
          <w:kern w:val="0"/>
          <w:sz w:val="32"/>
          <w:szCs w:val="32"/>
        </w:rPr>
      </w:pPr>
    </w:p>
    <w:p w:rsidR="00CF240C" w:rsidRDefault="00CF240C">
      <w:pPr>
        <w:pStyle w:val="1"/>
        <w:spacing w:before="0" w:after="0" w:line="600" w:lineRule="exact"/>
        <w:jc w:val="left"/>
        <w:rPr>
          <w:rFonts w:ascii="黑体" w:eastAsia="黑体" w:cs="黑体"/>
          <w:b w:val="0"/>
          <w:bCs w:val="0"/>
          <w:kern w:val="0"/>
          <w:sz w:val="32"/>
          <w:szCs w:val="32"/>
        </w:rPr>
      </w:pPr>
    </w:p>
    <w:p w:rsidR="00CF240C" w:rsidRDefault="00CF240C">
      <w:pPr>
        <w:pStyle w:val="1"/>
        <w:spacing w:before="0" w:after="0" w:line="600" w:lineRule="exact"/>
        <w:jc w:val="left"/>
        <w:rPr>
          <w:rFonts w:ascii="黑体" w:eastAsia="黑体" w:cs="黑体"/>
          <w:b w:val="0"/>
          <w:bCs w:val="0"/>
          <w:kern w:val="0"/>
          <w:sz w:val="32"/>
          <w:szCs w:val="32"/>
        </w:rPr>
      </w:pPr>
    </w:p>
    <w:p w:rsidR="00CF240C" w:rsidRDefault="00CF240C">
      <w:pPr>
        <w:pStyle w:val="1"/>
        <w:spacing w:before="0" w:after="0" w:line="600" w:lineRule="exact"/>
        <w:jc w:val="left"/>
        <w:rPr>
          <w:rFonts w:ascii="黑体" w:eastAsia="黑体" w:cs="黑体"/>
          <w:b w:val="0"/>
          <w:bCs w:val="0"/>
          <w:kern w:val="0"/>
          <w:sz w:val="32"/>
          <w:szCs w:val="32"/>
        </w:rPr>
      </w:pPr>
    </w:p>
    <w:p w:rsidR="00CF240C" w:rsidRDefault="00CF240C"/>
    <w:p w:rsidR="00CF240C" w:rsidRDefault="004B1808">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一、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二、指导全县各单位落实老干部工作的方针、政策、规定，并对具体执行情况进行督促、检查。</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三、调查研究落实老干部政治待遇和生活待遇工作中存在的问题，并协助有关部门提出解决办法。</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四、指导老干部党支部建设和老干部思想政治工作。</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五、负责宣传老干部的历史功绩、现实作用和先进事迹，以及老干部工作的重要意义；</w:t>
      </w:r>
      <w:r>
        <w:rPr>
          <w:rFonts w:ascii="仿宋_GB2312" w:eastAsia="仿宋_GB2312" w:cs="仿宋_GB2312" w:hint="eastAsia"/>
          <w:sz w:val="32"/>
        </w:rPr>
        <w:t>引导老干部在新形势下发挥作用；总结老干部工作经验，表彰优秀老干部和老干部先进机构及个人。</w:t>
      </w:r>
    </w:p>
    <w:p w:rsidR="00CF240C" w:rsidRDefault="004B1808">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60" w:lineRule="exact"/>
        <w:rPr>
          <w:rFonts w:ascii="仿宋_GB2312" w:eastAsia="仿宋_GB2312" w:cs="仿宋_GB2312"/>
          <w:sz w:val="32"/>
        </w:rPr>
      </w:pPr>
      <w:r>
        <w:rPr>
          <w:rFonts w:ascii="仿宋_GB2312" w:eastAsia="仿宋_GB2312" w:cs="仿宋_GB2312" w:hint="eastAsia"/>
          <w:sz w:val="32"/>
        </w:rPr>
        <w:t xml:space="preserve">    </w:t>
      </w:r>
      <w:r>
        <w:rPr>
          <w:rFonts w:ascii="仿宋_GB2312" w:eastAsia="仿宋_GB2312" w:cs="仿宋_GB2312" w:hint="eastAsia"/>
          <w:sz w:val="32"/>
        </w:rPr>
        <w:t>六、承办县委、县政府和上级有关部门交办的其他事项。</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七、处理老干部来信来访；报告老干部工作信息；负责易地安置老干部的服务和管理工作。</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八、抓好本县老干部工作队伍的自身建设。</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ascii="仿宋_GB2312" w:eastAsia="仿宋_GB2312" w:cs="仿宋_GB2312" w:hint="eastAsia"/>
          <w:sz w:val="32"/>
        </w:rPr>
        <w:t>九、负责局管老干部的服务管理工作；按照有关规定接待外地来我县老干部和有关人员。</w:t>
      </w:r>
    </w:p>
    <w:p w:rsidR="00CF240C" w:rsidRDefault="004B1808">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60" w:lineRule="exact"/>
        <w:rPr>
          <w:rFonts w:ascii="仿宋_GB2312" w:eastAsia="仿宋_GB2312" w:cs="仿宋_GB2312"/>
          <w:sz w:val="32"/>
        </w:rPr>
      </w:pPr>
      <w:r>
        <w:rPr>
          <w:rFonts w:ascii="仿宋_GB2312" w:eastAsia="仿宋_GB2312" w:cs="仿宋_GB2312" w:hint="eastAsia"/>
          <w:sz w:val="32"/>
        </w:rPr>
        <w:t xml:space="preserve">    </w:t>
      </w:r>
      <w:r>
        <w:rPr>
          <w:rFonts w:ascii="仿宋_GB2312" w:eastAsia="仿宋_GB2312" w:cs="仿宋_GB2312" w:hint="eastAsia"/>
          <w:sz w:val="32"/>
        </w:rPr>
        <w:t>十、负责承担中共大城县委老干部工作领导小组办公室的日</w:t>
      </w:r>
      <w:r>
        <w:rPr>
          <w:rFonts w:ascii="仿宋_GB2312" w:eastAsia="仿宋_GB2312" w:cs="仿宋_GB2312" w:hint="eastAsia"/>
          <w:sz w:val="32"/>
        </w:rPr>
        <w:lastRenderedPageBreak/>
        <w:t>常工作。</w:t>
      </w:r>
    </w:p>
    <w:p w:rsidR="00CF240C" w:rsidRDefault="004B18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sz w:val="32"/>
        </w:rPr>
        <w:t>十一、指导各单位老干部活动站（室）的建设和管理；组织、指导老干部开展健康科学的文化健身、健康修养、参观全县建设成就等活动。</w:t>
      </w:r>
    </w:p>
    <w:p w:rsidR="00CF240C" w:rsidRDefault="00CF240C">
      <w:pPr>
        <w:autoSpaceDE w:val="0"/>
        <w:autoSpaceDN w:val="0"/>
        <w:adjustRightInd w:val="0"/>
        <w:spacing w:line="584" w:lineRule="exact"/>
        <w:jc w:val="left"/>
        <w:rPr>
          <w:rFonts w:eastAsia="仿宋_GB2312"/>
          <w:kern w:val="0"/>
          <w:sz w:val="32"/>
          <w:szCs w:val="32"/>
        </w:rPr>
      </w:pPr>
    </w:p>
    <w:p w:rsidR="00CF240C" w:rsidRDefault="004B1808" w:rsidP="00CF240C">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kern w:val="0"/>
        </w:rPr>
        <w:t>二、</w:t>
      </w:r>
      <w:r>
        <w:rPr>
          <w:rFonts w:ascii="Times New Roman" w:eastAsia="黑体" w:hAnsi="Times New Roman" w:hint="eastAsia"/>
          <w:kern w:val="0"/>
        </w:rPr>
        <w:t>中共大城县委老干部局</w:t>
      </w:r>
      <w:r>
        <w:rPr>
          <w:rFonts w:ascii="Times New Roman" w:eastAsia="黑体" w:hAnsi="Times New Roman"/>
          <w:kern w:val="0"/>
        </w:rPr>
        <w:t>部门决算单位构成</w:t>
      </w:r>
    </w:p>
    <w:p w:rsidR="00CF240C" w:rsidRDefault="004B180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p w:rsidR="00CF240C" w:rsidRDefault="00CF240C">
      <w:pPr>
        <w:spacing w:line="560" w:lineRule="exact"/>
        <w:outlineLvl w:val="0"/>
        <w:rPr>
          <w:rFonts w:ascii="仿宋_GB2312" w:eastAsia="仿宋_GB2312" w:cs="仿宋_GB2312"/>
          <w:sz w:val="32"/>
        </w:rPr>
      </w:pPr>
    </w:p>
    <w:tbl>
      <w:tblPr>
        <w:tblW w:w="96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2"/>
        <w:gridCol w:w="5292"/>
        <w:gridCol w:w="1934"/>
        <w:gridCol w:w="1611"/>
      </w:tblGrid>
      <w:tr w:rsidR="00CF240C">
        <w:trPr>
          <w:trHeight w:val="720"/>
          <w:tblHeader/>
          <w:jc w:val="center"/>
        </w:trPr>
        <w:tc>
          <w:tcPr>
            <w:tcW w:w="852" w:type="dxa"/>
            <w:vMerge w:val="restart"/>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5292" w:type="dxa"/>
            <w:vMerge w:val="restart"/>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1934" w:type="dxa"/>
            <w:vMerge w:val="restart"/>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1611" w:type="dxa"/>
            <w:vMerge w:val="restart"/>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CF240C">
        <w:trPr>
          <w:trHeight w:val="784"/>
          <w:tblHeader/>
          <w:jc w:val="center"/>
        </w:trPr>
        <w:tc>
          <w:tcPr>
            <w:tcW w:w="852" w:type="dxa"/>
            <w:vMerge/>
            <w:vAlign w:val="center"/>
          </w:tcPr>
          <w:p w:rsidR="00CF240C" w:rsidRDefault="00CF240C"/>
        </w:tc>
        <w:tc>
          <w:tcPr>
            <w:tcW w:w="5292" w:type="dxa"/>
            <w:vMerge/>
            <w:vAlign w:val="center"/>
          </w:tcPr>
          <w:p w:rsidR="00CF240C" w:rsidRDefault="00CF240C"/>
        </w:tc>
        <w:tc>
          <w:tcPr>
            <w:tcW w:w="1934" w:type="dxa"/>
            <w:vMerge/>
            <w:vAlign w:val="center"/>
          </w:tcPr>
          <w:p w:rsidR="00CF240C" w:rsidRDefault="00CF240C"/>
        </w:tc>
        <w:tc>
          <w:tcPr>
            <w:tcW w:w="1611" w:type="dxa"/>
            <w:vMerge/>
            <w:vAlign w:val="center"/>
          </w:tcPr>
          <w:p w:rsidR="00CF240C" w:rsidRDefault="00CF240C"/>
        </w:tc>
      </w:tr>
      <w:tr w:rsidR="00CF240C">
        <w:trPr>
          <w:trHeight w:val="210"/>
          <w:jc w:val="center"/>
        </w:trPr>
        <w:tc>
          <w:tcPr>
            <w:tcW w:w="852" w:type="dxa"/>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1</w:t>
            </w:r>
          </w:p>
        </w:tc>
        <w:tc>
          <w:tcPr>
            <w:tcW w:w="5292" w:type="dxa"/>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中共河北省大城县委老干部局</w:t>
            </w:r>
            <w:r>
              <w:rPr>
                <w:rFonts w:ascii="仿宋_GB2312" w:eastAsia="仿宋_GB2312" w:cs="ArialUnicodeMS" w:hint="eastAsia"/>
                <w:b/>
                <w:bCs/>
                <w:kern w:val="0"/>
                <w:sz w:val="28"/>
                <w:szCs w:val="28"/>
              </w:rPr>
              <w:t xml:space="preserve"> (</w:t>
            </w:r>
            <w:r>
              <w:rPr>
                <w:rFonts w:ascii="仿宋_GB2312" w:eastAsia="仿宋_GB2312" w:cs="ArialUnicodeMS" w:hint="eastAsia"/>
                <w:b/>
                <w:bCs/>
                <w:kern w:val="0"/>
                <w:sz w:val="28"/>
                <w:szCs w:val="28"/>
              </w:rPr>
              <w:t>本级</w:t>
            </w:r>
            <w:r>
              <w:rPr>
                <w:rFonts w:ascii="仿宋_GB2312" w:eastAsia="仿宋_GB2312" w:cs="ArialUnicodeMS" w:hint="eastAsia"/>
                <w:b/>
                <w:bCs/>
                <w:kern w:val="0"/>
                <w:sz w:val="28"/>
                <w:szCs w:val="28"/>
              </w:rPr>
              <w:t>)</w:t>
            </w:r>
          </w:p>
        </w:tc>
        <w:tc>
          <w:tcPr>
            <w:tcW w:w="1934" w:type="dxa"/>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行政单位</w:t>
            </w:r>
          </w:p>
        </w:tc>
        <w:tc>
          <w:tcPr>
            <w:tcW w:w="1611" w:type="dxa"/>
            <w:vAlign w:val="center"/>
          </w:tcPr>
          <w:p w:rsidR="00CF240C" w:rsidRDefault="004B180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财政拨款</w:t>
            </w:r>
          </w:p>
        </w:tc>
      </w:tr>
    </w:tbl>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spacing w:line="584" w:lineRule="exact"/>
        <w:jc w:val="center"/>
        <w:rPr>
          <w:rFonts w:eastAsia="黑体"/>
          <w:bCs/>
          <w:kern w:val="0"/>
          <w:sz w:val="52"/>
          <w:szCs w:val="52"/>
        </w:rPr>
      </w:pPr>
    </w:p>
    <w:p w:rsidR="00CF240C" w:rsidRDefault="00CF240C">
      <w:pPr>
        <w:widowControl/>
        <w:spacing w:line="1200" w:lineRule="exact"/>
        <w:rPr>
          <w:rFonts w:ascii="黑体" w:eastAsia="黑体"/>
          <w:color w:val="000000"/>
          <w:sz w:val="96"/>
          <w:szCs w:val="96"/>
        </w:rPr>
      </w:pPr>
    </w:p>
    <w:p w:rsidR="00CF240C" w:rsidRDefault="00CF240C">
      <w:pPr>
        <w:widowControl/>
        <w:spacing w:line="1200" w:lineRule="exact"/>
        <w:jc w:val="center"/>
        <w:rPr>
          <w:rFonts w:ascii="黑体" w:eastAsia="黑体"/>
          <w:color w:val="000000"/>
          <w:sz w:val="96"/>
          <w:szCs w:val="96"/>
        </w:rPr>
      </w:pPr>
    </w:p>
    <w:p w:rsidR="00CF240C" w:rsidRDefault="004B1808">
      <w:pPr>
        <w:widowControl/>
        <w:spacing w:line="1200" w:lineRule="exact"/>
        <w:jc w:val="center"/>
        <w:rPr>
          <w:rFonts w:ascii="黑体" w:eastAsia="黑体"/>
          <w:color w:val="000000"/>
          <w:sz w:val="72"/>
          <w:szCs w:val="72"/>
        </w:rPr>
      </w:pPr>
      <w:r>
        <w:rPr>
          <w:rFonts w:ascii="黑体" w:eastAsia="黑体" w:hint="eastAsia"/>
          <w:color w:val="000000"/>
          <w:sz w:val="72"/>
          <w:szCs w:val="72"/>
        </w:rPr>
        <w:t>第二部分</w:t>
      </w:r>
    </w:p>
    <w:p w:rsidR="00CF240C" w:rsidRDefault="004B1808">
      <w:pPr>
        <w:widowControl/>
        <w:spacing w:line="1200" w:lineRule="exact"/>
        <w:jc w:val="center"/>
        <w:rPr>
          <w:rFonts w:eastAsia="黑体"/>
          <w:color w:val="000000"/>
          <w:sz w:val="72"/>
          <w:szCs w:val="72"/>
        </w:rPr>
      </w:pPr>
      <w:r>
        <w:rPr>
          <w:rFonts w:ascii="黑体" w:eastAsia="黑体" w:hint="eastAsia"/>
          <w:color w:val="000000"/>
          <w:sz w:val="72"/>
          <w:szCs w:val="72"/>
        </w:rPr>
        <w:t>2018</w:t>
      </w:r>
      <w:r>
        <w:rPr>
          <w:rFonts w:ascii="黑体" w:eastAsia="黑体" w:hint="eastAsia"/>
          <w:color w:val="000000"/>
          <w:sz w:val="72"/>
          <w:szCs w:val="72"/>
        </w:rPr>
        <w:t>年度部门决算报表</w:t>
      </w:r>
    </w:p>
    <w:p w:rsidR="00CF240C" w:rsidRDefault="00CF240C">
      <w:pPr>
        <w:widowControl/>
        <w:spacing w:line="560" w:lineRule="exact"/>
        <w:jc w:val="center"/>
        <w:rPr>
          <w:rFonts w:ascii="黑体" w:eastAsia="黑体" w:cs="MS-UIGothic,Bold"/>
          <w:bCs/>
          <w:kern w:val="0"/>
          <w:sz w:val="52"/>
          <w:szCs w:val="52"/>
        </w:rPr>
      </w:pPr>
    </w:p>
    <w:p w:rsidR="00CF240C" w:rsidRDefault="00CF240C">
      <w:pPr>
        <w:widowControl/>
        <w:spacing w:line="560" w:lineRule="exact"/>
        <w:jc w:val="center"/>
        <w:rPr>
          <w:rFonts w:ascii="黑体" w:eastAsia="黑体" w:cs="MS-UIGothic,Bold"/>
          <w:bCs/>
          <w:kern w:val="0"/>
          <w:sz w:val="52"/>
          <w:szCs w:val="52"/>
        </w:rPr>
      </w:pPr>
    </w:p>
    <w:p w:rsidR="00CF240C" w:rsidRDefault="00CF240C">
      <w:pPr>
        <w:rPr>
          <w:rFonts w:ascii="宋体" w:cs="ArialUnicodeMS"/>
          <w:color w:val="000000"/>
          <w:kern w:val="0"/>
        </w:rPr>
      </w:pPr>
    </w:p>
    <w:p w:rsidR="00CF240C" w:rsidRDefault="00CF240C">
      <w:pPr>
        <w:rPr>
          <w:rFonts w:ascii="宋体" w:cs="ArialUnicodeMS"/>
          <w:color w:val="000000"/>
          <w:kern w:val="0"/>
        </w:rPr>
        <w:sectPr w:rsidR="00CF240C">
          <w:pgSz w:w="11906" w:h="16838"/>
          <w:pgMar w:top="2098" w:right="1474" w:bottom="1985" w:left="1588" w:header="851" w:footer="992" w:gutter="0"/>
          <w:cols w:space="720"/>
          <w:docGrid w:type="lines" w:linePitch="312"/>
        </w:sectPr>
      </w:pPr>
    </w:p>
    <w:p w:rsidR="00CF240C" w:rsidRDefault="00CF240C">
      <w:pPr>
        <w:widowControl/>
        <w:spacing w:line="1200" w:lineRule="exact"/>
        <w:jc w:val="center"/>
        <w:rPr>
          <w:rFonts w:ascii="黑体" w:eastAsia="黑体"/>
          <w:color w:val="000000"/>
          <w:sz w:val="96"/>
          <w:szCs w:val="96"/>
        </w:rPr>
      </w:pPr>
    </w:p>
    <w:p w:rsidR="00CF240C" w:rsidRDefault="00CF240C">
      <w:pPr>
        <w:widowControl/>
        <w:spacing w:line="1200" w:lineRule="exact"/>
        <w:jc w:val="center"/>
        <w:rPr>
          <w:rFonts w:ascii="黑体" w:eastAsia="黑体"/>
          <w:color w:val="000000"/>
          <w:sz w:val="96"/>
          <w:szCs w:val="96"/>
        </w:rPr>
      </w:pPr>
    </w:p>
    <w:p w:rsidR="00CF240C" w:rsidRDefault="00CF240C">
      <w:pPr>
        <w:widowControl/>
        <w:spacing w:line="1200" w:lineRule="exact"/>
        <w:jc w:val="center"/>
        <w:rPr>
          <w:rFonts w:ascii="黑体" w:eastAsia="黑体"/>
          <w:color w:val="000000"/>
          <w:sz w:val="96"/>
          <w:szCs w:val="96"/>
        </w:rPr>
      </w:pPr>
    </w:p>
    <w:p w:rsidR="00CF240C" w:rsidRDefault="004B1808">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CF240C" w:rsidRDefault="004B1808">
      <w:pPr>
        <w:widowControl/>
        <w:spacing w:line="1200" w:lineRule="exact"/>
        <w:jc w:val="center"/>
        <w:rPr>
          <w:color w:val="000000"/>
          <w:sz w:val="96"/>
          <w:szCs w:val="96"/>
        </w:rPr>
      </w:pPr>
      <w:r>
        <w:rPr>
          <w:rFonts w:ascii="黑体" w:eastAsia="黑体" w:hint="eastAsia"/>
          <w:color w:val="000000"/>
          <w:sz w:val="96"/>
          <w:szCs w:val="96"/>
        </w:rPr>
        <w:t>部门决算情况说明</w:t>
      </w:r>
    </w:p>
    <w:p w:rsidR="00CF240C" w:rsidRDefault="00CF240C">
      <w:pPr>
        <w:rPr>
          <w:rFonts w:ascii="宋体" w:cs="ArialUnicodeMS"/>
          <w:color w:val="000000"/>
          <w:kern w:val="0"/>
        </w:rPr>
        <w:sectPr w:rsidR="00CF240C">
          <w:pgSz w:w="11906" w:h="16838"/>
          <w:pgMar w:top="1588" w:right="2098" w:bottom="1474" w:left="1984" w:header="851" w:footer="992" w:gutter="0"/>
          <w:cols w:space="720"/>
          <w:docGrid w:type="lines" w:linePitch="312"/>
        </w:sectPr>
      </w:pPr>
    </w:p>
    <w:p w:rsidR="00CF240C" w:rsidRDefault="004B1808">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CF240C" w:rsidRDefault="004B1808">
      <w:pPr>
        <w:adjustRightInd w:val="0"/>
        <w:snapToGrid w:val="0"/>
        <w:spacing w:after="0" w:line="580" w:lineRule="exact"/>
        <w:ind w:firstLineChars="200" w:firstLine="640"/>
        <w:rPr>
          <w:rFonts w:ascii="仿宋_GB2312" w:eastAsia="仿宋_GB2312" w:cs="DengXian-Regular"/>
          <w:sz w:val="32"/>
          <w:szCs w:val="32"/>
        </w:rPr>
      </w:pPr>
      <w:r>
        <w:rPr>
          <w:rFonts w:eastAsia="仿宋_GB2312"/>
          <w:sz w:val="32"/>
          <w:szCs w:val="32"/>
        </w:rPr>
        <w:t>2018</w:t>
      </w:r>
      <w:r>
        <w:rPr>
          <w:rFonts w:ascii="仿宋_GB2312" w:eastAsia="仿宋_GB2312" w:cs="仿宋_GB2312" w:hint="eastAsia"/>
          <w:sz w:val="32"/>
          <w:szCs w:val="32"/>
        </w:rPr>
        <w:t>年度年初结转和结余</w:t>
      </w:r>
      <w:r>
        <w:rPr>
          <w:rFonts w:eastAsia="仿宋_GB2312"/>
          <w:sz w:val="32"/>
          <w:szCs w:val="32"/>
        </w:rPr>
        <w:t>2.36</w:t>
      </w:r>
      <w:r>
        <w:rPr>
          <w:rFonts w:ascii="仿宋_GB2312" w:eastAsia="仿宋_GB2312" w:cs="仿宋_GB2312" w:hint="eastAsia"/>
          <w:sz w:val="32"/>
          <w:szCs w:val="32"/>
        </w:rPr>
        <w:t>万元，本年收入</w:t>
      </w:r>
      <w:r>
        <w:rPr>
          <w:rFonts w:eastAsia="仿宋_GB2312"/>
          <w:sz w:val="32"/>
          <w:szCs w:val="32"/>
        </w:rPr>
        <w:t>1,053.85</w:t>
      </w:r>
      <w:r>
        <w:rPr>
          <w:rFonts w:ascii="仿宋_GB2312" w:eastAsia="仿宋_GB2312" w:cs="仿宋_GB2312" w:hint="eastAsia"/>
          <w:sz w:val="32"/>
          <w:szCs w:val="32"/>
        </w:rPr>
        <w:t>万元，本年支出</w:t>
      </w:r>
      <w:r>
        <w:rPr>
          <w:rFonts w:eastAsia="仿宋_GB2312"/>
          <w:sz w:val="32"/>
          <w:szCs w:val="32"/>
        </w:rPr>
        <w:t>1,039.59</w:t>
      </w:r>
      <w:r>
        <w:rPr>
          <w:rFonts w:ascii="仿宋_GB2312" w:eastAsia="仿宋_GB2312" w:cs="仿宋_GB2312" w:hint="eastAsia"/>
          <w:sz w:val="32"/>
          <w:szCs w:val="32"/>
        </w:rPr>
        <w:t>万元，用事业基金弥补收支差额</w:t>
      </w:r>
      <w:r>
        <w:rPr>
          <w:rFonts w:eastAsia="仿宋_GB2312"/>
          <w:sz w:val="32"/>
          <w:szCs w:val="32"/>
        </w:rPr>
        <w:t>0</w:t>
      </w:r>
      <w:r>
        <w:rPr>
          <w:rFonts w:ascii="仿宋_GB2312" w:eastAsia="仿宋_GB2312" w:cs="仿宋_GB2312" w:hint="eastAsia"/>
          <w:sz w:val="32"/>
          <w:szCs w:val="32"/>
        </w:rPr>
        <w:t>万元，结余分配</w:t>
      </w:r>
      <w:r>
        <w:rPr>
          <w:rFonts w:eastAsia="仿宋_GB2312"/>
          <w:sz w:val="32"/>
          <w:szCs w:val="32"/>
        </w:rPr>
        <w:t>0</w:t>
      </w:r>
      <w:r>
        <w:rPr>
          <w:rFonts w:ascii="仿宋_GB2312" w:eastAsia="仿宋_GB2312" w:cs="仿宋_GB2312" w:hint="eastAsia"/>
          <w:sz w:val="32"/>
          <w:szCs w:val="32"/>
        </w:rPr>
        <w:t>万元，年末结转和结余</w:t>
      </w:r>
      <w:r>
        <w:rPr>
          <w:rFonts w:eastAsia="仿宋_GB2312"/>
          <w:sz w:val="32"/>
          <w:szCs w:val="32"/>
        </w:rPr>
        <w:t>16.63</w:t>
      </w:r>
      <w:r>
        <w:rPr>
          <w:rFonts w:ascii="仿宋_GB2312" w:eastAsia="仿宋_GB2312" w:cs="仿宋_GB2312" w:hint="eastAsia"/>
          <w:sz w:val="32"/>
          <w:szCs w:val="32"/>
        </w:rPr>
        <w:t>万元。</w:t>
      </w:r>
      <w:r>
        <w:rPr>
          <w:rFonts w:ascii="Calibri" w:eastAsia="仿宋_GB2312" w:hAnsi="Calibri" w:hint="eastAsia"/>
          <w:sz w:val="32"/>
          <w:szCs w:val="32"/>
        </w:rPr>
        <w:t>比</w:t>
      </w:r>
      <w:r>
        <w:rPr>
          <w:rFonts w:ascii="Calibri" w:eastAsia="仿宋_GB2312" w:hAnsi="Calibri" w:hint="eastAsia"/>
          <w:sz w:val="32"/>
          <w:szCs w:val="32"/>
        </w:rPr>
        <w:t>2017</w:t>
      </w:r>
      <w:r>
        <w:rPr>
          <w:rFonts w:ascii="Calibri" w:eastAsia="仿宋_GB2312" w:hAnsi="Calibri" w:hint="eastAsia"/>
          <w:sz w:val="32"/>
          <w:szCs w:val="32"/>
        </w:rPr>
        <w:t>年决算收入增加</w:t>
      </w:r>
      <w:r>
        <w:rPr>
          <w:rFonts w:ascii="Calibri" w:eastAsia="仿宋_GB2312" w:hAnsi="Calibri" w:hint="eastAsia"/>
          <w:sz w:val="32"/>
          <w:szCs w:val="32"/>
        </w:rPr>
        <w:t>11.28</w:t>
      </w:r>
      <w:r>
        <w:rPr>
          <w:rFonts w:ascii="Calibri" w:eastAsia="仿宋_GB2312" w:hAnsi="Calibri" w:hint="eastAsia"/>
          <w:sz w:val="32"/>
          <w:szCs w:val="32"/>
        </w:rPr>
        <w:t>万元，增长</w:t>
      </w:r>
      <w:r>
        <w:rPr>
          <w:rFonts w:ascii="Calibri" w:eastAsia="仿宋_GB2312" w:hAnsi="Calibri" w:hint="eastAsia"/>
          <w:sz w:val="32"/>
          <w:szCs w:val="32"/>
        </w:rPr>
        <w:t>1.08%</w:t>
      </w:r>
      <w:r>
        <w:rPr>
          <w:rFonts w:ascii="Calibri" w:eastAsia="仿宋_GB2312" w:hAnsi="Calibri" w:hint="eastAsia"/>
          <w:sz w:val="32"/>
          <w:szCs w:val="32"/>
        </w:rPr>
        <w:t>，主要是增加了人员工资及保险支出等。支出部分：比</w:t>
      </w:r>
      <w:r>
        <w:rPr>
          <w:rFonts w:ascii="Calibri" w:eastAsia="仿宋_GB2312" w:hAnsi="Calibri" w:hint="eastAsia"/>
          <w:sz w:val="32"/>
          <w:szCs w:val="32"/>
        </w:rPr>
        <w:t>2017</w:t>
      </w:r>
      <w:r>
        <w:rPr>
          <w:rFonts w:ascii="Calibri" w:eastAsia="仿宋_GB2312" w:hAnsi="Calibri" w:hint="eastAsia"/>
          <w:sz w:val="32"/>
          <w:szCs w:val="32"/>
        </w:rPr>
        <w:t>年决算支出减少</w:t>
      </w:r>
      <w:r>
        <w:rPr>
          <w:rFonts w:ascii="Calibri" w:eastAsia="仿宋_GB2312" w:hAnsi="Calibri" w:hint="eastAsia"/>
          <w:sz w:val="32"/>
          <w:szCs w:val="32"/>
        </w:rPr>
        <w:t>0.78</w:t>
      </w:r>
      <w:r>
        <w:rPr>
          <w:rFonts w:ascii="Calibri" w:eastAsia="仿宋_GB2312" w:hAnsi="Calibri" w:hint="eastAsia"/>
          <w:sz w:val="32"/>
          <w:szCs w:val="32"/>
        </w:rPr>
        <w:t>万元，减少</w:t>
      </w:r>
      <w:r>
        <w:rPr>
          <w:rFonts w:ascii="Calibri" w:eastAsia="仿宋_GB2312" w:hAnsi="Calibri" w:hint="eastAsia"/>
          <w:sz w:val="32"/>
          <w:szCs w:val="32"/>
        </w:rPr>
        <w:t>0.07%</w:t>
      </w:r>
      <w:r>
        <w:rPr>
          <w:rFonts w:ascii="Calibri" w:eastAsia="仿宋_GB2312" w:hAnsi="Calibri" w:hint="eastAsia"/>
          <w:sz w:val="32"/>
          <w:szCs w:val="32"/>
        </w:rPr>
        <w:t>，主要是离休干部药费等支出。</w:t>
      </w:r>
    </w:p>
    <w:p w:rsidR="00CF240C" w:rsidRDefault="004B1808">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CF240C" w:rsidRDefault="004B180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16" behindDoc="0" locked="0" layoutInCell="1" allowOverlap="1">
            <wp:simplePos x="0" y="0"/>
            <wp:positionH relativeFrom="column">
              <wp:posOffset>-103505</wp:posOffset>
            </wp:positionH>
            <wp:positionV relativeFrom="paragraph">
              <wp:posOffset>988695</wp:posOffset>
            </wp:positionV>
            <wp:extent cx="5762625" cy="28384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3"/>
                    <pic:cNvPicPr/>
                  </pic:nvPicPr>
                  <pic:blipFill>
                    <a:blip r:embed="rId6" cstate="print"/>
                    <a:stretch>
                      <a:fillRect/>
                    </a:stretch>
                  </pic:blipFill>
                  <pic:spPr>
                    <a:xfrm>
                      <a:off x="0" y="0"/>
                      <a:ext cx="5762625" cy="2838450"/>
                    </a:xfrm>
                    <a:prstGeom prst="rect">
                      <a:avLst/>
                    </a:prstGeom>
                    <a:noFill/>
                    <a:ln w="9525" cap="flat" cmpd="sng">
                      <a:noFill/>
                      <a:prstDash val="solid"/>
                      <a:miter/>
                    </a:ln>
                  </pic:spPr>
                </pic:pic>
              </a:graphicData>
            </a:graphic>
          </wp:anchor>
        </w:drawing>
      </w:r>
      <w:r>
        <w:rPr>
          <w:rFonts w:ascii="仿宋_GB2312" w:eastAsia="仿宋_GB2312" w:cs="DengXian-Regular" w:hint="eastAsia"/>
          <w:sz w:val="32"/>
          <w:szCs w:val="32"/>
        </w:rPr>
        <w:t xml:space="preserve"> </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w:t>
      </w:r>
      <w:r>
        <w:rPr>
          <w:rFonts w:ascii="仿宋_GB2312" w:eastAsia="仿宋_GB2312" w:cs="DengXian-Regular" w:hint="eastAsia"/>
          <w:sz w:val="32"/>
          <w:szCs w:val="32"/>
        </w:rPr>
        <w:t>1053.85</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1051.85</w:t>
      </w:r>
      <w:r>
        <w:rPr>
          <w:rFonts w:ascii="仿宋_GB2312" w:eastAsia="仿宋_GB2312" w:cs="DengXian-Regular" w:hint="eastAsia"/>
          <w:sz w:val="32"/>
          <w:szCs w:val="32"/>
        </w:rPr>
        <w:t>万元，占</w:t>
      </w:r>
      <w:r>
        <w:rPr>
          <w:rFonts w:ascii="仿宋_GB2312" w:eastAsia="仿宋_GB2312" w:cs="DengXian-Regular" w:hint="eastAsia"/>
          <w:sz w:val="32"/>
          <w:szCs w:val="32"/>
        </w:rPr>
        <w:t>99.73%</w:t>
      </w:r>
      <w:r>
        <w:rPr>
          <w:rFonts w:ascii="仿宋_GB2312" w:eastAsia="仿宋_GB2312" w:cs="DengXian-Regular" w:hint="eastAsia"/>
          <w:sz w:val="32"/>
          <w:szCs w:val="32"/>
        </w:rPr>
        <w:t>，其他收入</w:t>
      </w:r>
      <w:r>
        <w:rPr>
          <w:rFonts w:ascii="仿宋_GB2312" w:eastAsia="仿宋_GB2312" w:cs="DengXian-Regular" w:hint="eastAsia"/>
          <w:sz w:val="32"/>
          <w:szCs w:val="32"/>
        </w:rPr>
        <w:t>2.8</w:t>
      </w:r>
      <w:r>
        <w:rPr>
          <w:rFonts w:ascii="仿宋_GB2312" w:eastAsia="仿宋_GB2312" w:cs="DengXian-Regular" w:hint="eastAsia"/>
          <w:sz w:val="32"/>
          <w:szCs w:val="32"/>
        </w:rPr>
        <w:t>万元，占</w:t>
      </w:r>
      <w:r>
        <w:rPr>
          <w:rFonts w:ascii="仿宋_GB2312" w:eastAsia="仿宋_GB2312" w:cs="DengXian-Regular" w:hint="eastAsia"/>
          <w:sz w:val="32"/>
          <w:szCs w:val="32"/>
        </w:rPr>
        <w:t>0.27%</w:t>
      </w:r>
      <w:r>
        <w:rPr>
          <w:rFonts w:ascii="仿宋_GB2312" w:eastAsia="仿宋_GB2312" w:cs="DengXian-Regular" w:hint="eastAsia"/>
          <w:sz w:val="32"/>
          <w:szCs w:val="32"/>
        </w:rPr>
        <w:t>。如图所示：</w:t>
      </w:r>
    </w:p>
    <w:p w:rsidR="00CF240C" w:rsidRDefault="004B1808">
      <w:pPr>
        <w:adjustRightInd w:val="0"/>
        <w:snapToGrid w:val="0"/>
        <w:spacing w:after="0" w:line="580" w:lineRule="exact"/>
        <w:jc w:val="center"/>
        <w:rPr>
          <w:rFonts w:ascii="仿宋_GB2312" w:eastAsia="仿宋_GB2312" w:cs="DengXian-Regular"/>
          <w:sz w:val="32"/>
          <w:szCs w:val="32"/>
        </w:rPr>
      </w:pPr>
      <w:r>
        <w:rPr>
          <w:rFonts w:ascii="仿宋_GB2312" w:eastAsia="仿宋_GB2312" w:cs="DengXian-Regular" w:hint="eastAsia"/>
          <w:sz w:val="32"/>
          <w:szCs w:val="32"/>
        </w:rPr>
        <w:t>图</w:t>
      </w:r>
      <w:r>
        <w:rPr>
          <w:rFonts w:ascii="仿宋_GB2312" w:eastAsia="仿宋_GB2312" w:cs="DengXian-Regular" w:hint="eastAsia"/>
          <w:sz w:val="32"/>
          <w:szCs w:val="32"/>
        </w:rPr>
        <w:t>1</w:t>
      </w:r>
      <w:r>
        <w:rPr>
          <w:rFonts w:ascii="仿宋_GB2312" w:eastAsia="仿宋_GB2312" w:cs="DengXian-Regular" w:hint="eastAsia"/>
          <w:sz w:val="32"/>
          <w:szCs w:val="32"/>
        </w:rPr>
        <w:t>：</w:t>
      </w:r>
      <w:r>
        <w:rPr>
          <w:rFonts w:ascii="仿宋_GB2312" w:eastAsia="仿宋_GB2312" w:cs="DengXian-Regular"/>
          <w:sz w:val="32"/>
          <w:szCs w:val="32"/>
        </w:rPr>
        <w:t>收入决算结构饼状图</w:t>
      </w:r>
    </w:p>
    <w:p w:rsidR="00CF240C" w:rsidRDefault="004B1808">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CF240C" w:rsidRDefault="004B180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1039.59</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1039.59</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项目。如图所示：</w:t>
      </w:r>
    </w:p>
    <w:p w:rsidR="00CF240C" w:rsidRDefault="004B1808">
      <w:pPr>
        <w:adjustRightInd w:val="0"/>
        <w:snapToGrid w:val="0"/>
        <w:spacing w:after="0" w:line="580" w:lineRule="exact"/>
        <w:rPr>
          <w:rFonts w:ascii="仿宋_GB2312" w:eastAsia="仿宋_GB2312" w:cs="DengXian-Regular"/>
          <w:sz w:val="32"/>
          <w:szCs w:val="32"/>
        </w:rPr>
      </w:pPr>
      <w:r>
        <w:rPr>
          <w:rFonts w:ascii="仿宋_GB2312" w:eastAsia="仿宋_GB2312" w:cs="DengXian-Regular"/>
          <w:noProof/>
          <w:sz w:val="32"/>
          <w:szCs w:val="32"/>
        </w:rPr>
        <w:drawing>
          <wp:anchor distT="0" distB="0" distL="114300" distR="114300" simplePos="0" relativeHeight="20" behindDoc="0" locked="0" layoutInCell="1" allowOverlap="1">
            <wp:simplePos x="0" y="0"/>
            <wp:positionH relativeFrom="column">
              <wp:posOffset>-55879</wp:posOffset>
            </wp:positionH>
            <wp:positionV relativeFrom="paragraph">
              <wp:posOffset>512444</wp:posOffset>
            </wp:positionV>
            <wp:extent cx="5867400" cy="368617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6"/>
                    <pic:cNvPicPr/>
                  </pic:nvPicPr>
                  <pic:blipFill>
                    <a:blip r:embed="rId7" cstate="print"/>
                    <a:stretch>
                      <a:fillRect/>
                    </a:stretch>
                  </pic:blipFill>
                  <pic:spPr>
                    <a:xfrm>
                      <a:off x="0" y="0"/>
                      <a:ext cx="5867400" cy="3686175"/>
                    </a:xfrm>
                    <a:prstGeom prst="rect">
                      <a:avLst/>
                    </a:prstGeom>
                    <a:noFill/>
                    <a:ln w="9525" cap="flat" cmpd="sng">
                      <a:noFill/>
                      <a:prstDash val="solid"/>
                      <a:miter/>
                    </a:ln>
                  </pic:spPr>
                </pic:pic>
              </a:graphicData>
            </a:graphic>
          </wp:anchor>
        </w:drawing>
      </w:r>
    </w:p>
    <w:p w:rsidR="00CF240C" w:rsidRDefault="004B1808">
      <w:pPr>
        <w:adjustRightInd w:val="0"/>
        <w:snapToGrid w:val="0"/>
        <w:spacing w:after="0" w:line="580" w:lineRule="exact"/>
        <w:ind w:firstLineChars="200" w:firstLine="420"/>
        <w:jc w:val="center"/>
        <w:rPr>
          <w:rFonts w:eastAsia="仿宋_GB2312"/>
          <w:sz w:val="32"/>
          <w:szCs w:val="32"/>
        </w:rPr>
      </w:pPr>
      <w:r>
        <w:rPr>
          <w:rFonts w:hint="eastAsia"/>
          <w:szCs w:val="32"/>
        </w:rPr>
        <w:t xml:space="preserve"> </w:t>
      </w:r>
      <w:r>
        <w:rPr>
          <w:rFonts w:eastAsia="仿宋_GB2312"/>
          <w:sz w:val="32"/>
          <w:szCs w:val="32"/>
        </w:rPr>
        <w:t>图</w:t>
      </w:r>
      <w:r>
        <w:rPr>
          <w:rFonts w:eastAsia="仿宋_GB2312"/>
          <w:sz w:val="32"/>
          <w:szCs w:val="32"/>
        </w:rPr>
        <w:t>2</w:t>
      </w:r>
      <w:r>
        <w:rPr>
          <w:rFonts w:eastAsia="仿宋_GB2312"/>
          <w:sz w:val="32"/>
          <w:szCs w:val="32"/>
        </w:rPr>
        <w:t>：支出决算结构饼状</w:t>
      </w:r>
      <w:r>
        <w:rPr>
          <w:rFonts w:eastAsia="仿宋_GB2312" w:hint="eastAsia"/>
          <w:sz w:val="32"/>
          <w:szCs w:val="32"/>
        </w:rPr>
        <w:t>图</w:t>
      </w:r>
    </w:p>
    <w:p w:rsidR="00CF240C" w:rsidRDefault="004B1808">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CF240C" w:rsidRDefault="004B1808" w:rsidP="00CF240C">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CF240C" w:rsidRDefault="004B1808">
      <w:pPr>
        <w:adjustRightInd w:val="0"/>
        <w:snapToGrid w:val="0"/>
        <w:spacing w:after="0" w:line="600" w:lineRule="exact"/>
        <w:ind w:firstLineChars="200" w:firstLine="640"/>
        <w:rPr>
          <w:rFonts w:eastAsia="仿宋_GB2312"/>
          <w:sz w:val="32"/>
          <w:szCs w:val="32"/>
        </w:rPr>
      </w:pPr>
      <w:r>
        <w:rPr>
          <w:rFonts w:ascii="仿宋_GB2312" w:eastAsia="仿宋_GB2312" w:cs="DengXian-Regular" w:hint="eastAsia"/>
          <w:sz w:val="32"/>
          <w:szCs w:val="32"/>
        </w:rPr>
        <w:t>本部门</w:t>
      </w:r>
      <w:r>
        <w:rPr>
          <w:rFonts w:eastAsia="仿宋_GB2312"/>
          <w:sz w:val="32"/>
          <w:szCs w:val="32"/>
        </w:rPr>
        <w:t>2018</w:t>
      </w:r>
      <w:r>
        <w:rPr>
          <w:rFonts w:ascii="仿宋_GB2312" w:eastAsia="仿宋_GB2312" w:cs="仿宋_GB2312" w:hint="eastAsia"/>
          <w:sz w:val="32"/>
          <w:szCs w:val="32"/>
        </w:rPr>
        <w:t>年度，财政拨款收入</w:t>
      </w:r>
      <w:r>
        <w:rPr>
          <w:rFonts w:eastAsia="仿宋_GB2312"/>
          <w:sz w:val="32"/>
          <w:szCs w:val="32"/>
        </w:rPr>
        <w:t>1,05</w:t>
      </w:r>
      <w:r>
        <w:rPr>
          <w:rFonts w:eastAsia="仿宋_GB2312" w:hint="eastAsia"/>
          <w:sz w:val="32"/>
          <w:szCs w:val="32"/>
        </w:rPr>
        <w:t>1.0</w:t>
      </w:r>
      <w:r>
        <w:rPr>
          <w:rFonts w:eastAsia="仿宋_GB2312"/>
          <w:sz w:val="32"/>
          <w:szCs w:val="32"/>
        </w:rPr>
        <w:t>5</w:t>
      </w:r>
      <w:r>
        <w:rPr>
          <w:rFonts w:ascii="仿宋_GB2312" w:eastAsia="仿宋_GB2312" w:cs="仿宋_GB2312" w:hint="eastAsia"/>
          <w:sz w:val="32"/>
          <w:szCs w:val="32"/>
        </w:rPr>
        <w:t>万元，本年支出</w:t>
      </w:r>
      <w:r>
        <w:rPr>
          <w:rFonts w:eastAsia="仿宋_GB2312"/>
          <w:sz w:val="32"/>
          <w:szCs w:val="32"/>
        </w:rPr>
        <w:t>1,03</w:t>
      </w:r>
      <w:r>
        <w:rPr>
          <w:rFonts w:eastAsia="仿宋_GB2312" w:hint="eastAsia"/>
          <w:sz w:val="32"/>
          <w:szCs w:val="32"/>
        </w:rPr>
        <w:t>6.79</w:t>
      </w:r>
      <w:r>
        <w:rPr>
          <w:rFonts w:ascii="仿宋_GB2312" w:eastAsia="仿宋_GB2312" w:cs="仿宋_GB2312" w:hint="eastAsia"/>
          <w:sz w:val="32"/>
          <w:szCs w:val="32"/>
        </w:rPr>
        <w:t>万元。</w:t>
      </w:r>
      <w:r>
        <w:rPr>
          <w:rFonts w:eastAsia="仿宋_GB2312"/>
          <w:sz w:val="32"/>
          <w:szCs w:val="32"/>
        </w:rPr>
        <w:t>与</w:t>
      </w:r>
      <w:r>
        <w:rPr>
          <w:rFonts w:eastAsia="仿宋_GB2312"/>
          <w:sz w:val="32"/>
          <w:szCs w:val="32"/>
        </w:rPr>
        <w:t>201</w:t>
      </w:r>
      <w:r>
        <w:rPr>
          <w:rFonts w:eastAsia="仿宋_GB2312" w:hint="eastAsia"/>
          <w:sz w:val="32"/>
          <w:szCs w:val="32"/>
        </w:rPr>
        <w:t>7</w:t>
      </w:r>
      <w:r>
        <w:rPr>
          <w:rFonts w:eastAsia="仿宋_GB2312"/>
          <w:sz w:val="32"/>
          <w:szCs w:val="32"/>
        </w:rPr>
        <w:t>年度决算相比，财政拨款本年收入增加</w:t>
      </w:r>
      <w:r>
        <w:rPr>
          <w:rFonts w:eastAsia="仿宋_GB2312" w:hint="eastAsia"/>
          <w:sz w:val="32"/>
          <w:szCs w:val="32"/>
        </w:rPr>
        <w:t>12.38</w:t>
      </w:r>
      <w:r>
        <w:rPr>
          <w:rFonts w:eastAsia="仿宋_GB2312"/>
          <w:sz w:val="32"/>
          <w:szCs w:val="32"/>
        </w:rPr>
        <w:t>万元，增长</w:t>
      </w:r>
      <w:r>
        <w:rPr>
          <w:rFonts w:eastAsia="仿宋_GB2312" w:hint="eastAsia"/>
          <w:sz w:val="32"/>
          <w:szCs w:val="32"/>
        </w:rPr>
        <w:t>1.19</w:t>
      </w:r>
      <w:r>
        <w:rPr>
          <w:rFonts w:eastAsia="仿宋_GB2312"/>
          <w:sz w:val="32"/>
          <w:szCs w:val="32"/>
        </w:rPr>
        <w:t>%</w:t>
      </w:r>
      <w:r>
        <w:rPr>
          <w:rFonts w:eastAsia="仿宋_GB2312"/>
          <w:sz w:val="32"/>
          <w:szCs w:val="32"/>
        </w:rPr>
        <w:t>，主要原因是</w:t>
      </w:r>
      <w:r>
        <w:rPr>
          <w:rFonts w:eastAsia="仿宋_GB2312" w:hint="eastAsia"/>
          <w:sz w:val="32"/>
          <w:szCs w:val="32"/>
        </w:rPr>
        <w:t>在职人员工资养老保险各项缴费增加</w:t>
      </w:r>
      <w:r>
        <w:rPr>
          <w:rFonts w:eastAsia="仿宋_GB2312"/>
          <w:sz w:val="32"/>
          <w:szCs w:val="32"/>
        </w:rPr>
        <w:t>；本年支出增加</w:t>
      </w:r>
      <w:r>
        <w:rPr>
          <w:rFonts w:eastAsia="仿宋_GB2312" w:hint="eastAsia"/>
          <w:sz w:val="32"/>
          <w:szCs w:val="32"/>
        </w:rPr>
        <w:t>0.32</w:t>
      </w:r>
      <w:r>
        <w:rPr>
          <w:rFonts w:eastAsia="仿宋_GB2312"/>
          <w:sz w:val="32"/>
          <w:szCs w:val="32"/>
        </w:rPr>
        <w:t>万元，增长</w:t>
      </w:r>
      <w:r>
        <w:rPr>
          <w:rFonts w:eastAsia="仿宋_GB2312" w:hint="eastAsia"/>
          <w:sz w:val="32"/>
          <w:szCs w:val="32"/>
        </w:rPr>
        <w:t>0.03</w:t>
      </w:r>
      <w:r>
        <w:rPr>
          <w:rFonts w:eastAsia="仿宋_GB2312"/>
          <w:sz w:val="32"/>
          <w:szCs w:val="32"/>
        </w:rPr>
        <w:t>%</w:t>
      </w:r>
      <w:r>
        <w:rPr>
          <w:rFonts w:eastAsia="仿宋_GB2312"/>
          <w:sz w:val="32"/>
          <w:szCs w:val="32"/>
        </w:rPr>
        <w:t>，主要原因是</w:t>
      </w:r>
      <w:r>
        <w:rPr>
          <w:rFonts w:eastAsia="仿宋_GB2312" w:hint="eastAsia"/>
          <w:sz w:val="32"/>
          <w:szCs w:val="32"/>
        </w:rPr>
        <w:lastRenderedPageBreak/>
        <w:t>在职人员工资养老保险各项缴费增加</w:t>
      </w:r>
      <w:r>
        <w:rPr>
          <w:rFonts w:eastAsia="仿宋_GB2312"/>
          <w:sz w:val="32"/>
          <w:szCs w:val="32"/>
        </w:rPr>
        <w:t>。其中，一般公共预算财</w:t>
      </w:r>
      <w:r>
        <w:rPr>
          <w:rFonts w:eastAsia="仿宋_GB2312" w:hint="eastAsia"/>
          <w:sz w:val="32"/>
          <w:szCs w:val="32"/>
        </w:rPr>
        <w:t>政</w:t>
      </w:r>
    </w:p>
    <w:p w:rsidR="00CF240C" w:rsidRDefault="004B1808">
      <w:pPr>
        <w:adjustRightInd w:val="0"/>
        <w:snapToGrid w:val="0"/>
        <w:spacing w:after="0" w:line="600" w:lineRule="exact"/>
        <w:rPr>
          <w:rFonts w:ascii="仿宋_GB2312" w:eastAsia="仿宋_GB2312" w:cs="DengXian-Regular"/>
          <w:sz w:val="32"/>
          <w:szCs w:val="32"/>
        </w:rPr>
      </w:pPr>
      <w:r>
        <w:rPr>
          <w:rFonts w:eastAsia="仿宋_GB2312"/>
          <w:sz w:val="32"/>
          <w:szCs w:val="32"/>
        </w:rPr>
        <w:t>拨款年初结转和结余</w:t>
      </w:r>
      <w:r>
        <w:rPr>
          <w:rFonts w:eastAsia="仿宋_GB2312" w:hint="eastAsia"/>
          <w:sz w:val="32"/>
          <w:szCs w:val="32"/>
        </w:rPr>
        <w:t>2.36</w:t>
      </w:r>
      <w:r>
        <w:rPr>
          <w:rFonts w:eastAsia="仿宋_GB2312"/>
          <w:sz w:val="32"/>
          <w:szCs w:val="32"/>
        </w:rPr>
        <w:t>万元、本年收入</w:t>
      </w:r>
      <w:r>
        <w:rPr>
          <w:rFonts w:eastAsia="仿宋_GB2312" w:hint="eastAsia"/>
          <w:sz w:val="32"/>
          <w:szCs w:val="32"/>
        </w:rPr>
        <w:t>1036.05</w:t>
      </w:r>
      <w:r>
        <w:rPr>
          <w:rFonts w:eastAsia="仿宋_GB2312"/>
          <w:sz w:val="32"/>
          <w:szCs w:val="32"/>
        </w:rPr>
        <w:t>万元；本年支出</w:t>
      </w:r>
      <w:r>
        <w:rPr>
          <w:rFonts w:eastAsia="仿宋_GB2312" w:hint="eastAsia"/>
          <w:sz w:val="32"/>
          <w:szCs w:val="32"/>
        </w:rPr>
        <w:t>1021.79</w:t>
      </w:r>
      <w:r>
        <w:rPr>
          <w:rFonts w:eastAsia="仿宋_GB2312"/>
          <w:sz w:val="32"/>
          <w:szCs w:val="32"/>
        </w:rPr>
        <w:t>万元、年末结转和结余</w:t>
      </w:r>
      <w:r>
        <w:rPr>
          <w:rFonts w:eastAsia="仿宋_GB2312" w:hint="eastAsia"/>
          <w:sz w:val="32"/>
          <w:szCs w:val="32"/>
        </w:rPr>
        <w:t>16.63</w:t>
      </w:r>
      <w:r>
        <w:rPr>
          <w:rFonts w:eastAsia="仿宋_GB2312"/>
          <w:sz w:val="32"/>
          <w:szCs w:val="32"/>
        </w:rPr>
        <w:t>万元。与</w:t>
      </w:r>
      <w:r>
        <w:rPr>
          <w:rFonts w:eastAsia="仿宋_GB2312"/>
          <w:sz w:val="32"/>
          <w:szCs w:val="32"/>
        </w:rPr>
        <w:t>201</w:t>
      </w:r>
      <w:r>
        <w:rPr>
          <w:rFonts w:eastAsia="仿宋_GB2312" w:hint="eastAsia"/>
          <w:sz w:val="32"/>
          <w:szCs w:val="32"/>
        </w:rPr>
        <w:t>7</w:t>
      </w:r>
      <w:r>
        <w:rPr>
          <w:rFonts w:eastAsia="仿宋_GB2312"/>
          <w:sz w:val="32"/>
          <w:szCs w:val="32"/>
        </w:rPr>
        <w:t>年度决算相比，一般公共预算财政拨款本年收入</w:t>
      </w:r>
      <w:r>
        <w:rPr>
          <w:rFonts w:eastAsia="仿宋_GB2312" w:hint="eastAsia"/>
          <w:sz w:val="32"/>
          <w:szCs w:val="32"/>
        </w:rPr>
        <w:t>增加</w:t>
      </w:r>
      <w:r>
        <w:rPr>
          <w:rFonts w:eastAsia="仿宋_GB2312" w:hint="eastAsia"/>
          <w:sz w:val="32"/>
          <w:szCs w:val="32"/>
        </w:rPr>
        <w:t>9.48</w:t>
      </w:r>
      <w:r>
        <w:rPr>
          <w:rFonts w:eastAsia="仿宋_GB2312"/>
          <w:sz w:val="32"/>
          <w:szCs w:val="32"/>
        </w:rPr>
        <w:t>万元，</w:t>
      </w:r>
      <w:r>
        <w:rPr>
          <w:rFonts w:eastAsia="仿宋_GB2312" w:hint="eastAsia"/>
          <w:sz w:val="32"/>
          <w:szCs w:val="32"/>
        </w:rPr>
        <w:t>增长</w:t>
      </w:r>
      <w:r>
        <w:rPr>
          <w:rFonts w:eastAsia="仿宋_GB2312" w:hint="eastAsia"/>
          <w:sz w:val="32"/>
          <w:szCs w:val="32"/>
        </w:rPr>
        <w:t>0.92</w:t>
      </w:r>
      <w:r>
        <w:rPr>
          <w:rFonts w:eastAsia="仿宋_GB2312"/>
          <w:sz w:val="32"/>
          <w:szCs w:val="32"/>
        </w:rPr>
        <w:t xml:space="preserve"> %</w:t>
      </w:r>
      <w:r>
        <w:rPr>
          <w:rFonts w:eastAsia="仿宋_GB2312"/>
          <w:sz w:val="32"/>
          <w:szCs w:val="32"/>
        </w:rPr>
        <w:t>，主要原因是</w:t>
      </w:r>
      <w:r>
        <w:rPr>
          <w:rFonts w:eastAsia="仿宋_GB2312" w:hint="eastAsia"/>
          <w:sz w:val="32"/>
          <w:szCs w:val="32"/>
        </w:rPr>
        <w:t>在职人员工资养老保险各项缴费增加</w:t>
      </w:r>
      <w:r>
        <w:rPr>
          <w:rFonts w:eastAsia="仿宋_GB2312"/>
          <w:sz w:val="32"/>
          <w:szCs w:val="32"/>
        </w:rPr>
        <w:t>；本年支出</w:t>
      </w:r>
      <w:r>
        <w:rPr>
          <w:rFonts w:eastAsia="仿宋_GB2312" w:hint="eastAsia"/>
          <w:sz w:val="32"/>
          <w:szCs w:val="32"/>
        </w:rPr>
        <w:t>减少</w:t>
      </w:r>
      <w:r>
        <w:rPr>
          <w:rFonts w:eastAsia="仿宋_GB2312" w:hint="eastAsia"/>
          <w:sz w:val="32"/>
          <w:szCs w:val="32"/>
        </w:rPr>
        <w:t>2.58</w:t>
      </w:r>
      <w:r>
        <w:rPr>
          <w:rFonts w:eastAsia="仿宋_GB2312"/>
          <w:sz w:val="32"/>
          <w:szCs w:val="32"/>
        </w:rPr>
        <w:t>万元，</w:t>
      </w:r>
      <w:r>
        <w:rPr>
          <w:rFonts w:eastAsia="仿宋_GB2312" w:hint="eastAsia"/>
          <w:sz w:val="32"/>
          <w:szCs w:val="32"/>
        </w:rPr>
        <w:t>减少</w:t>
      </w:r>
      <w:r>
        <w:rPr>
          <w:rFonts w:eastAsia="仿宋_GB2312" w:hint="eastAsia"/>
          <w:sz w:val="32"/>
          <w:szCs w:val="32"/>
        </w:rPr>
        <w:t>0.25</w:t>
      </w:r>
      <w:r>
        <w:rPr>
          <w:rFonts w:eastAsia="仿宋_GB2312"/>
          <w:sz w:val="32"/>
          <w:szCs w:val="32"/>
        </w:rPr>
        <w:t xml:space="preserve"> %</w:t>
      </w:r>
      <w:r>
        <w:rPr>
          <w:rFonts w:eastAsia="仿宋_GB2312"/>
          <w:sz w:val="32"/>
          <w:szCs w:val="32"/>
        </w:rPr>
        <w:t>，主要原因是</w:t>
      </w:r>
      <w:r>
        <w:rPr>
          <w:rFonts w:eastAsia="仿宋_GB2312" w:hint="eastAsia"/>
          <w:sz w:val="32"/>
          <w:szCs w:val="32"/>
        </w:rPr>
        <w:t>离休干部医疗费减少</w:t>
      </w:r>
      <w:r>
        <w:rPr>
          <w:rFonts w:eastAsia="仿宋_GB2312"/>
          <w:sz w:val="32"/>
          <w:szCs w:val="32"/>
        </w:rPr>
        <w:t>政府性基金预算财政拨款年初结转和结余</w:t>
      </w:r>
      <w:r>
        <w:rPr>
          <w:rFonts w:eastAsia="仿宋_GB2312" w:hint="eastAsia"/>
          <w:sz w:val="32"/>
          <w:szCs w:val="32"/>
        </w:rPr>
        <w:t>0</w:t>
      </w:r>
      <w:r>
        <w:rPr>
          <w:rFonts w:eastAsia="仿宋_GB2312"/>
          <w:sz w:val="32"/>
          <w:szCs w:val="32"/>
        </w:rPr>
        <w:t>万元、本年收入</w:t>
      </w:r>
      <w:r>
        <w:rPr>
          <w:rFonts w:eastAsia="仿宋_GB2312" w:hint="eastAsia"/>
          <w:sz w:val="32"/>
          <w:szCs w:val="32"/>
        </w:rPr>
        <w:t>15</w:t>
      </w:r>
      <w:r>
        <w:rPr>
          <w:rFonts w:eastAsia="仿宋_GB2312"/>
          <w:sz w:val="32"/>
          <w:szCs w:val="32"/>
        </w:rPr>
        <w:t>万元；本年支出</w:t>
      </w:r>
      <w:r>
        <w:rPr>
          <w:rFonts w:eastAsia="仿宋_GB2312" w:hint="eastAsia"/>
          <w:sz w:val="32"/>
          <w:szCs w:val="32"/>
        </w:rPr>
        <w:t>15</w:t>
      </w:r>
      <w:r>
        <w:rPr>
          <w:rFonts w:eastAsia="仿宋_GB2312"/>
          <w:sz w:val="32"/>
          <w:szCs w:val="32"/>
        </w:rPr>
        <w:t>万元、年末结转和结余</w:t>
      </w:r>
      <w:r>
        <w:rPr>
          <w:rFonts w:eastAsia="仿宋_GB2312" w:hint="eastAsia"/>
          <w:sz w:val="32"/>
          <w:szCs w:val="32"/>
        </w:rPr>
        <w:t>0</w:t>
      </w:r>
      <w:r>
        <w:rPr>
          <w:rFonts w:eastAsia="仿宋_GB2312"/>
          <w:sz w:val="32"/>
          <w:szCs w:val="32"/>
        </w:rPr>
        <w:t>万元。与</w:t>
      </w:r>
      <w:r>
        <w:rPr>
          <w:rFonts w:eastAsia="仿宋_GB2312"/>
          <w:sz w:val="32"/>
          <w:szCs w:val="32"/>
        </w:rPr>
        <w:t>201</w:t>
      </w:r>
      <w:r>
        <w:rPr>
          <w:rFonts w:eastAsia="仿宋_GB2312" w:hint="eastAsia"/>
          <w:sz w:val="32"/>
          <w:szCs w:val="32"/>
        </w:rPr>
        <w:t>7</w:t>
      </w:r>
      <w:r>
        <w:rPr>
          <w:rFonts w:eastAsia="仿宋_GB2312"/>
          <w:sz w:val="32"/>
          <w:szCs w:val="32"/>
        </w:rPr>
        <w:t>年度决算相比，政府性基金预算财政拨款本年收入增加</w:t>
      </w:r>
      <w:r>
        <w:rPr>
          <w:rFonts w:eastAsia="仿宋_GB2312" w:hint="eastAsia"/>
          <w:sz w:val="32"/>
          <w:szCs w:val="32"/>
        </w:rPr>
        <w:t>2.9</w:t>
      </w:r>
      <w:r>
        <w:rPr>
          <w:rFonts w:eastAsia="仿宋_GB2312"/>
          <w:sz w:val="32"/>
          <w:szCs w:val="32"/>
        </w:rPr>
        <w:t>万元，增长</w:t>
      </w:r>
      <w:r>
        <w:rPr>
          <w:rFonts w:eastAsia="仿宋_GB2312" w:hint="eastAsia"/>
          <w:sz w:val="32"/>
          <w:szCs w:val="32"/>
        </w:rPr>
        <w:t>23.97</w:t>
      </w:r>
      <w:r>
        <w:rPr>
          <w:rFonts w:eastAsia="仿宋_GB2312"/>
          <w:sz w:val="32"/>
          <w:szCs w:val="32"/>
        </w:rPr>
        <w:t>%</w:t>
      </w:r>
      <w:r>
        <w:rPr>
          <w:rFonts w:eastAsia="仿宋_GB2312"/>
          <w:sz w:val="32"/>
          <w:szCs w:val="32"/>
        </w:rPr>
        <w:t>，主要原因是</w:t>
      </w:r>
      <w:r>
        <w:rPr>
          <w:rFonts w:eastAsia="仿宋_GB2312" w:hint="eastAsia"/>
          <w:sz w:val="32"/>
          <w:szCs w:val="32"/>
        </w:rPr>
        <w:t>老年团体活动经费增加</w:t>
      </w:r>
      <w:r>
        <w:rPr>
          <w:rFonts w:eastAsia="仿宋_GB2312"/>
          <w:sz w:val="32"/>
          <w:szCs w:val="32"/>
        </w:rPr>
        <w:t>；本年支出增加</w:t>
      </w:r>
      <w:r>
        <w:rPr>
          <w:rFonts w:eastAsia="仿宋_GB2312" w:hint="eastAsia"/>
          <w:sz w:val="32"/>
          <w:szCs w:val="32"/>
        </w:rPr>
        <w:t>2.9</w:t>
      </w:r>
      <w:r>
        <w:rPr>
          <w:rFonts w:eastAsia="仿宋_GB2312"/>
          <w:sz w:val="32"/>
          <w:szCs w:val="32"/>
        </w:rPr>
        <w:t>万元，增长</w:t>
      </w:r>
      <w:r>
        <w:rPr>
          <w:rFonts w:eastAsia="仿宋_GB2312" w:hint="eastAsia"/>
          <w:sz w:val="32"/>
          <w:szCs w:val="32"/>
        </w:rPr>
        <w:t>23.97</w:t>
      </w:r>
      <w:r>
        <w:rPr>
          <w:rFonts w:eastAsia="仿宋_GB2312"/>
          <w:sz w:val="32"/>
          <w:szCs w:val="32"/>
        </w:rPr>
        <w:t>%</w:t>
      </w:r>
      <w:r>
        <w:rPr>
          <w:rFonts w:eastAsia="仿宋_GB2312"/>
          <w:sz w:val="32"/>
          <w:szCs w:val="32"/>
        </w:rPr>
        <w:t>，主要原因是</w:t>
      </w:r>
      <w:r>
        <w:rPr>
          <w:rFonts w:eastAsia="仿宋_GB2312" w:hint="eastAsia"/>
          <w:sz w:val="32"/>
          <w:szCs w:val="32"/>
        </w:rPr>
        <w:t>老年团体活动经费增加。</w:t>
      </w:r>
      <w:r>
        <w:rPr>
          <w:rFonts w:ascii="仿宋_GB2312" w:eastAsia="仿宋_GB2312" w:cs="DengXian-Regular" w:hint="eastAsia"/>
          <w:sz w:val="32"/>
          <w:szCs w:val="32"/>
        </w:rPr>
        <w:t>如图所示：</w:t>
      </w:r>
    </w:p>
    <w:p w:rsidR="00CF240C" w:rsidRDefault="004B1808">
      <w:pPr>
        <w:adjustRightInd w:val="0"/>
        <w:snapToGrid w:val="0"/>
        <w:spacing w:after="0" w:line="600" w:lineRule="exact"/>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4" behindDoc="0" locked="0" layoutInCell="1" allowOverlap="1">
            <wp:simplePos x="0" y="0"/>
            <wp:positionH relativeFrom="column">
              <wp:posOffset>-113029</wp:posOffset>
            </wp:positionH>
            <wp:positionV relativeFrom="paragraph">
              <wp:posOffset>782320</wp:posOffset>
            </wp:positionV>
            <wp:extent cx="5867400" cy="2628900"/>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9"/>
                    <pic:cNvPicPr/>
                  </pic:nvPicPr>
                  <pic:blipFill>
                    <a:blip r:embed="rId8" cstate="print"/>
                    <a:stretch>
                      <a:fillRect/>
                    </a:stretch>
                  </pic:blipFill>
                  <pic:spPr>
                    <a:xfrm>
                      <a:off x="0" y="0"/>
                      <a:ext cx="5867400" cy="2628900"/>
                    </a:xfrm>
                    <a:prstGeom prst="rect">
                      <a:avLst/>
                    </a:prstGeom>
                    <a:noFill/>
                    <a:ln w="9525" cap="flat" cmpd="sng">
                      <a:noFill/>
                      <a:prstDash val="solid"/>
                      <a:miter/>
                    </a:ln>
                  </pic:spPr>
                </pic:pic>
              </a:graphicData>
            </a:graphic>
          </wp:anchor>
        </w:drawing>
      </w:r>
    </w:p>
    <w:p w:rsidR="00CF240C" w:rsidRDefault="004B1808">
      <w:pPr>
        <w:spacing w:after="0" w:line="580" w:lineRule="exact"/>
        <w:ind w:firstLineChars="700" w:firstLine="2240"/>
        <w:rPr>
          <w:rFonts w:ascii="楷体_GB2312" w:eastAsia="楷体_GB2312" w:cs="DengXian-Bold"/>
          <w:b/>
          <w:bCs/>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CF240C" w:rsidRDefault="004B1808">
      <w:pPr>
        <w:spacing w:after="0" w:line="580" w:lineRule="exact"/>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CF240C" w:rsidRDefault="004B1808">
      <w:pPr>
        <w:adjustRightInd w:val="0"/>
        <w:snapToGrid w:val="0"/>
        <w:spacing w:after="0" w:line="60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年度财政拨款本年收入较</w:t>
      </w:r>
      <w:r>
        <w:rPr>
          <w:rFonts w:eastAsia="仿宋_GB2312"/>
          <w:sz w:val="32"/>
          <w:szCs w:val="32"/>
        </w:rPr>
        <w:t>201</w:t>
      </w:r>
      <w:r>
        <w:rPr>
          <w:rFonts w:eastAsia="仿宋_GB2312" w:hint="eastAsia"/>
          <w:sz w:val="32"/>
          <w:szCs w:val="32"/>
        </w:rPr>
        <w:t>8</w:t>
      </w:r>
      <w:r>
        <w:rPr>
          <w:rFonts w:eastAsia="仿宋_GB2312"/>
          <w:sz w:val="32"/>
          <w:szCs w:val="32"/>
        </w:rPr>
        <w:t>年初预算增加</w:t>
      </w:r>
      <w:r>
        <w:rPr>
          <w:rFonts w:eastAsia="仿宋_GB2312" w:hint="eastAsia"/>
          <w:sz w:val="32"/>
          <w:szCs w:val="32"/>
        </w:rPr>
        <w:t>68.26</w:t>
      </w:r>
      <w:r>
        <w:rPr>
          <w:rFonts w:eastAsia="仿宋_GB2312"/>
          <w:sz w:val="32"/>
          <w:szCs w:val="32"/>
        </w:rPr>
        <w:t>万元，增长</w:t>
      </w:r>
      <w:r>
        <w:rPr>
          <w:rFonts w:eastAsia="仿宋_GB2312" w:hint="eastAsia"/>
          <w:sz w:val="32"/>
          <w:szCs w:val="32"/>
        </w:rPr>
        <w:t>6.98</w:t>
      </w:r>
      <w:r>
        <w:rPr>
          <w:rFonts w:eastAsia="仿宋_GB2312"/>
          <w:sz w:val="32"/>
          <w:szCs w:val="32"/>
        </w:rPr>
        <w:t>%</w:t>
      </w:r>
      <w:r>
        <w:rPr>
          <w:rFonts w:eastAsia="仿宋_GB2312"/>
          <w:sz w:val="32"/>
          <w:szCs w:val="32"/>
        </w:rPr>
        <w:t>，主</w:t>
      </w:r>
      <w:r>
        <w:rPr>
          <w:rFonts w:eastAsia="仿宋_GB2312"/>
          <w:sz w:val="32"/>
          <w:szCs w:val="32"/>
        </w:rPr>
        <w:t>要原因</w:t>
      </w:r>
      <w:r>
        <w:rPr>
          <w:rFonts w:eastAsia="仿宋_GB2312" w:hint="eastAsia"/>
          <w:sz w:val="32"/>
          <w:szCs w:val="32"/>
        </w:rPr>
        <w:t>是在职人员工资养老保险各项缴费增加</w:t>
      </w:r>
      <w:r>
        <w:rPr>
          <w:rFonts w:eastAsia="仿宋_GB2312"/>
          <w:sz w:val="32"/>
          <w:szCs w:val="32"/>
        </w:rPr>
        <w:t>；本年支出增加</w:t>
      </w:r>
      <w:r>
        <w:rPr>
          <w:rFonts w:eastAsia="仿宋_GB2312" w:hint="eastAsia"/>
          <w:sz w:val="32"/>
          <w:szCs w:val="32"/>
        </w:rPr>
        <w:t>54</w:t>
      </w:r>
      <w:r>
        <w:rPr>
          <w:rFonts w:eastAsia="仿宋_GB2312"/>
          <w:sz w:val="32"/>
          <w:szCs w:val="32"/>
        </w:rPr>
        <w:t>万元，增长</w:t>
      </w:r>
      <w:r>
        <w:rPr>
          <w:rFonts w:eastAsia="仿宋_GB2312" w:hint="eastAsia"/>
          <w:sz w:val="32"/>
          <w:szCs w:val="32"/>
        </w:rPr>
        <w:t>5.50</w:t>
      </w:r>
      <w:r>
        <w:rPr>
          <w:rFonts w:eastAsia="仿宋_GB2312"/>
          <w:sz w:val="32"/>
          <w:szCs w:val="32"/>
        </w:rPr>
        <w:t>%</w:t>
      </w:r>
      <w:r>
        <w:rPr>
          <w:rFonts w:eastAsia="仿宋_GB2312"/>
          <w:sz w:val="32"/>
          <w:szCs w:val="32"/>
        </w:rPr>
        <w:t>，主要原因是</w:t>
      </w:r>
      <w:r>
        <w:rPr>
          <w:rFonts w:eastAsia="仿宋_GB2312" w:hint="eastAsia"/>
          <w:sz w:val="32"/>
          <w:szCs w:val="32"/>
        </w:rPr>
        <w:t>，在职人员工资养老保险各项缴费增加</w:t>
      </w:r>
      <w:r>
        <w:rPr>
          <w:rFonts w:eastAsia="仿宋_GB2312"/>
          <w:sz w:val="32"/>
          <w:szCs w:val="32"/>
        </w:rPr>
        <w:t>。</w:t>
      </w:r>
    </w:p>
    <w:p w:rsidR="00CF240C" w:rsidRDefault="004B1808">
      <w:pPr>
        <w:adjustRightInd w:val="0"/>
        <w:snapToGrid w:val="0"/>
        <w:spacing w:after="0" w:line="600" w:lineRule="exact"/>
        <w:ind w:firstLineChars="200" w:firstLine="640"/>
        <w:rPr>
          <w:rFonts w:ascii="仿宋_GB2312" w:eastAsia="仿宋_GB2312" w:cs="DengXian-Regular"/>
          <w:sz w:val="32"/>
          <w:szCs w:val="32"/>
        </w:rPr>
      </w:pPr>
      <w:r>
        <w:rPr>
          <w:rFonts w:eastAsia="仿宋_GB2312"/>
          <w:sz w:val="32"/>
          <w:szCs w:val="32"/>
        </w:rPr>
        <w:t>其中，本部门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年度一般公共预算财政拨款本年收入较</w:t>
      </w:r>
      <w:r>
        <w:rPr>
          <w:rFonts w:eastAsia="仿宋_GB2312"/>
          <w:sz w:val="32"/>
          <w:szCs w:val="32"/>
        </w:rPr>
        <w:t>201</w:t>
      </w:r>
      <w:r>
        <w:rPr>
          <w:rFonts w:eastAsia="仿宋_GB2312" w:hint="eastAsia"/>
          <w:sz w:val="32"/>
          <w:szCs w:val="32"/>
        </w:rPr>
        <w:t>8</w:t>
      </w:r>
      <w:r>
        <w:rPr>
          <w:rFonts w:eastAsia="仿宋_GB2312"/>
          <w:sz w:val="32"/>
          <w:szCs w:val="32"/>
        </w:rPr>
        <w:t>年初预算增加</w:t>
      </w:r>
      <w:r>
        <w:rPr>
          <w:rFonts w:eastAsia="仿宋_GB2312" w:hint="eastAsia"/>
          <w:sz w:val="32"/>
          <w:szCs w:val="32"/>
        </w:rPr>
        <w:t>83.26</w:t>
      </w:r>
      <w:r>
        <w:rPr>
          <w:rFonts w:eastAsia="仿宋_GB2312"/>
          <w:sz w:val="32"/>
          <w:szCs w:val="32"/>
        </w:rPr>
        <w:t>万元，增长</w:t>
      </w:r>
      <w:r>
        <w:rPr>
          <w:rFonts w:eastAsia="仿宋_GB2312" w:hint="eastAsia"/>
          <w:sz w:val="32"/>
          <w:szCs w:val="32"/>
        </w:rPr>
        <w:t>8.74</w:t>
      </w:r>
      <w:r>
        <w:rPr>
          <w:rFonts w:eastAsia="仿宋_GB2312"/>
          <w:sz w:val="32"/>
          <w:szCs w:val="32"/>
        </w:rPr>
        <w:t>%</w:t>
      </w:r>
      <w:r>
        <w:rPr>
          <w:rFonts w:eastAsia="仿宋_GB2312"/>
          <w:sz w:val="32"/>
          <w:szCs w:val="32"/>
        </w:rPr>
        <w:t>，主要原因是</w:t>
      </w:r>
      <w:r>
        <w:rPr>
          <w:rFonts w:eastAsia="仿宋_GB2312" w:hint="eastAsia"/>
          <w:sz w:val="32"/>
          <w:szCs w:val="32"/>
        </w:rPr>
        <w:t>，在职</w:t>
      </w:r>
      <w:r>
        <w:rPr>
          <w:rFonts w:eastAsia="仿宋_GB2312" w:hint="eastAsia"/>
          <w:sz w:val="32"/>
          <w:szCs w:val="32"/>
        </w:rPr>
        <w:lastRenderedPageBreak/>
        <w:t>人员工资养老保险各项缴费增加。</w:t>
      </w:r>
      <w:r>
        <w:rPr>
          <w:rFonts w:eastAsia="仿宋_GB2312"/>
          <w:sz w:val="32"/>
          <w:szCs w:val="32"/>
        </w:rPr>
        <w:t>本年支出</w:t>
      </w:r>
      <w:r>
        <w:rPr>
          <w:rFonts w:eastAsia="仿宋_GB2312" w:hint="eastAsia"/>
          <w:sz w:val="32"/>
          <w:szCs w:val="32"/>
        </w:rPr>
        <w:t>增加</w:t>
      </w:r>
      <w:r>
        <w:rPr>
          <w:rFonts w:eastAsia="仿宋_GB2312" w:hint="eastAsia"/>
          <w:sz w:val="32"/>
          <w:szCs w:val="32"/>
        </w:rPr>
        <w:t>69</w:t>
      </w:r>
      <w:r>
        <w:rPr>
          <w:rFonts w:eastAsia="仿宋_GB2312"/>
          <w:sz w:val="32"/>
          <w:szCs w:val="32"/>
        </w:rPr>
        <w:t>万元，增长</w:t>
      </w:r>
      <w:r>
        <w:rPr>
          <w:rFonts w:eastAsia="仿宋_GB2312" w:hint="eastAsia"/>
          <w:sz w:val="32"/>
          <w:szCs w:val="32"/>
        </w:rPr>
        <w:t>7.24</w:t>
      </w:r>
      <w:r>
        <w:rPr>
          <w:rFonts w:eastAsia="仿宋_GB2312"/>
          <w:sz w:val="32"/>
          <w:szCs w:val="32"/>
        </w:rPr>
        <w:t xml:space="preserve"> %</w:t>
      </w:r>
      <w:r>
        <w:rPr>
          <w:rFonts w:eastAsia="仿宋_GB2312"/>
          <w:sz w:val="32"/>
          <w:szCs w:val="32"/>
        </w:rPr>
        <w:t>，主要原因是</w:t>
      </w:r>
      <w:r>
        <w:rPr>
          <w:rFonts w:eastAsia="仿宋_GB2312" w:hint="eastAsia"/>
          <w:sz w:val="32"/>
          <w:szCs w:val="32"/>
        </w:rPr>
        <w:t>，在职人员工资养老保险各项缴费增加</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年度政府性基金预算财政拨款本年收入较</w:t>
      </w:r>
      <w:r>
        <w:rPr>
          <w:rFonts w:eastAsia="仿宋_GB2312"/>
          <w:sz w:val="32"/>
          <w:szCs w:val="32"/>
        </w:rPr>
        <w:t>201</w:t>
      </w:r>
      <w:r>
        <w:rPr>
          <w:rFonts w:eastAsia="仿宋_GB2312" w:hint="eastAsia"/>
          <w:sz w:val="32"/>
          <w:szCs w:val="32"/>
        </w:rPr>
        <w:t>8</w:t>
      </w:r>
      <w:r>
        <w:rPr>
          <w:rFonts w:eastAsia="仿宋_GB2312"/>
          <w:sz w:val="32"/>
          <w:szCs w:val="32"/>
        </w:rPr>
        <w:t>年初预算</w:t>
      </w:r>
      <w:r>
        <w:rPr>
          <w:rFonts w:eastAsia="仿宋_GB2312" w:hint="eastAsia"/>
          <w:sz w:val="32"/>
          <w:szCs w:val="32"/>
        </w:rPr>
        <w:t>减少</w:t>
      </w:r>
      <w:r>
        <w:rPr>
          <w:rFonts w:eastAsia="仿宋_GB2312" w:hint="eastAsia"/>
          <w:sz w:val="32"/>
          <w:szCs w:val="32"/>
        </w:rPr>
        <w:t>15</w:t>
      </w:r>
      <w:r>
        <w:rPr>
          <w:rFonts w:eastAsia="仿宋_GB2312"/>
          <w:sz w:val="32"/>
          <w:szCs w:val="32"/>
        </w:rPr>
        <w:t>万元，</w:t>
      </w:r>
      <w:r>
        <w:rPr>
          <w:rFonts w:eastAsia="仿宋_GB2312" w:hint="eastAsia"/>
          <w:sz w:val="32"/>
          <w:szCs w:val="32"/>
        </w:rPr>
        <w:t>减少</w:t>
      </w:r>
      <w:r>
        <w:rPr>
          <w:rFonts w:eastAsia="仿宋_GB2312" w:hint="eastAsia"/>
          <w:sz w:val="32"/>
          <w:szCs w:val="32"/>
        </w:rPr>
        <w:t>50</w:t>
      </w:r>
      <w:r>
        <w:rPr>
          <w:rFonts w:eastAsia="仿宋_GB2312"/>
          <w:sz w:val="32"/>
          <w:szCs w:val="32"/>
        </w:rPr>
        <w:t>%</w:t>
      </w:r>
      <w:r>
        <w:rPr>
          <w:rFonts w:eastAsia="仿宋_GB2312"/>
          <w:sz w:val="32"/>
          <w:szCs w:val="32"/>
        </w:rPr>
        <w:t>，主要原因是</w:t>
      </w:r>
      <w:r>
        <w:rPr>
          <w:rFonts w:eastAsia="仿宋_GB2312" w:hint="eastAsia"/>
          <w:sz w:val="32"/>
          <w:szCs w:val="32"/>
        </w:rPr>
        <w:t>老年团体活动经费厉行节俭。</w:t>
      </w:r>
      <w:r>
        <w:rPr>
          <w:rFonts w:eastAsia="仿宋_GB2312"/>
          <w:sz w:val="32"/>
          <w:szCs w:val="32"/>
        </w:rPr>
        <w:t>本年支出较</w:t>
      </w:r>
      <w:r>
        <w:rPr>
          <w:rFonts w:eastAsia="仿宋_GB2312"/>
          <w:sz w:val="32"/>
          <w:szCs w:val="32"/>
        </w:rPr>
        <w:t>201</w:t>
      </w:r>
      <w:r>
        <w:rPr>
          <w:rFonts w:eastAsia="仿宋_GB2312" w:hint="eastAsia"/>
          <w:sz w:val="32"/>
          <w:szCs w:val="32"/>
        </w:rPr>
        <w:t>8</w:t>
      </w:r>
      <w:r>
        <w:rPr>
          <w:rFonts w:eastAsia="仿宋_GB2312"/>
          <w:sz w:val="32"/>
          <w:szCs w:val="32"/>
        </w:rPr>
        <w:t>年初预算</w:t>
      </w:r>
      <w:r>
        <w:rPr>
          <w:rFonts w:eastAsia="仿宋_GB2312" w:hint="eastAsia"/>
          <w:sz w:val="32"/>
          <w:szCs w:val="32"/>
        </w:rPr>
        <w:t>减少</w:t>
      </w:r>
      <w:r>
        <w:rPr>
          <w:rFonts w:eastAsia="仿宋_GB2312" w:hint="eastAsia"/>
          <w:sz w:val="32"/>
          <w:szCs w:val="32"/>
        </w:rPr>
        <w:t>15</w:t>
      </w:r>
      <w:r>
        <w:rPr>
          <w:rFonts w:eastAsia="仿宋_GB2312"/>
          <w:sz w:val="32"/>
          <w:szCs w:val="32"/>
        </w:rPr>
        <w:t>万元，</w:t>
      </w:r>
      <w:r>
        <w:rPr>
          <w:rFonts w:eastAsia="仿宋_GB2312" w:hint="eastAsia"/>
          <w:sz w:val="32"/>
          <w:szCs w:val="32"/>
        </w:rPr>
        <w:t>减少</w:t>
      </w:r>
      <w:r>
        <w:rPr>
          <w:rFonts w:eastAsia="仿宋_GB2312" w:hint="eastAsia"/>
          <w:sz w:val="32"/>
          <w:szCs w:val="32"/>
        </w:rPr>
        <w:t>50</w:t>
      </w:r>
      <w:r>
        <w:rPr>
          <w:rFonts w:eastAsia="仿宋_GB2312"/>
          <w:sz w:val="32"/>
          <w:szCs w:val="32"/>
        </w:rPr>
        <w:t>%</w:t>
      </w:r>
      <w:r>
        <w:rPr>
          <w:rFonts w:eastAsia="仿宋_GB2312"/>
          <w:sz w:val="32"/>
          <w:szCs w:val="32"/>
        </w:rPr>
        <w:t>，主要原因是</w:t>
      </w:r>
      <w:r>
        <w:rPr>
          <w:rFonts w:eastAsia="仿宋_GB2312" w:hint="eastAsia"/>
          <w:sz w:val="32"/>
          <w:szCs w:val="32"/>
        </w:rPr>
        <w:t>老年团体活动经费厉行节俭。</w:t>
      </w:r>
      <w:r>
        <w:rPr>
          <w:rFonts w:ascii="仿宋_GB2312" w:eastAsia="仿宋_GB2312" w:cs="DengXian-Regular" w:hint="eastAsia"/>
          <w:sz w:val="32"/>
          <w:szCs w:val="32"/>
        </w:rPr>
        <w:t>如图所示：</w:t>
      </w:r>
    </w:p>
    <w:p w:rsidR="00CF240C" w:rsidRDefault="004B1808">
      <w:pPr>
        <w:adjustRightInd w:val="0"/>
        <w:snapToGrid w:val="0"/>
        <w:spacing w:after="0" w:line="600" w:lineRule="exact"/>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2" behindDoc="0" locked="0" layoutInCell="1" allowOverlap="1">
            <wp:simplePos x="0" y="0"/>
            <wp:positionH relativeFrom="column">
              <wp:posOffset>10795</wp:posOffset>
            </wp:positionH>
            <wp:positionV relativeFrom="paragraph">
              <wp:posOffset>150495</wp:posOffset>
            </wp:positionV>
            <wp:extent cx="5438774" cy="2695575"/>
            <wp:effectExtent l="0" t="0" r="0" b="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12"/>
                    <pic:cNvPicPr/>
                  </pic:nvPicPr>
                  <pic:blipFill>
                    <a:blip r:embed="rId9" cstate="print"/>
                    <a:stretch>
                      <a:fillRect/>
                    </a:stretch>
                  </pic:blipFill>
                  <pic:spPr>
                    <a:xfrm>
                      <a:off x="0" y="0"/>
                      <a:ext cx="5438774" cy="2695575"/>
                    </a:xfrm>
                    <a:prstGeom prst="rect">
                      <a:avLst/>
                    </a:prstGeom>
                    <a:noFill/>
                    <a:ln w="9525" cap="flat" cmpd="sng">
                      <a:noFill/>
                      <a:prstDash val="solid"/>
                      <a:miter/>
                    </a:ln>
                  </pic:spPr>
                </pic:pic>
              </a:graphicData>
            </a:graphic>
          </wp:anchor>
        </w:drawing>
      </w: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CF240C">
      <w:pPr>
        <w:adjustRightInd w:val="0"/>
        <w:snapToGrid w:val="0"/>
        <w:spacing w:after="0" w:line="600" w:lineRule="exact"/>
        <w:rPr>
          <w:rFonts w:ascii="仿宋_GB2312" w:eastAsia="仿宋_GB2312" w:cs="DengXian-Regular"/>
          <w:sz w:val="32"/>
          <w:szCs w:val="32"/>
        </w:rPr>
      </w:pPr>
    </w:p>
    <w:p w:rsidR="00CF240C" w:rsidRDefault="004B1808">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r>
        <w:rPr>
          <w:rFonts w:ascii="仿宋_GB2312" w:eastAsia="仿宋_GB2312" w:cs="DengXian-Regular" w:hint="eastAsia"/>
          <w:sz w:val="32"/>
          <w:szCs w:val="32"/>
        </w:rPr>
        <w:t xml:space="preserve"> </w:t>
      </w:r>
    </w:p>
    <w:p w:rsidR="00CF240C" w:rsidRDefault="004B1808">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sz w:val="32"/>
          <w:szCs w:val="32"/>
        </w:rPr>
        <w:t>(</w:t>
      </w:r>
      <w:r>
        <w:rPr>
          <w:rFonts w:ascii="楷体_GB2312" w:eastAsia="楷体_GB2312" w:cs="DengXian-Bold" w:hint="eastAsia"/>
          <w:b/>
          <w:bCs/>
          <w:sz w:val="32"/>
          <w:szCs w:val="32"/>
        </w:rPr>
        <w:t>三</w:t>
      </w:r>
      <w:r>
        <w:rPr>
          <w:rFonts w:ascii="楷体_GB2312" w:eastAsia="楷体_GB2312" w:cs="DengXian-Bold" w:hint="eastAsia"/>
          <w:b/>
          <w:bCs/>
          <w:sz w:val="32"/>
          <w:szCs w:val="32"/>
        </w:rPr>
        <w:t>)</w:t>
      </w:r>
      <w:r>
        <w:rPr>
          <w:rFonts w:ascii="楷体_GB2312" w:eastAsia="楷体_GB2312" w:cs="DengXian-Bold" w:hint="eastAsia"/>
          <w:b/>
          <w:bCs/>
          <w:sz w:val="32"/>
          <w:szCs w:val="32"/>
        </w:rPr>
        <w:t>财政拨款支出决算结构情况。</w:t>
      </w:r>
    </w:p>
    <w:p w:rsidR="00CF240C" w:rsidRDefault="004B180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1036.79</w:t>
      </w:r>
      <w:r>
        <w:rPr>
          <w:rFonts w:ascii="仿宋_GB2312" w:eastAsia="仿宋_GB2312" w:cs="DengXian-Regular" w:hint="eastAsia"/>
          <w:sz w:val="32"/>
          <w:szCs w:val="32"/>
        </w:rPr>
        <w:t>万元，主要用于以下方面：一般公共服务支出</w:t>
      </w:r>
      <w:r>
        <w:rPr>
          <w:rFonts w:ascii="仿宋_GB2312" w:eastAsia="仿宋_GB2312" w:cs="DengXian-Regular" w:hint="eastAsia"/>
          <w:sz w:val="32"/>
          <w:szCs w:val="32"/>
        </w:rPr>
        <w:t>422.40</w:t>
      </w:r>
      <w:r>
        <w:rPr>
          <w:rFonts w:ascii="仿宋_GB2312" w:eastAsia="仿宋_GB2312" w:cs="DengXian-Regular" w:hint="eastAsia"/>
          <w:sz w:val="32"/>
          <w:szCs w:val="32"/>
        </w:rPr>
        <w:t>万元，占</w:t>
      </w:r>
      <w:r>
        <w:rPr>
          <w:rFonts w:ascii="仿宋_GB2312" w:eastAsia="仿宋_GB2312" w:cs="DengXian-Regular" w:hint="eastAsia"/>
          <w:sz w:val="32"/>
          <w:szCs w:val="32"/>
        </w:rPr>
        <w:t>40.74%</w:t>
      </w:r>
      <w:r>
        <w:rPr>
          <w:rFonts w:ascii="仿宋_GB2312" w:eastAsia="仿宋_GB2312" w:cs="DengXian-Regular" w:hint="eastAsia"/>
          <w:sz w:val="32"/>
          <w:szCs w:val="32"/>
        </w:rPr>
        <w:t>；社会保障和就业支出</w:t>
      </w:r>
      <w:r>
        <w:rPr>
          <w:rFonts w:ascii="仿宋_GB2312" w:eastAsia="仿宋_GB2312" w:cs="DengXian-Regular" w:hint="eastAsia"/>
          <w:sz w:val="32"/>
          <w:szCs w:val="32"/>
        </w:rPr>
        <w:t xml:space="preserve"> 22.41</w:t>
      </w:r>
      <w:r>
        <w:rPr>
          <w:rFonts w:ascii="仿宋_GB2312" w:eastAsia="仿宋_GB2312" w:cs="DengXian-Regular" w:hint="eastAsia"/>
          <w:sz w:val="32"/>
          <w:szCs w:val="32"/>
        </w:rPr>
        <w:t>万元，占</w:t>
      </w:r>
      <w:r>
        <w:rPr>
          <w:rFonts w:ascii="仿宋_GB2312" w:eastAsia="仿宋_GB2312" w:cs="DengXian-Regular" w:hint="eastAsia"/>
          <w:sz w:val="32"/>
          <w:szCs w:val="32"/>
        </w:rPr>
        <w:t>2.16%</w:t>
      </w:r>
      <w:r>
        <w:rPr>
          <w:rFonts w:ascii="仿宋_GB2312" w:eastAsia="仿宋_GB2312" w:cs="DengXian-Regular" w:hint="eastAsia"/>
          <w:sz w:val="32"/>
          <w:szCs w:val="32"/>
        </w:rPr>
        <w:t>；医疗卫生与计划生育支出</w:t>
      </w:r>
      <w:r>
        <w:rPr>
          <w:rFonts w:ascii="仿宋_GB2312" w:eastAsia="仿宋_GB2312" w:cs="DengXian-Regular" w:hint="eastAsia"/>
          <w:sz w:val="32"/>
          <w:szCs w:val="32"/>
        </w:rPr>
        <w:t>576.98</w:t>
      </w:r>
      <w:r>
        <w:rPr>
          <w:rFonts w:ascii="仿宋_GB2312" w:eastAsia="仿宋_GB2312" w:cs="DengXian-Regular" w:hint="eastAsia"/>
          <w:sz w:val="32"/>
          <w:szCs w:val="32"/>
        </w:rPr>
        <w:t>万元，占</w:t>
      </w:r>
      <w:r>
        <w:rPr>
          <w:rFonts w:ascii="仿宋_GB2312" w:eastAsia="仿宋_GB2312" w:cs="DengXian-Regular" w:hint="eastAsia"/>
          <w:sz w:val="32"/>
          <w:szCs w:val="32"/>
        </w:rPr>
        <w:t>55.65%</w:t>
      </w:r>
      <w:r>
        <w:rPr>
          <w:rFonts w:ascii="仿宋_GB2312" w:eastAsia="仿宋_GB2312" w:cs="DengXian-Regular" w:hint="eastAsia"/>
          <w:sz w:val="32"/>
          <w:szCs w:val="32"/>
        </w:rPr>
        <w:t>；其他支出</w:t>
      </w:r>
      <w:r>
        <w:rPr>
          <w:rFonts w:ascii="仿宋_GB2312" w:eastAsia="仿宋_GB2312" w:cs="DengXian-Regular" w:hint="eastAsia"/>
          <w:sz w:val="32"/>
          <w:szCs w:val="32"/>
        </w:rPr>
        <w:t>15</w:t>
      </w:r>
      <w:r>
        <w:rPr>
          <w:rFonts w:ascii="仿宋_GB2312" w:eastAsia="仿宋_GB2312" w:cs="DengXian-Regular" w:hint="eastAsia"/>
          <w:sz w:val="32"/>
          <w:szCs w:val="32"/>
        </w:rPr>
        <w:t>万元，占</w:t>
      </w:r>
      <w:r>
        <w:rPr>
          <w:rFonts w:ascii="仿宋_GB2312" w:eastAsia="仿宋_GB2312" w:cs="DengXian-Regular" w:hint="eastAsia"/>
          <w:sz w:val="32"/>
          <w:szCs w:val="32"/>
        </w:rPr>
        <w:t>1.45%</w:t>
      </w:r>
      <w:r>
        <w:rPr>
          <w:rFonts w:ascii="仿宋_GB2312" w:eastAsia="仿宋_GB2312" w:cs="DengXian-Regular" w:hint="eastAsia"/>
          <w:sz w:val="32"/>
          <w:szCs w:val="32"/>
        </w:rPr>
        <w:t>。如图所示：</w:t>
      </w:r>
    </w:p>
    <w:p w:rsidR="00CF240C" w:rsidRDefault="004B1808">
      <w:pPr>
        <w:adjustRightInd w:val="0"/>
        <w:snapToGrid w:val="0"/>
        <w:spacing w:after="0" w:line="580" w:lineRule="exact"/>
        <w:ind w:firstLineChars="200" w:firstLine="420"/>
        <w:jc w:val="center"/>
        <w:rPr>
          <w:rFonts w:ascii="楷体_GB2312" w:eastAsia="楷体_GB2312" w:cs="DengXian-Bold"/>
          <w:b/>
          <w:bCs/>
          <w:sz w:val="32"/>
          <w:szCs w:val="32"/>
        </w:rPr>
      </w:pPr>
      <w:r>
        <w:rPr>
          <w:noProof/>
          <w:szCs w:val="32"/>
        </w:rPr>
        <w:lastRenderedPageBreak/>
        <w:drawing>
          <wp:anchor distT="0" distB="0" distL="114300" distR="114300" simplePos="0" relativeHeight="18" behindDoc="0" locked="0" layoutInCell="1" allowOverlap="1">
            <wp:simplePos x="0" y="0"/>
            <wp:positionH relativeFrom="column">
              <wp:posOffset>163195</wp:posOffset>
            </wp:positionH>
            <wp:positionV relativeFrom="paragraph">
              <wp:posOffset>220345</wp:posOffset>
            </wp:positionV>
            <wp:extent cx="5724525" cy="2771775"/>
            <wp:effectExtent l="0" t="0" r="0" b="0"/>
            <wp:wrapTopAndBottom/>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15"/>
                    <pic:cNvPicPr/>
                  </pic:nvPicPr>
                  <pic:blipFill>
                    <a:blip r:embed="rId10" cstate="print"/>
                    <a:stretch>
                      <a:fillRect/>
                    </a:stretch>
                  </pic:blipFill>
                  <pic:spPr>
                    <a:xfrm>
                      <a:off x="0" y="0"/>
                      <a:ext cx="5724525" cy="2771775"/>
                    </a:xfrm>
                    <a:prstGeom prst="rect">
                      <a:avLst/>
                    </a:prstGeom>
                    <a:noFill/>
                    <a:ln w="9525" cap="flat" cmpd="sng">
                      <a:noFill/>
                      <a:prstDash val="solid"/>
                      <a:miter/>
                    </a:ln>
                  </pic:spPr>
                </pic:pic>
              </a:graphicData>
            </a:graphic>
          </wp:anchor>
        </w:drawing>
      </w: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CF240C" w:rsidRDefault="004B1808" w:rsidP="00CF240C">
      <w:pPr>
        <w:adjustRightInd w:val="0"/>
        <w:snapToGrid w:val="0"/>
        <w:spacing w:after="0" w:line="60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CF240C" w:rsidRDefault="004B1808">
      <w:pPr>
        <w:adjustRightInd w:val="0"/>
        <w:snapToGrid w:val="0"/>
        <w:spacing w:after="0" w:line="600" w:lineRule="exact"/>
        <w:ind w:firstLineChars="200" w:firstLine="640"/>
        <w:rPr>
          <w:rFonts w:eastAsia="仿宋_GB2312"/>
          <w:sz w:val="32"/>
          <w:szCs w:val="32"/>
        </w:rPr>
      </w:pPr>
      <w:r>
        <w:rPr>
          <w:rFonts w:eastAsia="仿宋_GB2312" w:hint="eastAsia"/>
          <w:sz w:val="32"/>
          <w:szCs w:val="32"/>
        </w:rPr>
        <w:t xml:space="preserve">2018 </w:t>
      </w:r>
      <w:r>
        <w:rPr>
          <w:rFonts w:eastAsia="仿宋_GB2312" w:hint="eastAsia"/>
          <w:sz w:val="32"/>
          <w:szCs w:val="32"/>
        </w:rPr>
        <w:t>年度一般公共预算财政拨款基本支出</w:t>
      </w:r>
      <w:r>
        <w:rPr>
          <w:rFonts w:eastAsia="仿宋_GB2312" w:hint="eastAsia"/>
          <w:sz w:val="32"/>
          <w:szCs w:val="32"/>
        </w:rPr>
        <w:t>911.32</w:t>
      </w:r>
      <w:r>
        <w:rPr>
          <w:rFonts w:eastAsia="仿宋_GB2312" w:hint="eastAsia"/>
          <w:sz w:val="32"/>
          <w:szCs w:val="32"/>
        </w:rPr>
        <w:t>万元，其中：人员经费</w:t>
      </w:r>
      <w:r>
        <w:rPr>
          <w:rFonts w:eastAsia="仿宋_GB2312" w:hint="eastAsia"/>
          <w:sz w:val="32"/>
          <w:szCs w:val="32"/>
        </w:rPr>
        <w:t xml:space="preserve"> 135.26</w:t>
      </w:r>
      <w:r>
        <w:rPr>
          <w:rFonts w:eastAsia="仿宋_GB2312"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eastAsia="仿宋_GB2312" w:hint="eastAsia"/>
          <w:sz w:val="32"/>
          <w:szCs w:val="32"/>
        </w:rPr>
        <w:t>110.47</w:t>
      </w:r>
      <w:r>
        <w:rPr>
          <w:rFonts w:eastAsia="仿宋_GB2312" w:hint="eastAsia"/>
          <w:sz w:val="32"/>
          <w:szCs w:val="32"/>
        </w:rPr>
        <w:t>万元，主要包括办公费、印刷费、咨询费、手续费、水费、电费、邮电费、取</w:t>
      </w:r>
      <w:r>
        <w:rPr>
          <w:rFonts w:eastAsia="仿宋_GB2312" w:hint="eastAsia"/>
          <w:sz w:val="32"/>
          <w:szCs w:val="32"/>
        </w:rPr>
        <w:t>暖费、物业管理费、差旅费、因公出国（境）费用、维修（护）费、租赁费、会议费、培训费、公务接待费、专用材料费、劳务费、委托业务费、工会经费、福利费、公务用车运行维护费、其</w:t>
      </w:r>
      <w:r>
        <w:rPr>
          <w:rFonts w:eastAsia="仿宋_GB2312" w:hint="eastAsia"/>
          <w:sz w:val="32"/>
          <w:szCs w:val="32"/>
        </w:rPr>
        <w:lastRenderedPageBreak/>
        <w:t>他交通费用、税金及附加费用、其他商品和服务支出、办公设备购置、专用设备购置、信息网络及软件购置更新、公务用车购置、其他资本性支出等。</w:t>
      </w:r>
    </w:p>
    <w:p w:rsidR="00CF240C" w:rsidRDefault="004B1808">
      <w:pPr>
        <w:pStyle w:val="2"/>
        <w:spacing w:before="0" w:after="0" w:line="60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CF240C" w:rsidRDefault="004B1808">
      <w:pPr>
        <w:adjustRightInd w:val="0"/>
        <w:snapToGrid w:val="0"/>
        <w:spacing w:after="0" w:line="60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0.2</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无增减，原因是严格控制预算</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减少</w:t>
      </w:r>
      <w:r>
        <w:rPr>
          <w:rFonts w:eastAsia="仿宋_GB2312" w:hint="eastAsia"/>
          <w:sz w:val="32"/>
          <w:szCs w:val="32"/>
        </w:rPr>
        <w:t>0.07</w:t>
      </w:r>
      <w:r>
        <w:rPr>
          <w:rFonts w:eastAsia="仿宋_GB2312"/>
          <w:sz w:val="32"/>
          <w:szCs w:val="32"/>
        </w:rPr>
        <w:t>万元，</w:t>
      </w:r>
      <w:r>
        <w:rPr>
          <w:rFonts w:eastAsia="仿宋_GB2312" w:hint="eastAsia"/>
          <w:sz w:val="32"/>
          <w:szCs w:val="32"/>
        </w:rPr>
        <w:t>减少</w:t>
      </w:r>
      <w:r>
        <w:rPr>
          <w:rFonts w:eastAsia="仿宋_GB2312" w:hint="eastAsia"/>
          <w:sz w:val="32"/>
          <w:szCs w:val="32"/>
        </w:rPr>
        <w:t>25.93</w:t>
      </w:r>
      <w:r>
        <w:rPr>
          <w:rFonts w:eastAsia="仿宋_GB2312"/>
          <w:sz w:val="32"/>
          <w:szCs w:val="32"/>
        </w:rPr>
        <w:t xml:space="preserve"> %</w:t>
      </w:r>
      <w:r>
        <w:rPr>
          <w:rFonts w:eastAsia="仿宋_GB2312"/>
          <w:sz w:val="32"/>
          <w:szCs w:val="32"/>
        </w:rPr>
        <w:t>，主要</w:t>
      </w:r>
      <w:r>
        <w:rPr>
          <w:rFonts w:eastAsia="仿宋_GB2312" w:hint="eastAsia"/>
          <w:sz w:val="32"/>
          <w:szCs w:val="32"/>
        </w:rPr>
        <w:t>厉行节俭</w:t>
      </w:r>
      <w:r>
        <w:rPr>
          <w:rFonts w:eastAsia="仿宋_GB2312"/>
          <w:sz w:val="32"/>
          <w:szCs w:val="32"/>
        </w:rPr>
        <w:t>。</w:t>
      </w:r>
    </w:p>
    <w:p w:rsidR="00CF240C" w:rsidRDefault="004B1808">
      <w:pPr>
        <w:adjustRightInd w:val="0"/>
        <w:snapToGrid w:val="0"/>
        <w:spacing w:after="0" w:line="600" w:lineRule="exact"/>
        <w:ind w:firstLineChars="200" w:firstLine="640"/>
        <w:rPr>
          <w:rFonts w:eastAsia="仿宋_GB2312"/>
          <w:sz w:val="32"/>
          <w:szCs w:val="32"/>
        </w:rPr>
      </w:pPr>
      <w:r>
        <w:rPr>
          <w:rFonts w:eastAsia="仿宋_GB2312"/>
          <w:sz w:val="32"/>
          <w:szCs w:val="32"/>
        </w:rPr>
        <w:t>具体情况如下：</w:t>
      </w:r>
    </w:p>
    <w:p w:rsidR="00CF240C" w:rsidRDefault="004B1808" w:rsidP="00CF240C">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w:t>
      </w:r>
      <w:r>
        <w:rPr>
          <w:rFonts w:eastAsia="仿宋_GB2312"/>
          <w:sz w:val="32"/>
          <w:szCs w:val="32"/>
        </w:rPr>
        <w:t>主要是</w:t>
      </w:r>
      <w:r>
        <w:rPr>
          <w:rFonts w:eastAsia="仿宋_GB2312" w:hint="eastAsia"/>
          <w:sz w:val="32"/>
          <w:szCs w:val="32"/>
        </w:rPr>
        <w:t>严格控制预算</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w:t>
      </w:r>
      <w:r>
        <w:rPr>
          <w:rFonts w:eastAsia="仿宋_GB2312"/>
          <w:sz w:val="32"/>
          <w:szCs w:val="32"/>
        </w:rPr>
        <w:t>主要是</w:t>
      </w:r>
      <w:r>
        <w:rPr>
          <w:rFonts w:eastAsia="仿宋_GB2312" w:hint="eastAsia"/>
          <w:sz w:val="32"/>
          <w:szCs w:val="32"/>
        </w:rPr>
        <w:t>严格控制预算。</w:t>
      </w:r>
    </w:p>
    <w:p w:rsidR="00CF240C" w:rsidRDefault="004B1808">
      <w:pPr>
        <w:adjustRightInd w:val="0"/>
        <w:snapToGrid w:val="0"/>
        <w:spacing w:after="0" w:line="600" w:lineRule="exact"/>
        <w:ind w:firstLineChars="200" w:firstLine="640"/>
        <w:rPr>
          <w:rFonts w:eastAsia="仿宋_GB2312"/>
          <w:sz w:val="32"/>
          <w:szCs w:val="32"/>
          <w:highlight w:val="yellow"/>
        </w:rPr>
      </w:pPr>
      <w:r>
        <w:rPr>
          <w:rFonts w:eastAsia="仿宋_GB2312"/>
          <w:sz w:val="32"/>
          <w:szCs w:val="32"/>
        </w:rPr>
        <w:t>。</w:t>
      </w:r>
    </w:p>
    <w:p w:rsidR="00CF240C" w:rsidRDefault="004B1808" w:rsidP="00CF240C">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0</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无增减，主要是严格控制预算</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无增减，主要是严格控制预算</w:t>
      </w:r>
      <w:r>
        <w:rPr>
          <w:rFonts w:eastAsia="仿宋_GB2312"/>
          <w:sz w:val="32"/>
          <w:szCs w:val="32"/>
        </w:rPr>
        <w:t>。</w:t>
      </w:r>
      <w:r>
        <w:rPr>
          <w:rFonts w:eastAsia="仿宋_GB2312"/>
          <w:b/>
          <w:bCs/>
          <w:sz w:val="32"/>
          <w:szCs w:val="32"/>
        </w:rPr>
        <w:t>其中：</w:t>
      </w:r>
    </w:p>
    <w:p w:rsidR="00CF240C" w:rsidRDefault="004B1808" w:rsidP="00CF240C">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b/>
          <w:sz w:val="32"/>
          <w:szCs w:val="32"/>
        </w:rPr>
        <w:t>0</w:t>
      </w:r>
      <w:bookmarkStart w:id="0" w:name="_GoBack"/>
      <w:bookmarkEnd w:id="0"/>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无增减，主要是严</w:t>
      </w:r>
      <w:r>
        <w:rPr>
          <w:rFonts w:eastAsia="仿宋_GB2312" w:hint="eastAsia"/>
          <w:sz w:val="32"/>
          <w:szCs w:val="32"/>
        </w:rPr>
        <w:lastRenderedPageBreak/>
        <w:t>格控制预算</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无增减，主要是严格控制预算</w:t>
      </w:r>
      <w:r>
        <w:rPr>
          <w:rFonts w:eastAsia="仿宋_GB2312"/>
          <w:sz w:val="32"/>
          <w:szCs w:val="32"/>
        </w:rPr>
        <w:t>。</w:t>
      </w:r>
      <w:r>
        <w:rPr>
          <w:rFonts w:eastAsia="仿宋_GB2312"/>
          <w:b/>
          <w:sz w:val="32"/>
          <w:szCs w:val="32"/>
        </w:rPr>
        <w:t>公务用车运行维护费支出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0</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无增减，主要是严格控制预算</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无增减，主要是严格控制预算</w:t>
      </w:r>
      <w:r>
        <w:rPr>
          <w:rFonts w:eastAsia="仿宋_GB2312"/>
          <w:sz w:val="32"/>
          <w:szCs w:val="32"/>
        </w:rPr>
        <w:t>。</w:t>
      </w:r>
      <w:r>
        <w:rPr>
          <w:rFonts w:eastAsia="楷体_GB2312"/>
          <w:b/>
          <w:bCs/>
          <w:sz w:val="32"/>
          <w:szCs w:val="32"/>
        </w:rPr>
        <w:t>（三）公务接待费支出</w:t>
      </w:r>
      <w:r>
        <w:rPr>
          <w:rFonts w:eastAsia="楷体_GB2312" w:hint="eastAsia"/>
          <w:b/>
          <w:bCs/>
          <w:sz w:val="32"/>
          <w:szCs w:val="32"/>
        </w:rPr>
        <w:t>0.2</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2</w:t>
      </w:r>
      <w:r>
        <w:rPr>
          <w:rFonts w:eastAsia="仿宋_GB2312"/>
          <w:sz w:val="32"/>
          <w:szCs w:val="32"/>
        </w:rPr>
        <w:t>批次、</w:t>
      </w:r>
      <w:r>
        <w:rPr>
          <w:rFonts w:eastAsia="仿宋_GB2312" w:hint="eastAsia"/>
          <w:sz w:val="32"/>
          <w:szCs w:val="32"/>
        </w:rPr>
        <w:t>10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无变化，主要是严格控制预算</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0.8</w:t>
      </w:r>
      <w:r>
        <w:rPr>
          <w:rFonts w:eastAsia="仿宋_GB2312"/>
          <w:sz w:val="32"/>
          <w:szCs w:val="32"/>
        </w:rPr>
        <w:t>万元，降低</w:t>
      </w:r>
      <w:r>
        <w:rPr>
          <w:rFonts w:eastAsia="仿宋_GB2312" w:hint="eastAsia"/>
          <w:sz w:val="32"/>
          <w:szCs w:val="32"/>
        </w:rPr>
        <w:t>2</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厉行节俭。</w:t>
      </w:r>
    </w:p>
    <w:p w:rsidR="00CF240C" w:rsidRDefault="004B1808">
      <w:pPr>
        <w:adjustRightInd w:val="0"/>
        <w:snapToGrid w:val="0"/>
        <w:spacing w:after="0" w:line="600" w:lineRule="exact"/>
        <w:ind w:firstLineChars="250" w:firstLine="800"/>
        <w:rPr>
          <w:rFonts w:ascii="黑体" w:eastAsia="黑体"/>
          <w:sz w:val="32"/>
          <w:szCs w:val="40"/>
        </w:rPr>
      </w:pPr>
      <w:r>
        <w:rPr>
          <w:rFonts w:ascii="黑体" w:eastAsia="黑体" w:hint="eastAsia"/>
          <w:sz w:val="32"/>
          <w:szCs w:val="40"/>
        </w:rPr>
        <w:t>六、预算绩效情况说明</w:t>
      </w:r>
    </w:p>
    <w:p w:rsidR="00CF240C" w:rsidRDefault="004B1808" w:rsidP="00CF240C">
      <w:pPr>
        <w:snapToGrid w:val="0"/>
        <w:spacing w:after="0" w:line="60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（一）</w:t>
      </w:r>
      <w:r>
        <w:rPr>
          <w:rFonts w:ascii="仿宋_GB2312" w:eastAsia="仿宋_GB2312" w:cs="DengXian-Regular" w:hint="eastAsia"/>
          <w:sz w:val="32"/>
          <w:szCs w:val="32"/>
        </w:rPr>
        <w:t>预算绩效管理工作开展情况</w:t>
      </w:r>
    </w:p>
    <w:p w:rsidR="00CF240C" w:rsidRDefault="004B1808">
      <w:pPr>
        <w:snapToGrid w:val="0"/>
        <w:spacing w:after="0"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根据财政预算绩效管理要求，我局以“部门职责</w:t>
      </w:r>
      <w:r>
        <w:rPr>
          <w:rFonts w:ascii="仿宋_GB2312" w:eastAsia="仿宋_GB2312" w:cs="仿宋_GB2312" w:hint="eastAsia"/>
          <w:sz w:val="32"/>
          <w:szCs w:val="32"/>
        </w:rPr>
        <w:t>--</w:t>
      </w:r>
      <w:r>
        <w:rPr>
          <w:rFonts w:ascii="仿宋_GB2312" w:eastAsia="仿宋_GB2312" w:cs="仿宋_GB2312" w:hint="eastAsia"/>
          <w:sz w:val="32"/>
          <w:szCs w:val="32"/>
        </w:rPr>
        <w:t>工作活动</w:t>
      </w:r>
      <w:r>
        <w:rPr>
          <w:rFonts w:ascii="仿宋_GB2312" w:eastAsia="仿宋_GB2312" w:cs="仿宋_GB2312" w:hint="eastAsia"/>
          <w:sz w:val="32"/>
          <w:szCs w:val="32"/>
        </w:rPr>
        <w:t>--</w:t>
      </w:r>
      <w:r>
        <w:rPr>
          <w:rFonts w:ascii="仿宋_GB2312" w:eastAsia="仿宋_GB2312" w:cs="仿宋_GB2312" w:hint="eastAsia"/>
          <w:sz w:val="32"/>
          <w:szCs w:val="32"/>
        </w:rPr>
        <w:t>预算项目”为依据，确定部门预算项目和预算额度，清晰描述预算项目开支范围和内容，确定预算项目的绩效目标、绩效指标和评价标准，为预算绩效控制、绩效分析、绩效评价打下好的基础。</w:t>
      </w:r>
    </w:p>
    <w:p w:rsidR="00CF240C" w:rsidRDefault="004B1808">
      <w:pPr>
        <w:spacing w:after="0" w:line="60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CF240C" w:rsidRDefault="004B1808">
      <w:pPr>
        <w:spacing w:after="0" w:line="600" w:lineRule="exact"/>
        <w:ind w:firstLineChars="150" w:firstLine="480"/>
        <w:jc w:val="left"/>
        <w:rPr>
          <w:rFonts w:ascii="仿宋_GB2312" w:eastAsia="仿宋_GB2312" w:cs="仿宋_GB2312"/>
          <w:sz w:val="32"/>
          <w:szCs w:val="32"/>
        </w:rPr>
      </w:pPr>
      <w:r>
        <w:rPr>
          <w:rFonts w:ascii="仿宋_GB2312" w:eastAsia="仿宋_GB2312" w:cs="仿宋_GB2312" w:hint="eastAsia"/>
          <w:sz w:val="32"/>
          <w:szCs w:val="32"/>
        </w:rPr>
        <w:t>按照县财政预算绩效管理要求，老干部局办公室对</w:t>
      </w:r>
      <w:r>
        <w:rPr>
          <w:rFonts w:ascii="仿宋_GB2312" w:eastAsia="仿宋_GB2312" w:cs="仿宋_GB2312" w:hint="eastAsia"/>
          <w:sz w:val="32"/>
          <w:szCs w:val="32"/>
        </w:rPr>
        <w:t>2017</w:t>
      </w:r>
      <w:r>
        <w:rPr>
          <w:rFonts w:ascii="仿宋_GB2312" w:eastAsia="仿宋_GB2312" w:cs="仿宋_GB2312" w:hint="eastAsia"/>
          <w:sz w:val="32"/>
          <w:szCs w:val="32"/>
        </w:rPr>
        <w:t>年年初确定的部门一般公共预算支出项目全面开展了绩效自评。绩效自评覆盖率达到</w:t>
      </w:r>
      <w:r>
        <w:rPr>
          <w:rFonts w:ascii="仿宋_GB2312" w:eastAsia="仿宋_GB2312" w:cs="仿宋_GB2312" w:hint="eastAsia"/>
          <w:sz w:val="32"/>
          <w:szCs w:val="32"/>
        </w:rPr>
        <w:t>100%</w:t>
      </w:r>
      <w:r>
        <w:rPr>
          <w:rFonts w:ascii="仿宋_GB2312" w:eastAsia="仿宋_GB2312" w:cs="仿宋_GB2312" w:hint="eastAsia"/>
          <w:sz w:val="32"/>
          <w:szCs w:val="32"/>
        </w:rPr>
        <w:t>。</w:t>
      </w:r>
    </w:p>
    <w:p w:rsidR="00CF240C" w:rsidRDefault="004B1808">
      <w:pPr>
        <w:spacing w:after="0" w:line="600" w:lineRule="exact"/>
        <w:ind w:firstLine="200"/>
        <w:jc w:val="left"/>
        <w:rPr>
          <w:rFonts w:ascii="仿宋_GB2312" w:eastAsia="仿宋_GB2312" w:cs="仿宋_GB2312"/>
          <w:sz w:val="32"/>
          <w:szCs w:val="32"/>
        </w:rPr>
      </w:pPr>
      <w:r>
        <w:rPr>
          <w:rFonts w:ascii="仿宋_GB2312" w:eastAsia="仿宋_GB2312" w:cs="DengXian-Regular" w:hint="eastAsia"/>
          <w:sz w:val="32"/>
          <w:szCs w:val="32"/>
        </w:rPr>
        <w:t>（三）重点项目绩效评价结果</w:t>
      </w:r>
    </w:p>
    <w:p w:rsidR="00CF240C" w:rsidRDefault="004B1808">
      <w:pPr>
        <w:spacing w:after="0" w:line="600" w:lineRule="exact"/>
        <w:ind w:firstLineChars="200" w:firstLine="640"/>
        <w:outlineLvl w:val="0"/>
        <w:rPr>
          <w:rFonts w:ascii="方正小标宋_GBK" w:eastAsia="方正小标宋_GBK"/>
          <w:sz w:val="32"/>
        </w:rPr>
      </w:pPr>
      <w:r>
        <w:rPr>
          <w:rFonts w:ascii="仿宋_GB2312" w:eastAsia="仿宋_GB2312" w:hint="eastAsia"/>
          <w:sz w:val="32"/>
          <w:szCs w:val="32"/>
        </w:rPr>
        <w:t>为加强预算绩效管理，切实提高财政资金使用效益，进一步</w:t>
      </w:r>
      <w:r>
        <w:rPr>
          <w:rFonts w:ascii="仿宋_GB2312" w:eastAsia="仿宋_GB2312" w:hint="eastAsia"/>
          <w:sz w:val="32"/>
          <w:szCs w:val="32"/>
        </w:rPr>
        <w:lastRenderedPageBreak/>
        <w:t>做好</w:t>
      </w:r>
      <w:r>
        <w:rPr>
          <w:rFonts w:ascii="仿宋_GB2312" w:eastAsia="仿宋_GB2312" w:hint="eastAsia"/>
          <w:sz w:val="32"/>
          <w:szCs w:val="32"/>
        </w:rPr>
        <w:t>2017</w:t>
      </w:r>
      <w:r>
        <w:rPr>
          <w:rFonts w:ascii="仿宋_GB2312" w:eastAsia="仿宋_GB2312" w:hint="eastAsia"/>
          <w:sz w:val="32"/>
          <w:szCs w:val="32"/>
        </w:rPr>
        <w:t>年绩效评价工作，我局继续对专项项目进行重点绩效评价，同时积极创新开展“工作活动”层面的绩效评价。</w:t>
      </w:r>
      <w:r>
        <w:rPr>
          <w:rFonts w:ascii="仿宋_GB2312" w:eastAsia="仿宋_GB2312" w:hint="eastAsia"/>
          <w:sz w:val="32"/>
          <w:szCs w:val="32"/>
        </w:rPr>
        <w:t>2018</w:t>
      </w:r>
      <w:r>
        <w:rPr>
          <w:rFonts w:ascii="仿宋_GB2312" w:eastAsia="仿宋_GB2312" w:hint="eastAsia"/>
          <w:sz w:val="32"/>
          <w:szCs w:val="32"/>
        </w:rPr>
        <w:t>年筛选了</w:t>
      </w:r>
      <w:r>
        <w:rPr>
          <w:rFonts w:ascii="仿宋_GB2312" w:eastAsia="仿宋_GB2312" w:hint="eastAsia"/>
          <w:sz w:val="32"/>
          <w:szCs w:val="32"/>
        </w:rPr>
        <w:t>5</w:t>
      </w:r>
      <w:r>
        <w:rPr>
          <w:rFonts w:ascii="仿宋_GB2312" w:eastAsia="仿宋_GB2312" w:hint="eastAsia"/>
          <w:sz w:val="32"/>
          <w:szCs w:val="32"/>
        </w:rPr>
        <w:t>个项目开展了重点绩效评价工作。截至</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日这项工作已全部完成，取得了良好的成效。此项自评结果为优秀。</w:t>
      </w:r>
    </w:p>
    <w:p w:rsidR="00CF240C" w:rsidRDefault="004B1808">
      <w:pPr>
        <w:pStyle w:val="2"/>
        <w:spacing w:before="0" w:after="0" w:line="60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CF240C" w:rsidRDefault="004B1808" w:rsidP="00CF240C">
      <w:pPr>
        <w:pStyle w:val="3"/>
        <w:spacing w:before="0" w:after="0" w:line="60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CF240C" w:rsidRDefault="004B1808">
      <w:pPr>
        <w:adjustRightInd w:val="0"/>
        <w:snapToGrid w:val="0"/>
        <w:spacing w:after="0" w:line="60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110.47</w:t>
      </w:r>
      <w:r>
        <w:rPr>
          <w:rFonts w:ascii="仿宋_GB2312" w:eastAsia="仿宋_GB2312" w:cs="DengXian-Regular" w:hint="eastAsia"/>
          <w:sz w:val="32"/>
          <w:szCs w:val="32"/>
        </w:rPr>
        <w:t>万元，比年初预算数减少</w:t>
      </w:r>
      <w:r>
        <w:rPr>
          <w:rFonts w:eastAsia="仿宋_GB2312" w:hint="eastAsia"/>
          <w:sz w:val="32"/>
          <w:szCs w:val="32"/>
        </w:rPr>
        <w:t>3.7</w:t>
      </w:r>
      <w:r>
        <w:rPr>
          <w:rFonts w:ascii="仿宋_GB2312" w:eastAsia="仿宋_GB2312" w:cs="DengXian-Regular" w:hint="eastAsia"/>
          <w:sz w:val="32"/>
          <w:szCs w:val="32"/>
        </w:rPr>
        <w:t>万元，减少</w:t>
      </w:r>
      <w:r>
        <w:rPr>
          <w:rFonts w:ascii="仿宋_GB2312" w:eastAsia="仿宋_GB2312" w:cs="DengXian-Regular" w:hint="eastAsia"/>
          <w:sz w:val="32"/>
          <w:szCs w:val="32"/>
        </w:rPr>
        <w:t>3.24</w:t>
      </w:r>
      <w:r>
        <w:rPr>
          <w:rFonts w:eastAsia="仿宋_GB2312"/>
          <w:sz w:val="32"/>
          <w:szCs w:val="32"/>
        </w:rPr>
        <w:t>%</w:t>
      </w:r>
      <w:r>
        <w:rPr>
          <w:rFonts w:ascii="仿宋_GB2312" w:eastAsia="仿宋_GB2312" w:cs="DengXian-Regular" w:hint="eastAsia"/>
          <w:sz w:val="32"/>
          <w:szCs w:val="32"/>
        </w:rPr>
        <w:t>。主要是厉行节俭。</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21.17</w:t>
      </w:r>
      <w:r>
        <w:rPr>
          <w:rFonts w:eastAsia="仿宋_GB2312"/>
          <w:sz w:val="32"/>
          <w:szCs w:val="32"/>
        </w:rPr>
        <w:t>万元，增长</w:t>
      </w:r>
      <w:r>
        <w:rPr>
          <w:rFonts w:eastAsia="仿宋_GB2312" w:hint="eastAsia"/>
          <w:sz w:val="32"/>
          <w:szCs w:val="32"/>
        </w:rPr>
        <w:t>23.71</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增加办</w:t>
      </w:r>
      <w:r>
        <w:rPr>
          <w:rFonts w:ascii="仿宋_GB2312" w:eastAsia="仿宋_GB2312" w:cs="DengXian-Regular" w:hint="eastAsia"/>
          <w:sz w:val="32"/>
          <w:szCs w:val="32"/>
        </w:rPr>
        <w:t>公费和取暖费的支出</w:t>
      </w:r>
      <w:r>
        <w:rPr>
          <w:rFonts w:eastAsia="仿宋_GB2312"/>
          <w:sz w:val="32"/>
          <w:szCs w:val="32"/>
        </w:rPr>
        <w:t>。</w:t>
      </w:r>
    </w:p>
    <w:p w:rsidR="00CF240C" w:rsidRDefault="004B1808" w:rsidP="00CF240C">
      <w:pPr>
        <w:pStyle w:val="3"/>
        <w:spacing w:before="0" w:after="0" w:line="600" w:lineRule="exact"/>
        <w:ind w:firstLineChars="200" w:firstLine="643"/>
        <w:rPr>
          <w:rFonts w:ascii="楷体_GB2312" w:eastAsia="楷体_GB2312" w:cs="DengXian-Bold"/>
        </w:rPr>
      </w:pPr>
      <w:r>
        <w:rPr>
          <w:rFonts w:ascii="楷体_GB2312" w:eastAsia="楷体_GB2312" w:cs="DengXian-Bold" w:hint="eastAsia"/>
        </w:rPr>
        <w:t>（二）政府采购情况</w:t>
      </w:r>
    </w:p>
    <w:p w:rsidR="00CF240C" w:rsidRDefault="004B1808">
      <w:pPr>
        <w:widowControl/>
        <w:spacing w:after="0" w:line="60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0.99</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0.99</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r>
        <w:rPr>
          <w:rFonts w:ascii="仿宋_GB2312" w:eastAsia="仿宋_GB2312" w:cs="仿宋_GB2312"/>
          <w:color w:val="000000"/>
          <w:kern w:val="0"/>
          <w:sz w:val="32"/>
          <w:szCs w:val="32"/>
        </w:rPr>
        <w:t>。</w:t>
      </w:r>
    </w:p>
    <w:p w:rsidR="00CF240C" w:rsidRDefault="004B1808" w:rsidP="00CF240C">
      <w:pPr>
        <w:pStyle w:val="3"/>
        <w:spacing w:before="0" w:after="0" w:line="60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CF240C" w:rsidRDefault="004B1808">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0</w:t>
      </w:r>
      <w:r>
        <w:rPr>
          <w:rFonts w:ascii="仿宋_GB2312" w:eastAsia="仿宋_GB2312" w:cs="DengXian-Regular" w:hint="eastAsia"/>
          <w:sz w:val="32"/>
          <w:szCs w:val="32"/>
        </w:rPr>
        <w:t>辆，比上年无增减，主要是严格控制预算。其中，副部（省）级及以上领导用车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w:t>
      </w:r>
      <w:r>
        <w:rPr>
          <w:rFonts w:ascii="仿宋_GB2312" w:eastAsia="仿宋_GB2312" w:cs="DengXian-Regular" w:hint="eastAsia"/>
          <w:sz w:val="32"/>
          <w:szCs w:val="32"/>
        </w:rPr>
        <w:lastRenderedPageBreak/>
        <w:t>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w:t>
      </w:r>
      <w:r>
        <w:rPr>
          <w:rFonts w:ascii="仿宋_GB2312" w:eastAsia="仿宋_GB2312" w:cs="仿宋_GB2312" w:hint="eastAsia"/>
          <w:sz w:val="32"/>
          <w:szCs w:val="32"/>
        </w:rPr>
        <w:t>其中：</w:t>
      </w:r>
      <w:r>
        <w:rPr>
          <w:rFonts w:ascii="仿宋_GB2312" w:eastAsia="仿宋_GB2312" w:cs="仿宋_GB2312" w:hint="eastAsia"/>
          <w:sz w:val="32"/>
          <w:szCs w:val="32"/>
        </w:rPr>
        <w:t>50</w:t>
      </w:r>
      <w:r>
        <w:rPr>
          <w:rFonts w:ascii="仿宋_GB2312" w:eastAsia="仿宋_GB2312" w:cs="仿宋_GB2312" w:hint="eastAsia"/>
          <w:sz w:val="32"/>
          <w:szCs w:val="32"/>
        </w:rPr>
        <w:t>万元以上大型设备</w:t>
      </w:r>
      <w:r>
        <w:rPr>
          <w:rFonts w:ascii="仿宋_GB2312" w:eastAsia="仿宋_GB2312" w:cs="仿宋_GB2312" w:hint="eastAsia"/>
          <w:sz w:val="32"/>
          <w:szCs w:val="32"/>
        </w:rPr>
        <w:t>0</w:t>
      </w:r>
      <w:r>
        <w:rPr>
          <w:rFonts w:ascii="仿宋_GB2312" w:eastAsia="仿宋_GB2312" w:cs="仿宋_GB2312" w:hint="eastAsia"/>
          <w:sz w:val="32"/>
          <w:szCs w:val="32"/>
        </w:rPr>
        <w:t>台（套），单位价值</w:t>
      </w:r>
      <w:r>
        <w:rPr>
          <w:rFonts w:ascii="仿宋_GB2312" w:eastAsia="仿宋_GB2312" w:cs="仿宋_GB2312" w:hint="eastAsia"/>
          <w:sz w:val="32"/>
          <w:szCs w:val="32"/>
        </w:rPr>
        <w:t>100</w:t>
      </w:r>
      <w:r>
        <w:rPr>
          <w:rFonts w:ascii="仿宋_GB2312" w:eastAsia="仿宋_GB2312" w:cs="仿宋_GB2312" w:hint="eastAsia"/>
          <w:sz w:val="32"/>
          <w:szCs w:val="32"/>
        </w:rPr>
        <w:t>万元以上大型设备</w:t>
      </w:r>
      <w:r>
        <w:rPr>
          <w:rFonts w:ascii="仿宋_GB2312" w:eastAsia="仿宋_GB2312" w:cs="仿宋_GB2312" w:hint="eastAsia"/>
          <w:sz w:val="32"/>
          <w:szCs w:val="32"/>
        </w:rPr>
        <w:t>0</w:t>
      </w:r>
      <w:r>
        <w:rPr>
          <w:rFonts w:ascii="仿宋_GB2312" w:eastAsia="仿宋_GB2312" w:cs="仿宋_GB2312" w:hint="eastAsia"/>
          <w:sz w:val="32"/>
          <w:szCs w:val="32"/>
        </w:rPr>
        <w:t>台（套）。</w:t>
      </w:r>
      <w:r>
        <w:rPr>
          <w:rFonts w:ascii="仿宋_GB2312" w:eastAsia="仿宋_GB2312" w:cs="DengXian-Regular" w:hint="eastAsia"/>
          <w:sz w:val="32"/>
          <w:szCs w:val="32"/>
        </w:rPr>
        <w:t>比上年增减无变化。</w:t>
      </w:r>
      <w:r>
        <w:rPr>
          <w:rFonts w:eastAsia="仿宋_GB2312"/>
          <w:sz w:val="32"/>
          <w:szCs w:val="32"/>
        </w:rPr>
        <w:t>主要是</w:t>
      </w:r>
      <w:r>
        <w:rPr>
          <w:rFonts w:eastAsia="仿宋_GB2312" w:hint="eastAsia"/>
          <w:sz w:val="32"/>
          <w:szCs w:val="32"/>
        </w:rPr>
        <w:t>严格控制预算。</w:t>
      </w:r>
    </w:p>
    <w:p w:rsidR="00CF240C" w:rsidRDefault="00CF240C">
      <w:pPr>
        <w:spacing w:after="0" w:line="600" w:lineRule="exact"/>
        <w:ind w:firstLineChars="150" w:firstLine="480"/>
        <w:rPr>
          <w:rFonts w:ascii="仿宋_GB2312" w:eastAsia="仿宋_GB2312" w:cs="仿宋_GB2312"/>
          <w:sz w:val="32"/>
          <w:szCs w:val="32"/>
        </w:rPr>
      </w:pPr>
    </w:p>
    <w:p w:rsidR="00CF240C" w:rsidRDefault="004B1808">
      <w:pPr>
        <w:adjustRightInd w:val="0"/>
        <w:snapToGrid w:val="0"/>
        <w:spacing w:after="0" w:line="60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w:t>
      </w:r>
    </w:p>
    <w:p w:rsidR="00CF240C" w:rsidRDefault="004B1808" w:rsidP="00CF240C">
      <w:pPr>
        <w:pStyle w:val="3"/>
        <w:spacing w:before="0" w:after="0" w:line="60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CF240C" w:rsidRDefault="004B1808">
      <w:pPr>
        <w:adjustRightInd w:val="0"/>
        <w:snapToGrid w:val="0"/>
        <w:spacing w:after="0" w:line="600" w:lineRule="exact"/>
        <w:ind w:firstLineChars="200" w:firstLine="640"/>
        <w:rPr>
          <w:rFonts w:ascii="仿宋_GB2312" w:eastAsia="仿宋_GB2312" w:cs="仿宋_GB2312"/>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仿宋_GB2312" w:hint="eastAsia"/>
          <w:sz w:val="32"/>
          <w:szCs w:val="32"/>
        </w:rPr>
        <w:t>年末结转和结余</w:t>
      </w:r>
      <w:r>
        <w:rPr>
          <w:rFonts w:eastAsia="仿宋_GB2312" w:hint="eastAsia"/>
          <w:sz w:val="32"/>
          <w:szCs w:val="32"/>
        </w:rPr>
        <w:t>16.63</w:t>
      </w:r>
      <w:r>
        <w:rPr>
          <w:rFonts w:ascii="仿宋_GB2312" w:eastAsia="仿宋_GB2312" w:cs="仿宋_GB2312" w:hint="eastAsia"/>
          <w:sz w:val="32"/>
          <w:szCs w:val="32"/>
        </w:rPr>
        <w:t>万元</w:t>
      </w:r>
      <w:r>
        <w:rPr>
          <w:rFonts w:ascii="仿宋_GB2312" w:eastAsia="仿宋_GB2312" w:cs="仿宋_GB2312" w:hint="eastAsia"/>
          <w:sz w:val="32"/>
          <w:szCs w:val="32"/>
        </w:rPr>
        <w:t xml:space="preserve"> .                </w:t>
      </w:r>
    </w:p>
    <w:p w:rsidR="00CF240C" w:rsidRDefault="004B1808">
      <w:pPr>
        <w:widowControl/>
        <w:spacing w:after="0" w:line="600" w:lineRule="exact"/>
        <w:ind w:firstLineChars="200" w:firstLine="640"/>
        <w:jc w:val="left"/>
        <w:rPr>
          <w:rFonts w:ascii="宋体" w:cs="MS-UIGothic,Bold"/>
          <w:b/>
          <w:bCs/>
          <w:kern w:val="0"/>
          <w:sz w:val="44"/>
          <w:szCs w:val="44"/>
        </w:rPr>
        <w:sectPr w:rsidR="00CF240C">
          <w:pgSz w:w="11907" w:h="16840"/>
          <w:pgMar w:top="2098" w:right="1474" w:bottom="1985" w:left="1588" w:header="851" w:footer="992" w:gutter="0"/>
          <w:cols w:space="720"/>
          <w:docGrid w:type="lines" w:linePitch="312"/>
        </w:sect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CF240C" w:rsidRDefault="00CF240C">
      <w:pPr>
        <w:widowControl/>
        <w:spacing w:line="1200" w:lineRule="exact"/>
        <w:jc w:val="center"/>
        <w:rPr>
          <w:rFonts w:ascii="黑体" w:eastAsia="黑体"/>
          <w:color w:val="000000"/>
          <w:sz w:val="96"/>
          <w:szCs w:val="96"/>
        </w:rPr>
      </w:pPr>
    </w:p>
    <w:p w:rsidR="00CF240C" w:rsidRDefault="00CF240C">
      <w:pPr>
        <w:widowControl/>
        <w:spacing w:line="1200" w:lineRule="exact"/>
        <w:jc w:val="center"/>
        <w:rPr>
          <w:rFonts w:ascii="黑体" w:eastAsia="黑体"/>
          <w:color w:val="000000"/>
          <w:sz w:val="96"/>
          <w:szCs w:val="96"/>
        </w:rPr>
      </w:pPr>
    </w:p>
    <w:p w:rsidR="00CF240C" w:rsidRDefault="00CF240C">
      <w:pPr>
        <w:widowControl/>
        <w:spacing w:line="1200" w:lineRule="exact"/>
        <w:jc w:val="center"/>
        <w:rPr>
          <w:rFonts w:ascii="黑体" w:eastAsia="黑体"/>
          <w:color w:val="000000"/>
          <w:sz w:val="96"/>
          <w:szCs w:val="96"/>
        </w:rPr>
      </w:pPr>
    </w:p>
    <w:p w:rsidR="00CF240C" w:rsidRDefault="004B1808">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CF240C" w:rsidRDefault="004B1808">
      <w:pPr>
        <w:widowControl/>
        <w:spacing w:line="1200" w:lineRule="exact"/>
        <w:jc w:val="center"/>
        <w:rPr>
          <w:color w:val="000000"/>
          <w:sz w:val="96"/>
          <w:szCs w:val="96"/>
        </w:rPr>
      </w:pPr>
      <w:r>
        <w:rPr>
          <w:rFonts w:ascii="黑体" w:eastAsia="黑体" w:hint="eastAsia"/>
          <w:color w:val="000000"/>
          <w:sz w:val="96"/>
          <w:szCs w:val="96"/>
        </w:rPr>
        <w:t>名词解释</w:t>
      </w:r>
    </w:p>
    <w:p w:rsidR="00CF240C" w:rsidRDefault="00CF240C">
      <w:pPr>
        <w:rPr>
          <w:rFonts w:ascii="宋体" w:cs="ArialUnicodeMS"/>
          <w:color w:val="000000"/>
          <w:kern w:val="0"/>
        </w:rPr>
        <w:sectPr w:rsidR="00CF240C">
          <w:pgSz w:w="11906" w:h="16838"/>
          <w:pgMar w:top="1588" w:right="2098" w:bottom="1474" w:left="1984" w:header="851" w:footer="992" w:gutter="0"/>
          <w:cols w:space="720"/>
          <w:docGrid w:type="lines" w:linePitch="312"/>
        </w:sectPr>
      </w:pP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w:t>
      </w:r>
      <w:r>
        <w:rPr>
          <w:rFonts w:ascii="仿宋_GB2312" w:eastAsia="仿宋_GB2312" w:hint="eastAsia"/>
          <w:color w:val="000000"/>
          <w:kern w:val="0"/>
          <w:sz w:val="32"/>
          <w:szCs w:val="32"/>
        </w:rPr>
        <w:t>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w:t>
      </w:r>
      <w:r>
        <w:rPr>
          <w:rFonts w:ascii="仿宋_GB2312" w:eastAsia="仿宋_GB2312" w:hint="eastAsia"/>
          <w:color w:val="000000"/>
          <w:kern w:val="0"/>
          <w:sz w:val="32"/>
          <w:szCs w:val="32"/>
        </w:rPr>
        <w:t>险费等。</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CF240C" w:rsidRDefault="004B1808" w:rsidP="00CF240C">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F240C" w:rsidRDefault="004B1808" w:rsidP="00CF240C">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ind w:firstLineChars="200" w:firstLine="640"/>
        <w:rPr>
          <w:rFonts w:ascii="仿宋_GB2312" w:eastAsia="仿宋_GB2312" w:cs="ArialUnicodeMS"/>
          <w:kern w:val="0"/>
          <w:sz w:val="32"/>
          <w:szCs w:val="32"/>
        </w:rPr>
      </w:pPr>
    </w:p>
    <w:p w:rsidR="00CF240C" w:rsidRDefault="00CF240C">
      <w:pPr>
        <w:widowControl/>
        <w:spacing w:after="0" w:line="560" w:lineRule="exact"/>
        <w:rPr>
          <w:rFonts w:ascii="仿宋_GB2312" w:eastAsia="仿宋_GB2312" w:cs="ArialUnicodeMS"/>
          <w:kern w:val="0"/>
          <w:sz w:val="32"/>
          <w:szCs w:val="32"/>
        </w:rPr>
      </w:pPr>
    </w:p>
    <w:sectPr w:rsidR="00CF240C" w:rsidSect="00CF240C">
      <w:pgSz w:w="11906" w:h="16838"/>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808" w:rsidRDefault="004B1808" w:rsidP="004B1808">
      <w:pPr>
        <w:spacing w:after="0" w:line="240" w:lineRule="auto"/>
      </w:pPr>
      <w:r>
        <w:separator/>
      </w:r>
    </w:p>
  </w:endnote>
  <w:endnote w:type="continuationSeparator" w:id="0">
    <w:p w:rsidR="004B1808" w:rsidRDefault="004B1808" w:rsidP="004B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MS-UIGothic,Bold">
    <w:altName w:val="Malgun Gothic"/>
    <w:charset w:val="81"/>
    <w:family w:val="auto"/>
    <w:pitch w:val="variable"/>
    <w:sig w:usb0="00000000" w:usb1="00000000" w:usb2="00000010" w:usb3="00000000" w:csb0="00080000" w:csb1="00000000"/>
  </w:font>
  <w:font w:name="DengXian-Regular">
    <w:altName w:val="宋体"/>
    <w:charset w:val="86"/>
    <w:family w:val="auto"/>
    <w:pitch w:val="variable"/>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charset w:val="86"/>
    <w:family w:val="auto"/>
    <w:pitch w:val="variable"/>
    <w:sig w:usb0="00000000" w:usb1="00000000" w:usb2="00000010" w:usb3="00000000" w:csb0="00040001" w:csb1="00000000"/>
  </w:font>
  <w:font w:name="方正小标宋_GBK">
    <w:altName w:val="微软雅黑"/>
    <w:charset w:val="86"/>
    <w:family w:val="script"/>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808" w:rsidRDefault="004B1808" w:rsidP="004B1808">
      <w:pPr>
        <w:spacing w:after="0" w:line="240" w:lineRule="auto"/>
      </w:pPr>
      <w:r>
        <w:separator/>
      </w:r>
    </w:p>
  </w:footnote>
  <w:footnote w:type="continuationSeparator" w:id="0">
    <w:p w:rsidR="004B1808" w:rsidRDefault="004B1808" w:rsidP="004B18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
  <w:rsids>
    <w:rsidRoot w:val="00CF240C"/>
    <w:rsid w:val="004B1808"/>
    <w:rsid w:val="00CF2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40C"/>
    <w:pPr>
      <w:widowControl w:val="0"/>
      <w:spacing w:after="160" w:line="480" w:lineRule="auto"/>
      <w:jc w:val="both"/>
    </w:pPr>
    <w:rPr>
      <w:kern w:val="2"/>
      <w:sz w:val="21"/>
      <w:szCs w:val="24"/>
    </w:rPr>
  </w:style>
  <w:style w:type="paragraph" w:styleId="1">
    <w:name w:val="heading 1"/>
    <w:basedOn w:val="a"/>
    <w:next w:val="a"/>
    <w:rsid w:val="00CF240C"/>
    <w:pPr>
      <w:keepNext/>
      <w:keepLines/>
      <w:spacing w:before="340" w:after="330" w:line="578" w:lineRule="auto"/>
      <w:outlineLvl w:val="0"/>
    </w:pPr>
    <w:rPr>
      <w:b/>
      <w:bCs/>
      <w:kern w:val="44"/>
      <w:sz w:val="44"/>
      <w:szCs w:val="44"/>
    </w:rPr>
  </w:style>
  <w:style w:type="paragraph" w:styleId="2">
    <w:name w:val="heading 2"/>
    <w:basedOn w:val="a"/>
    <w:next w:val="a"/>
    <w:rsid w:val="00CF240C"/>
    <w:pPr>
      <w:keepNext/>
      <w:keepLines/>
      <w:spacing w:before="260" w:after="260" w:line="415" w:lineRule="auto"/>
      <w:outlineLvl w:val="1"/>
    </w:pPr>
    <w:rPr>
      <w:rFonts w:ascii="Calibri" w:hAnsi="Calibri" w:cs="Arial"/>
      <w:b/>
      <w:bCs/>
      <w:sz w:val="32"/>
      <w:szCs w:val="32"/>
    </w:rPr>
  </w:style>
  <w:style w:type="paragraph" w:styleId="3">
    <w:name w:val="heading 3"/>
    <w:basedOn w:val="a"/>
    <w:next w:val="a"/>
    <w:rsid w:val="00CF240C"/>
    <w:pPr>
      <w:keepNext/>
      <w:keepLines/>
      <w:spacing w:before="260" w:after="260" w:line="415" w:lineRule="auto"/>
      <w:outlineLvl w:val="2"/>
    </w:pPr>
    <w:rPr>
      <w:b/>
      <w:bCs/>
      <w:sz w:val="32"/>
      <w:szCs w:val="32"/>
    </w:rPr>
  </w:style>
  <w:style w:type="paragraph" w:styleId="4">
    <w:name w:val="heading 4"/>
    <w:basedOn w:val="a"/>
    <w:next w:val="a"/>
    <w:rsid w:val="00CF240C"/>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240C"/>
    <w:pPr>
      <w:ind w:leftChars="2500" w:left="2500"/>
    </w:pPr>
  </w:style>
  <w:style w:type="paragraph" w:styleId="a4">
    <w:name w:val="Balloon Text"/>
    <w:basedOn w:val="a"/>
    <w:rsid w:val="00CF240C"/>
    <w:rPr>
      <w:sz w:val="18"/>
      <w:szCs w:val="18"/>
    </w:rPr>
  </w:style>
  <w:style w:type="paragraph" w:styleId="a5">
    <w:name w:val="footer"/>
    <w:basedOn w:val="a"/>
    <w:rsid w:val="00CF240C"/>
    <w:pPr>
      <w:tabs>
        <w:tab w:val="center" w:pos="4153"/>
        <w:tab w:val="right" w:pos="8306"/>
      </w:tabs>
      <w:snapToGrid w:val="0"/>
      <w:jc w:val="left"/>
    </w:pPr>
    <w:rPr>
      <w:rFonts w:ascii="Cambria" w:eastAsia="黑体" w:hAnsi="Cambria"/>
      <w:sz w:val="18"/>
      <w:szCs w:val="18"/>
    </w:rPr>
  </w:style>
  <w:style w:type="paragraph" w:styleId="a6">
    <w:name w:val="header"/>
    <w:basedOn w:val="a"/>
    <w:rsid w:val="00CF240C"/>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rsid w:val="00CF240C"/>
    <w:pPr>
      <w:widowControl/>
      <w:spacing w:after="200" w:line="276" w:lineRule="auto"/>
      <w:jc w:val="left"/>
    </w:pPr>
    <w:rPr>
      <w:rFonts w:ascii="Calibri" w:hAnsi="Calibri" w:cs="Arial"/>
      <w:i/>
      <w:iCs/>
      <w:color w:val="F0A22E"/>
      <w:spacing w:val="15"/>
      <w:kern w:val="0"/>
      <w:sz w:val="24"/>
    </w:rPr>
  </w:style>
  <w:style w:type="paragraph" w:styleId="a8">
    <w:name w:val="Normal (Web)"/>
    <w:basedOn w:val="a"/>
    <w:rsid w:val="00CF240C"/>
    <w:pPr>
      <w:spacing w:beforeAutospacing="1" w:after="0" w:afterAutospacing="1"/>
      <w:jc w:val="left"/>
    </w:pPr>
    <w:rPr>
      <w:kern w:val="0"/>
      <w:sz w:val="24"/>
    </w:rPr>
  </w:style>
  <w:style w:type="paragraph" w:styleId="a9">
    <w:name w:val="Title"/>
    <w:basedOn w:val="a"/>
    <w:next w:val="a"/>
    <w:rsid w:val="00CF240C"/>
    <w:pPr>
      <w:widowControl/>
      <w:pBdr>
        <w:bottom w:val="single" w:sz="8" w:space="4" w:color="F0A22E"/>
      </w:pBdr>
      <w:spacing w:after="300"/>
      <w:contextualSpacing/>
      <w:jc w:val="left"/>
    </w:pPr>
    <w:rPr>
      <w:rFonts w:ascii="Calibri" w:hAnsi="Calibri" w:cs="Arial"/>
      <w:color w:val="3A2C23"/>
      <w:spacing w:val="5"/>
      <w:kern w:val="28"/>
      <w:sz w:val="52"/>
      <w:szCs w:val="52"/>
    </w:rPr>
  </w:style>
  <w:style w:type="paragraph" w:customStyle="1" w:styleId="10">
    <w:name w:val="无间隔1"/>
    <w:rsid w:val="00CF240C"/>
    <w:pPr>
      <w:spacing w:after="160" w:line="480" w:lineRule="auto"/>
    </w:pPr>
    <w:rPr>
      <w:rFonts w:ascii="Cambria" w:eastAsia="黑体" w:hAnsi="Cambria"/>
      <w:sz w:val="22"/>
      <w:szCs w:val="22"/>
    </w:rPr>
  </w:style>
  <w:style w:type="character" w:customStyle="1" w:styleId="Style1">
    <w:name w:val="Style1"/>
    <w:basedOn w:val="a0"/>
    <w:rsid w:val="00CF240C"/>
    <w:rPr>
      <w:rFonts w:ascii="Cambria" w:eastAsia="黑体" w:hAnsi="Cambria" w:cs="Times New Roman"/>
      <w:sz w:val="22"/>
      <w:szCs w:val="22"/>
      <w:lang w:eastAsia="zh-CN"/>
    </w:rPr>
  </w:style>
  <w:style w:type="character" w:customStyle="1" w:styleId="Style2">
    <w:name w:val="Style2"/>
    <w:basedOn w:val="a0"/>
    <w:rsid w:val="00CF240C"/>
    <w:rPr>
      <w:rFonts w:ascii="Cambria" w:eastAsia="黑体" w:hAnsi="Cambria" w:cs="Times New Roman"/>
      <w:sz w:val="22"/>
      <w:szCs w:val="22"/>
      <w:lang w:eastAsia="zh-CN"/>
    </w:rPr>
  </w:style>
  <w:style w:type="character" w:customStyle="1" w:styleId="Style3">
    <w:name w:val="Style3"/>
    <w:basedOn w:val="a0"/>
    <w:rsid w:val="00CF240C"/>
    <w:rPr>
      <w:rFonts w:ascii="Cambria" w:eastAsia="黑体" w:hAnsi="Cambria" w:cs="Times New Roman"/>
      <w:szCs w:val="22"/>
      <w:lang w:eastAsia="zh-CN"/>
    </w:rPr>
  </w:style>
  <w:style w:type="character" w:customStyle="1" w:styleId="Style4">
    <w:name w:val="Style4"/>
    <w:basedOn w:val="a0"/>
    <w:rsid w:val="00CF240C"/>
    <w:rPr>
      <w:rFonts w:ascii="Cambria" w:eastAsia="黑体" w:hAnsi="Cambria" w:cs="Times New Roman"/>
      <w:szCs w:val="22"/>
      <w:lang w:eastAsia="zh-CN"/>
    </w:rPr>
  </w:style>
  <w:style w:type="character" w:customStyle="1" w:styleId="Style5">
    <w:name w:val="Style5"/>
    <w:basedOn w:val="a0"/>
    <w:rsid w:val="00CF240C"/>
    <w:rPr>
      <w:rFonts w:ascii="Cambria" w:eastAsia="黑体" w:hAnsi="Cambria" w:cs="Times New Roman"/>
      <w:sz w:val="22"/>
      <w:szCs w:val="22"/>
      <w:lang w:eastAsia="zh-CN"/>
    </w:rPr>
  </w:style>
  <w:style w:type="paragraph" w:customStyle="1" w:styleId="11">
    <w:name w:val="列出段落1"/>
    <w:basedOn w:val="a"/>
    <w:rsid w:val="00CF240C"/>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21</Pages>
  <Words>866</Words>
  <Characters>4942</Characters>
  <Application>Microsoft Office Word</Application>
  <DocSecurity>0</DocSecurity>
  <Lines>41</Lines>
  <Paragraphs>11</Paragraphs>
  <ScaleCrop>false</ScaleCrop>
  <Company>Microsoft</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61</cp:revision>
  <cp:lastPrinted>2019-11-04T06:55:00Z</cp:lastPrinted>
  <dcterms:created xsi:type="dcterms:W3CDTF">2019-11-11T01:51:00Z</dcterms:created>
  <dcterms:modified xsi:type="dcterms:W3CDTF">2021-05-31T07:25:00Z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