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hint="eastAsia" w:ascii="楷体" w:hAnsi="楷体" w:eastAsia="宋体" w:cs="楷体"/>
          <w:b/>
          <w:sz w:val="44"/>
          <w:szCs w:val="44"/>
          <w:lang w:eastAsia="zh-CN"/>
        </w:rPr>
        <w:sectPr>
          <w:pgSz w:w="11906" w:h="16838"/>
          <w:pgMar w:top="2098" w:right="1474" w:bottom="1985" w:left="1588" w:header="851" w:footer="992" w:gutter="0"/>
          <w:cols w:space="425" w:num="1"/>
          <w:docGrid w:type="lines" w:linePitch="312" w:charSpace="0"/>
        </w:sectPr>
      </w:pPr>
      <w:r>
        <w:rPr>
          <w:b/>
          <w:sz w:val="44"/>
          <w:szCs w:val="44"/>
        </w:rPr>
        <w:t>廊坊市</w:t>
      </w:r>
      <w:r>
        <w:rPr>
          <w:rFonts w:hint="eastAsia"/>
          <w:b/>
          <w:sz w:val="44"/>
          <w:szCs w:val="44"/>
          <w:lang w:eastAsia="zh-CN"/>
        </w:rPr>
        <w:t>大城县水务局</w:t>
      </w: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eastAsia="仿宋_GB2312"/>
          <w:sz w:val="24"/>
          <w:szCs w:val="32"/>
        </w:rPr>
      </w:pPr>
      <w:r>
        <w:rPr>
          <w:rFonts w:eastAsia="黑体"/>
          <w:sz w:val="32"/>
          <w:szCs w:val="32"/>
        </w:rPr>
        <w:t>第一部分</w:t>
      </w:r>
      <w:r>
        <w:rPr>
          <w:rFonts w:hint="eastAsia" w:eastAsia="黑体"/>
          <w:sz w:val="32"/>
          <w:szCs w:val="32"/>
          <w:lang w:val="en-US" w:eastAsia="zh-CN"/>
        </w:rPr>
        <w:t xml:space="preserve">   </w:t>
      </w:r>
      <w:r>
        <w:rPr>
          <w:rFonts w:eastAsia="黑体"/>
          <w:sz w:val="32"/>
          <w:szCs w:val="32"/>
        </w:rPr>
        <w:t>部门概况</w:t>
      </w:r>
    </w:p>
    <w:p>
      <w:pPr>
        <w:widowControl/>
        <w:spacing w:line="580" w:lineRule="exact"/>
        <w:ind w:firstLine="1273" w:firstLineChars="398"/>
        <w:rPr>
          <w:rFonts w:hint="eastAsia" w:ascii="仿宋" w:hAnsi="仿宋" w:eastAsia="仿宋" w:cs="仿宋"/>
          <w:sz w:val="32"/>
          <w:szCs w:val="32"/>
        </w:rPr>
      </w:pPr>
      <w:r>
        <w:rPr>
          <w:rFonts w:eastAsia="仿宋_GB2312"/>
          <w:sz w:val="32"/>
          <w:szCs w:val="32"/>
        </w:rPr>
        <w:t>一、</w:t>
      </w:r>
      <w:r>
        <w:rPr>
          <w:rFonts w:hint="eastAsia" w:ascii="仿宋" w:hAnsi="仿宋" w:eastAsia="仿宋" w:cs="仿宋"/>
          <w:sz w:val="32"/>
          <w:szCs w:val="32"/>
        </w:rPr>
        <w:t>部门职责</w:t>
      </w:r>
    </w:p>
    <w:p>
      <w:pPr>
        <w:widowControl/>
        <w:spacing w:line="580" w:lineRule="exact"/>
        <w:ind w:firstLine="1273" w:firstLineChars="398"/>
        <w:rPr>
          <w:rFonts w:hint="eastAsia" w:ascii="仿宋" w:hAnsi="仿宋" w:eastAsia="仿宋" w:cs="仿宋"/>
          <w:sz w:val="32"/>
          <w:szCs w:val="32"/>
        </w:rPr>
      </w:pPr>
      <w:r>
        <w:rPr>
          <w:rFonts w:hint="eastAsia" w:ascii="仿宋" w:hAnsi="仿宋" w:eastAsia="仿宋" w:cs="仿宋"/>
          <w:sz w:val="32"/>
          <w:szCs w:val="32"/>
        </w:rPr>
        <w:t>二、机构设置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hint="eastAsia" w:ascii="仿宋" w:hAnsi="仿宋" w:eastAsia="仿宋" w:cs="仿宋"/>
          <w:sz w:val="32"/>
          <w:szCs w:val="32"/>
        </w:rPr>
      </w:pPr>
      <w:r>
        <w:rPr>
          <w:rFonts w:eastAsia="仿宋_GB2312"/>
          <w:sz w:val="32"/>
          <w:szCs w:val="32"/>
        </w:rPr>
        <w:t>一、</w:t>
      </w:r>
      <w:r>
        <w:rPr>
          <w:rFonts w:hint="eastAsia" w:ascii="仿宋" w:hAnsi="仿宋" w:eastAsia="仿宋" w:cs="仿宋"/>
          <w:sz w:val="32"/>
          <w:szCs w:val="32"/>
        </w:rPr>
        <w:t>收入支出决算总表</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二、收入决算表</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三、支出决算表</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五、一般公共预算财政拨款支出决算表</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六、一般公共预算财政拨款基本支出决算表</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七、一般公共预算财政拨款“三公”经费支出决算表</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八、政府性基金预算财政拨款收入支出决算表</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九、国有资本经营预算财政拨款支出决算表</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十、政府采购情况表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lang w:val="en-US" w:eastAsia="zh-CN"/>
        </w:rPr>
        <w:t xml:space="preserve"> </w:t>
      </w: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hint="eastAsia" w:ascii="仿宋" w:hAnsi="仿宋" w:eastAsia="仿宋" w:cs="仿宋"/>
          <w:sz w:val="32"/>
          <w:szCs w:val="32"/>
        </w:rPr>
      </w:pPr>
      <w:r>
        <w:rPr>
          <w:rFonts w:eastAsia="仿宋_GB2312"/>
          <w:sz w:val="32"/>
          <w:szCs w:val="32"/>
        </w:rPr>
        <w:t>一、</w:t>
      </w:r>
      <w:r>
        <w:rPr>
          <w:rFonts w:hint="eastAsia" w:ascii="仿宋" w:hAnsi="仿宋" w:eastAsia="仿宋" w:cs="仿宋"/>
          <w:sz w:val="32"/>
          <w:szCs w:val="32"/>
        </w:rPr>
        <w:t>收入支出决算总体情况说明</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二、收入决算情况说明</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三、支出决算情况说明</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四、财政拨款收入支出决算情况说明</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五、一般公共预算财政拨款“三公”经费支出决算情况说明</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六、预算绩效情况说明</w:t>
      </w:r>
    </w:p>
    <w:p>
      <w:pPr>
        <w:widowControl/>
        <w:spacing w:line="580" w:lineRule="exact"/>
        <w:ind w:left="640" w:firstLine="640" w:firstLineChars="200"/>
        <w:rPr>
          <w:rFonts w:hint="eastAsia" w:ascii="仿宋" w:hAnsi="仿宋" w:eastAsia="仿宋" w:cs="仿宋"/>
          <w:sz w:val="32"/>
          <w:szCs w:val="32"/>
        </w:rPr>
      </w:pPr>
      <w:r>
        <w:rPr>
          <w:rFonts w:hint="eastAsia" w:ascii="仿宋" w:hAnsi="仿宋" w:eastAsia="仿宋" w:cs="仿宋"/>
          <w:sz w:val="32"/>
          <w:szCs w:val="32"/>
        </w:rPr>
        <w:t>七、其他重要事项的说明</w:t>
      </w:r>
    </w:p>
    <w:p>
      <w:pPr>
        <w:widowControl/>
        <w:spacing w:line="580" w:lineRule="exact"/>
        <w:ind w:firstLine="640" w:firstLineChars="200"/>
        <w:rPr>
          <w:rFonts w:eastAsia="黑体"/>
          <w:sz w:val="32"/>
          <w:szCs w:val="32"/>
        </w:rPr>
      </w:pPr>
      <w:r>
        <w:rPr>
          <w:rFonts w:eastAsia="黑体"/>
          <w:sz w:val="32"/>
          <w:szCs w:val="32"/>
        </w:rPr>
        <w:t>第四部分</w:t>
      </w:r>
      <w:r>
        <w:rPr>
          <w:rFonts w:hint="eastAsia" w:eastAsia="黑体"/>
          <w:sz w:val="32"/>
          <w:szCs w:val="32"/>
          <w:lang w:val="en-US" w:eastAsia="zh-CN"/>
        </w:rPr>
        <w:t xml:space="preserve">  </w:t>
      </w:r>
      <w:r>
        <w:rPr>
          <w:rFonts w:eastAsia="黑体"/>
          <w:sz w:val="32"/>
          <w:szCs w:val="32"/>
        </w:rPr>
        <w:t>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themeColor="text1"/>
          <w:sz w:val="96"/>
          <w:szCs w:val="96"/>
        </w:rPr>
      </w:pPr>
      <w:r>
        <w:rPr>
          <w:rFonts w:hint="eastAsia" w:hAnsi="宋体" w:asciiTheme="minorEastAsia" w:eastAsiaTheme="minorEastAsia"/>
          <w:color w:val="000000" w:themeColor="text1"/>
          <w:sz w:val="96"/>
          <w:szCs w:val="96"/>
        </w:rPr>
        <w:t>第一部分  部门概况</w:t>
      </w:r>
    </w:p>
    <w:p/>
    <w:p/>
    <w:p/>
    <w:p/>
    <w:p/>
    <w:p/>
    <w:p/>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autoSpaceDE w:val="0"/>
        <w:autoSpaceDN w:val="0"/>
        <w:adjustRightInd w:val="0"/>
        <w:spacing w:after="0" w:line="560" w:lineRule="exact"/>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 xml:space="preserve">1、贯彻落实有关水利工作的法律、法规及方针政策，负责保障水资源的合理开发利用，拟定全县水利战略规划和政策，组织编制综合规划、防洪规划等水利规划和年度计划，组织并监督实施有关法规、规章和制度。负责提出水利固定资产投资规模和方向、县级财政性资金安排的意见，按规定权限审批、核准规划内和年度计划规模内固定资产投资项目；提出县级水利建设投资安排建议并组织实施。 </w:t>
      </w:r>
    </w:p>
    <w:p>
      <w:pPr>
        <w:autoSpaceDE w:val="0"/>
        <w:autoSpaceDN w:val="0"/>
        <w:adjustRightInd w:val="0"/>
        <w:spacing w:after="0" w:line="560" w:lineRule="exact"/>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 xml:space="preserve">2、负责生活、生产经营和生态环境用水的统筹兼顾和保障。负责全县水资源（含空中水、地表水、地下水）的统一管理，拟定全县水中长期供求规划、水分量分配方案并监督实施，组织开展水资源调查评价工作，组织实施取水许可、水资源费征收和水资源论证、防洪论证制度。指导水利行业供水和乡镇供水工作。 </w:t>
      </w:r>
    </w:p>
    <w:p>
      <w:pPr>
        <w:autoSpaceDE w:val="0"/>
        <w:autoSpaceDN w:val="0"/>
        <w:adjustRightInd w:val="0"/>
        <w:spacing w:after="0" w:line="560" w:lineRule="exact"/>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 xml:space="preserve">3、负责水资源保护工作。组织编制水资源保护规划，组织水功能区划分并监督实施，审定水域纳污能力，提出限制排污总量建议，指导饮用水水源保护工作，指导地下水开发利用和城市规划区地下水资源管理保护工作。 </w:t>
      </w:r>
    </w:p>
    <w:p>
      <w:pPr>
        <w:autoSpaceDE w:val="0"/>
        <w:autoSpaceDN w:val="0"/>
        <w:adjustRightInd w:val="0"/>
        <w:spacing w:after="0" w:line="560" w:lineRule="exact"/>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 xml:space="preserve">4、负责防治水旱灾害，承担大城县防汛抗旱指挥部的日常工作。组织、协调、监督、指挥全县防汛抗旱工作，对主要行洪排沥河道和重要水利工程实施防汛抗旱调度和应急水量调度，编制全县防汛抗旱应急预案并组织实施。指导水利突发公共事件的应急管理工作。 </w:t>
      </w:r>
    </w:p>
    <w:p>
      <w:pPr>
        <w:autoSpaceDE w:val="0"/>
        <w:autoSpaceDN w:val="0"/>
        <w:adjustRightInd w:val="0"/>
        <w:spacing w:after="0" w:line="560" w:lineRule="exact"/>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 xml:space="preserve">5、负责节约用水工作。拟定全县节约用水政策，编制节约用水规划，制定有关标准，指导和推动节水型社会建设工作。 </w:t>
      </w:r>
    </w:p>
    <w:p>
      <w:pPr>
        <w:autoSpaceDE w:val="0"/>
        <w:autoSpaceDN w:val="0"/>
        <w:adjustRightInd w:val="0"/>
        <w:spacing w:after="0" w:line="560" w:lineRule="exact"/>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 xml:space="preserve">6、负责指导全县江河湖库和地下水的水量、水质实施监测工作，发布水文水资源信息和情报预报；负责发布全县水资源公报。 </w:t>
      </w:r>
    </w:p>
    <w:p>
      <w:pPr>
        <w:autoSpaceDE w:val="0"/>
        <w:autoSpaceDN w:val="0"/>
        <w:adjustRightInd w:val="0"/>
        <w:spacing w:after="0" w:line="560" w:lineRule="exact"/>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 xml:space="preserve">7、组织、指导全县水利设施、水域及其岸线的管理与保护，组织、指导主要河道、滩涂的治理和开发，组织实施河道管理范围内工程建设方案审查制度，指导水利工程建设与运行管理，组 </w:t>
      </w:r>
    </w:p>
    <w:p>
      <w:pPr>
        <w:autoSpaceDE w:val="0"/>
        <w:autoSpaceDN w:val="0"/>
        <w:adjustRightInd w:val="0"/>
        <w:spacing w:after="0" w:line="560" w:lineRule="exact"/>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 xml:space="preserve">织实施具有控制性的重要水利工程建设与管理，承担水库移民管理工作。 </w:t>
      </w:r>
    </w:p>
    <w:p>
      <w:pPr>
        <w:autoSpaceDE w:val="0"/>
        <w:autoSpaceDN w:val="0"/>
        <w:adjustRightInd w:val="0"/>
        <w:spacing w:after="0" w:line="560" w:lineRule="exact"/>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 xml:space="preserve">8、负责防治水土流失。拟定水土保持规划并监督实施，组织实施水土流失的监测和综合防治，负责有关建设项目水土保持方案的审核或审批、监督实施及水土保持设施的验收工作。 </w:t>
      </w:r>
    </w:p>
    <w:p>
      <w:pPr>
        <w:autoSpaceDE w:val="0"/>
        <w:autoSpaceDN w:val="0"/>
        <w:adjustRightInd w:val="0"/>
        <w:spacing w:after="0" w:line="560" w:lineRule="exact"/>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 xml:space="preserve">9、指导全县农村水利工作。组织协调农田水利基本建设，指导农村饮水安全、节水灌溉等工程建设与管理工作，指导农村水利社会化服务体系建设。 </w:t>
      </w:r>
    </w:p>
    <w:p>
      <w:pPr>
        <w:autoSpaceDE w:val="0"/>
        <w:autoSpaceDN w:val="0"/>
        <w:adjustRightInd w:val="0"/>
        <w:spacing w:after="0" w:line="560" w:lineRule="exact"/>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 xml:space="preserve">10、负责涉水违法事件的查处，协调水事纠纷，指导水政监察和水行政执法，依法负责水利行业安全生产工作，组织、指导河道堤防、水库大坝的安全监管，指导水利建设市场的监督管理， </w:t>
      </w:r>
    </w:p>
    <w:p>
      <w:pPr>
        <w:autoSpaceDE w:val="0"/>
        <w:autoSpaceDN w:val="0"/>
        <w:adjustRightInd w:val="0"/>
        <w:spacing w:after="0" w:line="560" w:lineRule="exact"/>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组织实施水利工程建设的监督。</w:t>
      </w:r>
    </w:p>
    <w:p>
      <w:pPr>
        <w:keepNext w:val="0"/>
        <w:keepLines w:val="0"/>
        <w:pageBreakBefore w:val="0"/>
        <w:widowControl w:val="0"/>
        <w:kinsoku/>
        <w:wordWrap/>
        <w:overflowPunct/>
        <w:topLinePunct w:val="0"/>
        <w:autoSpaceDE w:val="0"/>
        <w:autoSpaceDN w:val="0"/>
        <w:bidi w:val="0"/>
        <w:adjustRightInd w:val="0"/>
        <w:snapToGrid/>
        <w:spacing w:after="0" w:line="560" w:lineRule="exact"/>
        <w:ind w:firstLine="640" w:firstLineChars="200"/>
        <w:jc w:val="left"/>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 xml:space="preserve">11、开展水利科技和外事工作。组织开展水利行业质量监督工作，办理有关水利涉外事务。 </w:t>
      </w:r>
    </w:p>
    <w:p>
      <w:pPr>
        <w:autoSpaceDE w:val="0"/>
        <w:autoSpaceDN w:val="0"/>
        <w:adjustRightInd w:val="0"/>
        <w:spacing w:after="0" w:line="560" w:lineRule="exact"/>
        <w:ind w:firstLine="640" w:firstLineChars="200"/>
        <w:jc w:val="left"/>
        <w:rPr>
          <w:rFonts w:hint="eastAsia" w:ascii="仿宋_GB2312" w:hAnsi="仿宋_GB2312" w:eastAsia="仿宋_GB2312" w:cs="仿宋_GB2312"/>
          <w:kern w:val="0"/>
          <w:sz w:val="32"/>
          <w:szCs w:val="32"/>
          <w:highlight w:val="yellow"/>
        </w:rPr>
      </w:pPr>
      <w:r>
        <w:rPr>
          <w:rFonts w:hint="eastAsia" w:ascii="仿宋_GB2312" w:hAnsi="仿宋_GB2312" w:eastAsia="仿宋_GB2312" w:cs="仿宋_GB2312"/>
          <w:kern w:val="0"/>
          <w:sz w:val="32"/>
          <w:szCs w:val="32"/>
          <w:highlight w:val="none"/>
          <w:lang w:val="en-US" w:eastAsia="zh-CN"/>
        </w:rPr>
        <w:t xml:space="preserve">12、承办县政府交办的其他事项。 </w:t>
      </w:r>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从决算编报单位构成看，纳入2018 年度本部门决算汇编范围的独立核算单位（以下简称“单位”）共</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个，具体情况如下：</w:t>
      </w:r>
    </w:p>
    <w:tbl>
      <w:tblPr>
        <w:tblStyle w:val="13"/>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序号</w:t>
            </w:r>
          </w:p>
        </w:tc>
        <w:tc>
          <w:tcPr>
            <w:tcW w:w="3485" w:type="dxa"/>
            <w:vAlign w:val="center"/>
          </w:tcPr>
          <w:p>
            <w:pPr>
              <w:spacing w:after="0" w:line="560" w:lineRule="exact"/>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单位名称</w:t>
            </w:r>
          </w:p>
        </w:tc>
        <w:tc>
          <w:tcPr>
            <w:tcW w:w="2445" w:type="dxa"/>
            <w:vAlign w:val="center"/>
          </w:tcPr>
          <w:p>
            <w:pPr>
              <w:spacing w:after="0" w:line="560" w:lineRule="exact"/>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单位基本性质</w:t>
            </w:r>
          </w:p>
        </w:tc>
        <w:tc>
          <w:tcPr>
            <w:tcW w:w="2665" w:type="dxa"/>
            <w:vAlign w:val="center"/>
          </w:tcPr>
          <w:p>
            <w:pPr>
              <w:spacing w:after="0" w:line="560" w:lineRule="exact"/>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1</w:t>
            </w:r>
          </w:p>
        </w:tc>
        <w:tc>
          <w:tcPr>
            <w:tcW w:w="3485" w:type="dxa"/>
          </w:tcPr>
          <w:p>
            <w:pPr>
              <w:spacing w:after="0" w:line="560" w:lineRule="exact"/>
              <w:rPr>
                <w:rFonts w:hint="eastAsia" w:ascii="仿宋" w:hAnsi="仿宋" w:eastAsia="仿宋" w:cs="仿宋"/>
                <w:kern w:val="0"/>
                <w:sz w:val="28"/>
                <w:szCs w:val="28"/>
              </w:rPr>
            </w:pPr>
            <w:r>
              <w:rPr>
                <w:rFonts w:hint="eastAsia" w:ascii="仿宋" w:hAnsi="仿宋" w:eastAsia="仿宋" w:cs="仿宋"/>
                <w:kern w:val="0"/>
                <w:sz w:val="28"/>
                <w:szCs w:val="28"/>
                <w:lang w:eastAsia="zh-CN"/>
              </w:rPr>
              <w:t>大城县水务局</w:t>
            </w:r>
            <w:r>
              <w:rPr>
                <w:rFonts w:hint="eastAsia" w:ascii="仿宋" w:hAnsi="仿宋" w:eastAsia="仿宋" w:cs="仿宋"/>
                <w:kern w:val="0"/>
                <w:sz w:val="28"/>
                <w:szCs w:val="28"/>
              </w:rPr>
              <w:t>(本级)</w:t>
            </w:r>
          </w:p>
        </w:tc>
        <w:tc>
          <w:tcPr>
            <w:tcW w:w="2445" w:type="dxa"/>
          </w:tcPr>
          <w:p>
            <w:pPr>
              <w:spacing w:after="0" w:line="560" w:lineRule="exact"/>
              <w:jc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行政</w:t>
            </w:r>
          </w:p>
        </w:tc>
        <w:tc>
          <w:tcPr>
            <w:tcW w:w="2665" w:type="dxa"/>
          </w:tcPr>
          <w:p>
            <w:pPr>
              <w:spacing w:after="0" w:line="560" w:lineRule="exact"/>
              <w:jc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after="0" w:line="560" w:lineRule="exact"/>
              <w:ind w:firstLine="560" w:firstLineChars="200"/>
              <w:jc w:val="left"/>
              <w:rPr>
                <w:rFonts w:ascii="仿宋_GB2312" w:eastAsia="仿宋_GB2312" w:cs="ArialUnicodeMS" w:hAnsiTheme="minorHAnsi"/>
                <w:kern w:val="0"/>
                <w:sz w:val="28"/>
                <w:szCs w:val="28"/>
              </w:rPr>
            </w:pPr>
          </w:p>
        </w:tc>
      </w:tr>
    </w:tbl>
    <w:p>
      <w:pPr>
        <w:widowControl/>
        <w:spacing w:line="560" w:lineRule="exact"/>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r>
        <w:rPr>
          <w:rFonts w:hint="eastAsia" w:hAnsi="宋体" w:asciiTheme="minorEastAsia" w:eastAsiaTheme="minorEastAsia"/>
          <w:color w:val="000000" w:themeColor="text1"/>
          <w:sz w:val="72"/>
          <w:szCs w:val="96"/>
        </w:rPr>
        <w:t>第二部分</w:t>
      </w:r>
    </w:p>
    <w:p>
      <w:pPr>
        <w:widowControl/>
        <w:spacing w:line="1200" w:lineRule="exact"/>
        <w:jc w:val="center"/>
        <w:rPr>
          <w:color w:val="000000" w:themeColor="text1"/>
          <w:sz w:val="72"/>
          <w:szCs w:val="96"/>
        </w:rPr>
      </w:pPr>
      <w:r>
        <w:rPr>
          <w:rFonts w:hint="eastAsia" w:hAnsi="宋体" w:asciiTheme="minorEastAsia" w:eastAsiaTheme="minorEastAsia"/>
          <w:color w:val="000000" w:themeColor="text1"/>
          <w:sz w:val="72"/>
          <w:szCs w:val="96"/>
        </w:rPr>
        <w:t>2018年度部门决算报表</w:t>
      </w: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pP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tbl>
      <w:tblPr>
        <w:tblStyle w:val="12"/>
        <w:tblW w:w="9300" w:type="dxa"/>
        <w:jc w:val="center"/>
        <w:tblLayout w:type="fixed"/>
        <w:tblCellMar>
          <w:top w:w="0" w:type="dxa"/>
          <w:left w:w="0" w:type="dxa"/>
          <w:bottom w:w="0" w:type="dxa"/>
          <w:right w:w="0" w:type="dxa"/>
        </w:tblCellMar>
      </w:tblPr>
      <w:tblGrid>
        <w:gridCol w:w="2700"/>
        <w:gridCol w:w="567"/>
        <w:gridCol w:w="1336"/>
        <w:gridCol w:w="2700"/>
        <w:gridCol w:w="567"/>
        <w:gridCol w:w="1430"/>
      </w:tblGrid>
      <w:tr>
        <w:tblPrEx>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CellMar>
            <w:top w:w="0" w:type="dxa"/>
            <w:left w:w="0" w:type="dxa"/>
            <w:bottom w:w="0" w:type="dxa"/>
            <w:right w:w="0" w:type="dxa"/>
          </w:tblCellMar>
        </w:tblPrEx>
        <w:trPr>
          <w:trHeight w:val="418"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Cs w:val="21"/>
                <w:lang w:eastAsia="zh-CN"/>
              </w:rPr>
              <w:t>大城县水务局</w:t>
            </w: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336"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支出</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6380.88</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58.17</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23.26</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217.86</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3114.53</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4.84</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2760.71</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6380.88</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6180.37</w:t>
            </w:r>
          </w:p>
        </w:tc>
      </w:tr>
      <w:tr>
        <w:tblPrEx>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1505.86</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1706.37</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7886.74</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7886.74</w:t>
            </w:r>
          </w:p>
        </w:tc>
      </w:tr>
      <w:tr>
        <w:tblPrEx>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006" w:type="dxa"/>
        <w:jc w:val="center"/>
        <w:tblLayout w:type="fixed"/>
        <w:tblCellMar>
          <w:top w:w="0" w:type="dxa"/>
          <w:left w:w="0" w:type="dxa"/>
          <w:bottom w:w="0" w:type="dxa"/>
          <w:right w:w="0" w:type="dxa"/>
        </w:tblCellMar>
      </w:tblPr>
      <w:tblGrid>
        <w:gridCol w:w="335"/>
        <w:gridCol w:w="179"/>
        <w:gridCol w:w="520"/>
        <w:gridCol w:w="1851"/>
        <w:gridCol w:w="116"/>
        <w:gridCol w:w="90"/>
        <w:gridCol w:w="54"/>
        <w:gridCol w:w="206"/>
        <w:gridCol w:w="413"/>
        <w:gridCol w:w="196"/>
        <w:gridCol w:w="206"/>
        <w:gridCol w:w="423"/>
        <w:gridCol w:w="187"/>
        <w:gridCol w:w="206"/>
        <w:gridCol w:w="432"/>
        <w:gridCol w:w="177"/>
        <w:gridCol w:w="206"/>
        <w:gridCol w:w="236"/>
        <w:gridCol w:w="373"/>
        <w:gridCol w:w="206"/>
        <w:gridCol w:w="342"/>
        <w:gridCol w:w="920"/>
        <w:gridCol w:w="926"/>
        <w:gridCol w:w="206"/>
      </w:tblGrid>
      <w:tr>
        <w:tblPrEx>
          <w:tblCellMar>
            <w:top w:w="0" w:type="dxa"/>
            <w:left w:w="0" w:type="dxa"/>
            <w:bottom w:w="0" w:type="dxa"/>
            <w:right w:w="0" w:type="dxa"/>
          </w:tblCellMar>
        </w:tblPrEx>
        <w:trPr>
          <w:gridAfter w:val="1"/>
          <w:wAfter w:w="206" w:type="dxa"/>
          <w:trHeight w:val="770" w:hRule="atLeast"/>
          <w:jc w:val="center"/>
        </w:trPr>
        <w:tc>
          <w:tcPr>
            <w:tcW w:w="8800" w:type="dxa"/>
            <w:gridSpan w:val="23"/>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收入决算表</w:t>
            </w:r>
          </w:p>
        </w:tc>
      </w:tr>
      <w:tr>
        <w:tblPrEx>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2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967"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公开02表</w:t>
            </w:r>
          </w:p>
        </w:tc>
      </w:tr>
      <w:tr>
        <w:tblPrEx>
          <w:tblCellMar>
            <w:top w:w="0" w:type="dxa"/>
            <w:left w:w="0" w:type="dxa"/>
            <w:bottom w:w="0" w:type="dxa"/>
            <w:right w:w="0" w:type="dxa"/>
          </w:tblCellMar>
        </w:tblPrEx>
        <w:trPr>
          <w:gridAfter w:val="1"/>
          <w:wAfter w:w="206" w:type="dxa"/>
          <w:trHeight w:val="362" w:hRule="atLeast"/>
          <w:jc w:val="center"/>
        </w:trPr>
        <w:tc>
          <w:tcPr>
            <w:tcW w:w="2885"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r>
              <w:rPr>
                <w:rFonts w:hint="eastAsia" w:ascii="宋体" w:hAnsi="宋体" w:cs="宋体"/>
                <w:color w:val="000000"/>
                <w:kern w:val="0"/>
                <w:szCs w:val="21"/>
                <w:lang w:eastAsia="zh-CN"/>
              </w:rPr>
              <w:t>大城县水务局</w:t>
            </w:r>
          </w:p>
        </w:tc>
        <w:tc>
          <w:tcPr>
            <w:tcW w:w="260"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gridAfter w:val="1"/>
          <w:wAfter w:w="206" w:type="dxa"/>
          <w:trHeight w:val="325" w:hRule="atLeast"/>
          <w:jc w:val="center"/>
        </w:trPr>
        <w:tc>
          <w:tcPr>
            <w:tcW w:w="3001" w:type="dxa"/>
            <w:gridSpan w:val="5"/>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763" w:type="dxa"/>
            <w:gridSpan w:val="4"/>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825" w:type="dxa"/>
            <w:gridSpan w:val="3"/>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财政拨款收入</w:t>
            </w:r>
          </w:p>
        </w:tc>
        <w:tc>
          <w:tcPr>
            <w:tcW w:w="825" w:type="dxa"/>
            <w:gridSpan w:val="3"/>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上级补助收入</w:t>
            </w:r>
          </w:p>
        </w:tc>
        <w:tc>
          <w:tcPr>
            <w:tcW w:w="619" w:type="dxa"/>
            <w:gridSpan w:val="3"/>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事业收入</w:t>
            </w:r>
          </w:p>
        </w:tc>
        <w:tc>
          <w:tcPr>
            <w:tcW w:w="921" w:type="dxa"/>
            <w:gridSpan w:val="3"/>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经营收入</w:t>
            </w:r>
          </w:p>
        </w:tc>
        <w:tc>
          <w:tcPr>
            <w:tcW w:w="920"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附属单位上缴收入</w:t>
            </w:r>
          </w:p>
        </w:tc>
        <w:tc>
          <w:tcPr>
            <w:tcW w:w="926" w:type="dxa"/>
            <w:vMerge w:val="restar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其他收入</w:t>
            </w:r>
          </w:p>
        </w:tc>
      </w:tr>
      <w:tr>
        <w:tblPrEx>
          <w:tblCellMar>
            <w:top w:w="0" w:type="dxa"/>
            <w:left w:w="0" w:type="dxa"/>
            <w:bottom w:w="0" w:type="dxa"/>
            <w:right w:w="0" w:type="dxa"/>
          </w:tblCellMar>
        </w:tblPrEx>
        <w:trPr>
          <w:gridAfter w:val="1"/>
          <w:wAfter w:w="206" w:type="dxa"/>
          <w:trHeight w:val="626"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1967" w:type="dxa"/>
            <w:gridSpan w:val="2"/>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763" w:type="dxa"/>
            <w:gridSpan w:val="4"/>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20"/>
                <w:szCs w:val="20"/>
              </w:rPr>
            </w:pPr>
          </w:p>
        </w:tc>
        <w:tc>
          <w:tcPr>
            <w:tcW w:w="825" w:type="dxa"/>
            <w:gridSpan w:val="3"/>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825" w:type="dxa"/>
            <w:gridSpan w:val="3"/>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619" w:type="dxa"/>
            <w:gridSpan w:val="3"/>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1" w:type="dxa"/>
            <w:gridSpan w:val="3"/>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0"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6" w:type="dxa"/>
            <w:vMerge w:val="continue"/>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r>
      <w:tr>
        <w:tblPrEx>
          <w:tblCellMar>
            <w:top w:w="0" w:type="dxa"/>
            <w:left w:w="0" w:type="dxa"/>
            <w:bottom w:w="0" w:type="dxa"/>
            <w:right w:w="0" w:type="dxa"/>
          </w:tblCellMar>
        </w:tblPrEx>
        <w:trPr>
          <w:gridAfter w:val="1"/>
          <w:wAfter w:w="206" w:type="dxa"/>
          <w:trHeight w:val="391" w:hRule="atLeast"/>
          <w:jc w:val="center"/>
        </w:trPr>
        <w:tc>
          <w:tcPr>
            <w:tcW w:w="300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76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6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92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r>
      <w:tr>
        <w:tblPrEx>
          <w:tblCellMar>
            <w:top w:w="0" w:type="dxa"/>
            <w:left w:w="0" w:type="dxa"/>
            <w:bottom w:w="0" w:type="dxa"/>
            <w:right w:w="0" w:type="dxa"/>
          </w:tblCellMar>
        </w:tblPrEx>
        <w:trPr>
          <w:gridAfter w:val="1"/>
          <w:wAfter w:w="206" w:type="dxa"/>
          <w:trHeight w:val="90" w:hRule="atLeast"/>
          <w:jc w:val="center"/>
        </w:trPr>
        <w:tc>
          <w:tcPr>
            <w:tcW w:w="300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763"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b/>
                <w:color w:val="000000"/>
                <w:sz w:val="18"/>
                <w:szCs w:val="18"/>
                <w:lang w:val="en-US" w:eastAsia="zh-CN"/>
              </w:rPr>
            </w:pPr>
            <w:r>
              <w:rPr>
                <w:rFonts w:hint="eastAsia" w:ascii="宋体" w:hAnsi="宋体" w:cs="宋体"/>
                <w:b/>
                <w:color w:val="000000"/>
                <w:sz w:val="18"/>
                <w:szCs w:val="18"/>
                <w:lang w:val="en-US" w:eastAsia="zh-CN"/>
              </w:rPr>
              <w:t>6380.88</w:t>
            </w:r>
          </w:p>
        </w:tc>
        <w:tc>
          <w:tcPr>
            <w:tcW w:w="825"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b/>
                <w:color w:val="000000"/>
                <w:sz w:val="18"/>
                <w:szCs w:val="18"/>
                <w:lang w:val="en-US" w:eastAsia="zh-CN"/>
              </w:rPr>
            </w:pPr>
            <w:r>
              <w:rPr>
                <w:rFonts w:hint="eastAsia" w:ascii="宋体" w:hAnsi="宋体" w:cs="宋体"/>
                <w:b/>
                <w:color w:val="000000"/>
                <w:sz w:val="18"/>
                <w:szCs w:val="18"/>
                <w:lang w:val="en-US" w:eastAsia="zh-CN"/>
              </w:rPr>
              <w:t>6380.88</w:t>
            </w:r>
          </w:p>
        </w:tc>
        <w:tc>
          <w:tcPr>
            <w:tcW w:w="825"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b/>
                <w:color w:val="000000"/>
                <w:sz w:val="18"/>
                <w:szCs w:val="18"/>
              </w:rPr>
            </w:pPr>
          </w:p>
        </w:tc>
        <w:tc>
          <w:tcPr>
            <w:tcW w:w="619"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1"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r>
      <w:tr>
        <w:tblPrEx>
          <w:tblCellMar>
            <w:top w:w="0" w:type="dxa"/>
            <w:left w:w="0" w:type="dxa"/>
            <w:bottom w:w="0" w:type="dxa"/>
            <w:right w:w="0" w:type="dxa"/>
          </w:tblCellMar>
        </w:tblPrEx>
        <w:trPr>
          <w:gridAfter w:val="1"/>
          <w:wAfter w:w="206"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206</w:t>
            </w:r>
          </w:p>
        </w:tc>
        <w:tc>
          <w:tcPr>
            <w:tcW w:w="19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科学技术支出</w:t>
            </w:r>
          </w:p>
        </w:tc>
        <w:tc>
          <w:tcPr>
            <w:tcW w:w="76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06" w:type="dxa"/>
          <w:trHeight w:val="40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20699</w:t>
            </w:r>
          </w:p>
        </w:tc>
        <w:tc>
          <w:tcPr>
            <w:tcW w:w="19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其他科学技术支出</w:t>
            </w:r>
          </w:p>
        </w:tc>
        <w:tc>
          <w:tcPr>
            <w:tcW w:w="76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06"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2069901</w:t>
            </w:r>
          </w:p>
        </w:tc>
        <w:tc>
          <w:tcPr>
            <w:tcW w:w="19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both"/>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科技奖励</w:t>
            </w:r>
          </w:p>
        </w:tc>
        <w:tc>
          <w:tcPr>
            <w:tcW w:w="76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06"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208</w:t>
            </w:r>
          </w:p>
        </w:tc>
        <w:tc>
          <w:tcPr>
            <w:tcW w:w="19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社会保障和就业支出</w:t>
            </w:r>
          </w:p>
        </w:tc>
        <w:tc>
          <w:tcPr>
            <w:tcW w:w="76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58.17</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58.17</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06"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20805</w:t>
            </w:r>
          </w:p>
        </w:tc>
        <w:tc>
          <w:tcPr>
            <w:tcW w:w="19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行政事业单位离退休</w:t>
            </w:r>
          </w:p>
        </w:tc>
        <w:tc>
          <w:tcPr>
            <w:tcW w:w="76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55.5</w:t>
            </w:r>
            <w:r>
              <w:rPr>
                <w:rFonts w:hint="eastAsia" w:ascii="宋体" w:hAnsi="宋体" w:cs="宋体"/>
                <w:color w:val="000000"/>
                <w:kern w:val="0"/>
                <w:sz w:val="20"/>
                <w:szCs w:val="20"/>
                <w:lang w:val="en-US" w:eastAsia="zh-CN"/>
              </w:rPr>
              <w:t>0</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55.5</w:t>
            </w:r>
            <w:r>
              <w:rPr>
                <w:rFonts w:hint="eastAsia" w:ascii="宋体" w:hAnsi="宋体" w:cs="宋体"/>
                <w:color w:val="000000"/>
                <w:kern w:val="0"/>
                <w:sz w:val="20"/>
                <w:szCs w:val="20"/>
                <w:lang w:val="en-US" w:eastAsia="zh-CN"/>
              </w:rPr>
              <w:t>0</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06"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2080505</w:t>
            </w:r>
          </w:p>
        </w:tc>
        <w:tc>
          <w:tcPr>
            <w:tcW w:w="19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机关事业单位基本养老保险缴费支出</w:t>
            </w:r>
          </w:p>
        </w:tc>
        <w:tc>
          <w:tcPr>
            <w:tcW w:w="76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55.50</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55.50</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06"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20823</w:t>
            </w:r>
          </w:p>
        </w:tc>
        <w:tc>
          <w:tcPr>
            <w:tcW w:w="19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小型水库移民扶助基金及对应专项债务收入安排的支出</w:t>
            </w:r>
          </w:p>
        </w:tc>
        <w:tc>
          <w:tcPr>
            <w:tcW w:w="76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2.67</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2.67</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06"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2082399</w:t>
            </w:r>
          </w:p>
        </w:tc>
        <w:tc>
          <w:tcPr>
            <w:tcW w:w="19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其他小型水库移民扶助基金支出</w:t>
            </w:r>
          </w:p>
        </w:tc>
        <w:tc>
          <w:tcPr>
            <w:tcW w:w="76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2.67</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2.67</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06"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210</w:t>
            </w:r>
          </w:p>
        </w:tc>
        <w:tc>
          <w:tcPr>
            <w:tcW w:w="19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医疗卫生与计划生育支出</w:t>
            </w:r>
          </w:p>
        </w:tc>
        <w:tc>
          <w:tcPr>
            <w:tcW w:w="76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20"/>
                <w:szCs w:val="20"/>
              </w:rPr>
            </w:pPr>
            <w:r>
              <w:rPr>
                <w:rFonts w:hint="eastAsia" w:ascii="宋体" w:hAnsi="宋体" w:cs="宋体"/>
                <w:color w:val="000000"/>
                <w:sz w:val="20"/>
                <w:szCs w:val="20"/>
              </w:rPr>
              <w:t>23.26</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20"/>
                <w:szCs w:val="20"/>
              </w:rPr>
            </w:pPr>
            <w:r>
              <w:rPr>
                <w:rFonts w:hint="eastAsia" w:ascii="宋体" w:hAnsi="宋体" w:cs="宋体"/>
                <w:color w:val="000000"/>
                <w:sz w:val="20"/>
                <w:szCs w:val="20"/>
              </w:rPr>
              <w:t>23.26</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06"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21011</w:t>
            </w:r>
          </w:p>
        </w:tc>
        <w:tc>
          <w:tcPr>
            <w:tcW w:w="19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行政事业单位医疗</w:t>
            </w:r>
          </w:p>
        </w:tc>
        <w:tc>
          <w:tcPr>
            <w:tcW w:w="76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23.26</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23.26</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06"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2101101</w:t>
            </w:r>
          </w:p>
        </w:tc>
        <w:tc>
          <w:tcPr>
            <w:tcW w:w="19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行政单位医疗</w:t>
            </w:r>
          </w:p>
        </w:tc>
        <w:tc>
          <w:tcPr>
            <w:tcW w:w="76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23.26</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23.26</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06"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212</w:t>
            </w:r>
          </w:p>
        </w:tc>
        <w:tc>
          <w:tcPr>
            <w:tcW w:w="19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城乡社区支出</w:t>
            </w:r>
          </w:p>
        </w:tc>
        <w:tc>
          <w:tcPr>
            <w:tcW w:w="76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47.80</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47.80</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06"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21208</w:t>
            </w:r>
          </w:p>
        </w:tc>
        <w:tc>
          <w:tcPr>
            <w:tcW w:w="19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国有土地使用权出让收入及对应专项债务收入安排的支出</w:t>
            </w:r>
          </w:p>
        </w:tc>
        <w:tc>
          <w:tcPr>
            <w:tcW w:w="76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20.00</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20.00</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06"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2120804</w:t>
            </w:r>
          </w:p>
        </w:tc>
        <w:tc>
          <w:tcPr>
            <w:tcW w:w="19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农村基础设施建设支出</w:t>
            </w:r>
          </w:p>
        </w:tc>
        <w:tc>
          <w:tcPr>
            <w:tcW w:w="76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20.00</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20.00</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06"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21214</w:t>
            </w:r>
          </w:p>
        </w:tc>
        <w:tc>
          <w:tcPr>
            <w:tcW w:w="19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16"/>
                <w:szCs w:val="16"/>
                <w:lang w:val="en-US" w:eastAsia="zh-CN"/>
              </w:rPr>
              <w:t>污水处理费及对应专项债务收入安排的支出</w:t>
            </w:r>
          </w:p>
        </w:tc>
        <w:tc>
          <w:tcPr>
            <w:tcW w:w="76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27.80</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27.80</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06"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2121402</w:t>
            </w:r>
          </w:p>
        </w:tc>
        <w:tc>
          <w:tcPr>
            <w:tcW w:w="19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代征手续费</w:t>
            </w:r>
          </w:p>
        </w:tc>
        <w:tc>
          <w:tcPr>
            <w:tcW w:w="76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27.80</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27.80</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06"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213</w:t>
            </w:r>
          </w:p>
        </w:tc>
        <w:tc>
          <w:tcPr>
            <w:tcW w:w="19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农林水支出</w:t>
            </w:r>
          </w:p>
        </w:tc>
        <w:tc>
          <w:tcPr>
            <w:tcW w:w="76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3696.56</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3696.56</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06"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21303</w:t>
            </w:r>
          </w:p>
        </w:tc>
        <w:tc>
          <w:tcPr>
            <w:tcW w:w="19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水利</w:t>
            </w:r>
          </w:p>
        </w:tc>
        <w:tc>
          <w:tcPr>
            <w:tcW w:w="76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2976.56</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2976.56</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06"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2130301</w:t>
            </w:r>
          </w:p>
        </w:tc>
        <w:tc>
          <w:tcPr>
            <w:tcW w:w="19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行政运行</w:t>
            </w:r>
          </w:p>
        </w:tc>
        <w:tc>
          <w:tcPr>
            <w:tcW w:w="76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1032.57</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1032.57</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06"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2130302</w:t>
            </w:r>
          </w:p>
        </w:tc>
        <w:tc>
          <w:tcPr>
            <w:tcW w:w="19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一般行政管理事务</w:t>
            </w:r>
          </w:p>
        </w:tc>
        <w:tc>
          <w:tcPr>
            <w:tcW w:w="76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7.00</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7.00</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06"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2130305</w:t>
            </w:r>
          </w:p>
        </w:tc>
        <w:tc>
          <w:tcPr>
            <w:tcW w:w="19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水利工程建设</w:t>
            </w:r>
          </w:p>
        </w:tc>
        <w:tc>
          <w:tcPr>
            <w:tcW w:w="76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165.64</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165.64</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06"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2130306</w:t>
            </w:r>
          </w:p>
        </w:tc>
        <w:tc>
          <w:tcPr>
            <w:tcW w:w="19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水利工程运行与维护</w:t>
            </w:r>
          </w:p>
        </w:tc>
        <w:tc>
          <w:tcPr>
            <w:tcW w:w="76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50.00</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50.00</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06"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2130308</w:t>
            </w:r>
          </w:p>
        </w:tc>
        <w:tc>
          <w:tcPr>
            <w:tcW w:w="19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水利前期工作</w:t>
            </w:r>
          </w:p>
        </w:tc>
        <w:tc>
          <w:tcPr>
            <w:tcW w:w="76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98.50</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98.50</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06"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2130311</w:t>
            </w:r>
          </w:p>
        </w:tc>
        <w:tc>
          <w:tcPr>
            <w:tcW w:w="19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水资源节约管理与保护</w:t>
            </w:r>
          </w:p>
        </w:tc>
        <w:tc>
          <w:tcPr>
            <w:tcW w:w="76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236.10</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236.10</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06"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2130314</w:t>
            </w:r>
          </w:p>
        </w:tc>
        <w:tc>
          <w:tcPr>
            <w:tcW w:w="19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 xml:space="preserve"> 防汛</w:t>
            </w:r>
          </w:p>
        </w:tc>
        <w:tc>
          <w:tcPr>
            <w:tcW w:w="76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90.70</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90.70</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06"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2130315</w:t>
            </w:r>
          </w:p>
        </w:tc>
        <w:tc>
          <w:tcPr>
            <w:tcW w:w="19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抗旱</w:t>
            </w:r>
          </w:p>
        </w:tc>
        <w:tc>
          <w:tcPr>
            <w:tcW w:w="76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24.00</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24.00</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06"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2130316</w:t>
            </w:r>
          </w:p>
        </w:tc>
        <w:tc>
          <w:tcPr>
            <w:tcW w:w="19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农田水利</w:t>
            </w:r>
          </w:p>
        </w:tc>
        <w:tc>
          <w:tcPr>
            <w:tcW w:w="76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1130.16</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1130.16</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06"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2130335</w:t>
            </w:r>
          </w:p>
        </w:tc>
        <w:tc>
          <w:tcPr>
            <w:tcW w:w="19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农村人畜饮水</w:t>
            </w:r>
          </w:p>
        </w:tc>
        <w:tc>
          <w:tcPr>
            <w:tcW w:w="76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9.26</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9.26</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06"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2130399</w:t>
            </w:r>
          </w:p>
        </w:tc>
        <w:tc>
          <w:tcPr>
            <w:tcW w:w="19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其他水利支出</w:t>
            </w:r>
          </w:p>
        </w:tc>
        <w:tc>
          <w:tcPr>
            <w:tcW w:w="76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132.62</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132.62</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06"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21399</w:t>
            </w:r>
          </w:p>
        </w:tc>
        <w:tc>
          <w:tcPr>
            <w:tcW w:w="19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其他农林水支出</w:t>
            </w:r>
          </w:p>
        </w:tc>
        <w:tc>
          <w:tcPr>
            <w:tcW w:w="76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720.00</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720.00</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06"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2139999</w:t>
            </w:r>
          </w:p>
        </w:tc>
        <w:tc>
          <w:tcPr>
            <w:tcW w:w="19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其他农林水支出</w:t>
            </w:r>
          </w:p>
        </w:tc>
        <w:tc>
          <w:tcPr>
            <w:tcW w:w="76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720.00</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720.00</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06"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215</w:t>
            </w:r>
          </w:p>
        </w:tc>
        <w:tc>
          <w:tcPr>
            <w:tcW w:w="19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资源勘探信息等支出</w:t>
            </w:r>
          </w:p>
        </w:tc>
        <w:tc>
          <w:tcPr>
            <w:tcW w:w="76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5.00</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5.00</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06"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21506</w:t>
            </w:r>
          </w:p>
        </w:tc>
        <w:tc>
          <w:tcPr>
            <w:tcW w:w="19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安全生产监管</w:t>
            </w:r>
          </w:p>
        </w:tc>
        <w:tc>
          <w:tcPr>
            <w:tcW w:w="76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5.00</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5.00</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06"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2150605</w:t>
            </w:r>
          </w:p>
        </w:tc>
        <w:tc>
          <w:tcPr>
            <w:tcW w:w="19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安全监管监察专项</w:t>
            </w:r>
          </w:p>
        </w:tc>
        <w:tc>
          <w:tcPr>
            <w:tcW w:w="76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5.00</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5.00</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06"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229</w:t>
            </w:r>
          </w:p>
        </w:tc>
        <w:tc>
          <w:tcPr>
            <w:tcW w:w="19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其他支出</w:t>
            </w:r>
          </w:p>
        </w:tc>
        <w:tc>
          <w:tcPr>
            <w:tcW w:w="76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2549.10</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2549.10</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06"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22904</w:t>
            </w:r>
          </w:p>
        </w:tc>
        <w:tc>
          <w:tcPr>
            <w:tcW w:w="19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其他政府性基金及对应专项债务收入安排的支出</w:t>
            </w:r>
          </w:p>
        </w:tc>
        <w:tc>
          <w:tcPr>
            <w:tcW w:w="76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2549.10</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2549.10</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06"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2290400</w:t>
            </w:r>
          </w:p>
        </w:tc>
        <w:tc>
          <w:tcPr>
            <w:tcW w:w="19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其他政府性基金及对应专项债务收入安排的支出</w:t>
            </w:r>
          </w:p>
        </w:tc>
        <w:tc>
          <w:tcPr>
            <w:tcW w:w="76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2549.10</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2549.10</w:t>
            </w:r>
          </w:p>
        </w:tc>
        <w:tc>
          <w:tcPr>
            <w:tcW w:w="82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1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206" w:type="dxa"/>
          <w:trHeight w:val="481" w:hRule="atLeast"/>
          <w:jc w:val="center"/>
        </w:trPr>
        <w:tc>
          <w:tcPr>
            <w:tcW w:w="8800"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注：本表反映部门本年度取得的各项收入情况。</w:t>
            </w:r>
          </w:p>
        </w:tc>
      </w:tr>
      <w:tr>
        <w:tblPrEx>
          <w:tblCellMar>
            <w:top w:w="0" w:type="dxa"/>
            <w:left w:w="0" w:type="dxa"/>
            <w:bottom w:w="0" w:type="dxa"/>
            <w:right w:w="0" w:type="dxa"/>
          </w:tblCellMar>
        </w:tblPrEx>
        <w:trPr>
          <w:gridAfter w:val="1"/>
          <w:wAfter w:w="206" w:type="dxa"/>
          <w:trHeight w:val="481" w:hRule="atLeast"/>
          <w:jc w:val="center"/>
        </w:trPr>
        <w:tc>
          <w:tcPr>
            <w:tcW w:w="8800" w:type="dxa"/>
            <w:gridSpan w:val="2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Cs w:val="21"/>
              </w:rPr>
            </w:pP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000" w:type="dxa"/>
        <w:tblInd w:w="0" w:type="dxa"/>
        <w:tblLayout w:type="fixed"/>
        <w:tblCellMar>
          <w:top w:w="0" w:type="dxa"/>
          <w:left w:w="0" w:type="dxa"/>
          <w:bottom w:w="0" w:type="dxa"/>
          <w:right w:w="0" w:type="dxa"/>
        </w:tblCellMar>
      </w:tblPr>
      <w:tblGrid>
        <w:gridCol w:w="290"/>
        <w:gridCol w:w="289"/>
        <w:gridCol w:w="450"/>
        <w:gridCol w:w="1875"/>
        <w:gridCol w:w="242"/>
        <w:gridCol w:w="628"/>
        <w:gridCol w:w="490"/>
        <w:gridCol w:w="402"/>
        <w:gridCol w:w="718"/>
        <w:gridCol w:w="365"/>
        <w:gridCol w:w="753"/>
        <w:gridCol w:w="331"/>
        <w:gridCol w:w="789"/>
        <w:gridCol w:w="294"/>
        <w:gridCol w:w="1084"/>
      </w:tblGrid>
      <w:tr>
        <w:tblPrEx>
          <w:tblCellMar>
            <w:top w:w="0" w:type="dxa"/>
            <w:left w:w="0" w:type="dxa"/>
            <w:bottom w:w="0" w:type="dxa"/>
            <w:right w:w="0" w:type="dxa"/>
          </w:tblCellMar>
        </w:tblPrEx>
        <w:trPr>
          <w:trHeight w:val="798" w:hRule="atLeast"/>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CellMar>
            <w:top w:w="0" w:type="dxa"/>
            <w:left w:w="0" w:type="dxa"/>
            <w:bottom w:w="0" w:type="dxa"/>
            <w:right w:w="0" w:type="dxa"/>
          </w:tblCellMar>
        </w:tblPrEx>
        <w:trPr>
          <w:trHeight w:val="404" w:hRule="atLeast"/>
        </w:trPr>
        <w:tc>
          <w:tcPr>
            <w:tcW w:w="2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4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7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公开03表</w:t>
            </w:r>
          </w:p>
        </w:tc>
      </w:tr>
      <w:tr>
        <w:tblPrEx>
          <w:tblCellMar>
            <w:top w:w="0" w:type="dxa"/>
            <w:left w:w="0" w:type="dxa"/>
            <w:bottom w:w="0" w:type="dxa"/>
            <w:right w:w="0" w:type="dxa"/>
          </w:tblCellMar>
        </w:tblPrEx>
        <w:trPr>
          <w:trHeight w:val="380" w:hRule="atLeast"/>
        </w:trPr>
        <w:tc>
          <w:tcPr>
            <w:tcW w:w="3146"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r>
              <w:rPr>
                <w:rFonts w:hint="eastAsia" w:ascii="宋体" w:hAnsi="宋体" w:cs="宋体"/>
                <w:color w:val="000000"/>
                <w:kern w:val="0"/>
                <w:szCs w:val="21"/>
                <w:lang w:eastAsia="zh-CN"/>
              </w:rPr>
              <w:t>大城县水务局</w:t>
            </w: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837" w:hRule="atLeast"/>
        </w:trPr>
        <w:tc>
          <w:tcPr>
            <w:tcW w:w="290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870"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本年支出合计</w:t>
            </w:r>
          </w:p>
        </w:tc>
        <w:tc>
          <w:tcPr>
            <w:tcW w:w="892"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08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084"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上缴上级支出</w:t>
            </w:r>
          </w:p>
        </w:tc>
        <w:tc>
          <w:tcPr>
            <w:tcW w:w="108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经营支出</w:t>
            </w:r>
          </w:p>
        </w:tc>
        <w:tc>
          <w:tcPr>
            <w:tcW w:w="1084"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对附属单位补助支出</w:t>
            </w:r>
          </w:p>
        </w:tc>
      </w:tr>
      <w:tr>
        <w:tblPrEx>
          <w:tblCellMar>
            <w:top w:w="0" w:type="dxa"/>
            <w:left w:w="0" w:type="dxa"/>
            <w:bottom w:w="0" w:type="dxa"/>
            <w:right w:w="0" w:type="dxa"/>
          </w:tblCellMar>
        </w:tblPrEx>
        <w:trPr>
          <w:trHeight w:val="782" w:hRule="atLeast"/>
        </w:trPr>
        <w:tc>
          <w:tcPr>
            <w:tcW w:w="1029"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70"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892"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95" w:hRule="atLeast"/>
        </w:trPr>
        <w:tc>
          <w:tcPr>
            <w:tcW w:w="290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87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9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440" w:hRule="atLeast"/>
        </w:trPr>
        <w:tc>
          <w:tcPr>
            <w:tcW w:w="290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8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6180.37</w:t>
            </w:r>
          </w:p>
        </w:tc>
        <w:tc>
          <w:tcPr>
            <w:tcW w:w="8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1166.07</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5014.30</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r>
      <w:tr>
        <w:tblPrEx>
          <w:tblCellMar>
            <w:top w:w="0" w:type="dxa"/>
            <w:left w:w="0" w:type="dxa"/>
            <w:bottom w:w="0" w:type="dxa"/>
            <w:right w:w="0" w:type="dxa"/>
          </w:tblCellMar>
        </w:tblPrEx>
        <w:trPr>
          <w:trHeight w:val="46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206</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科学技术支出</w:t>
            </w:r>
          </w:p>
        </w:tc>
        <w:tc>
          <w:tcPr>
            <w:tcW w:w="8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1.00</w:t>
            </w:r>
          </w:p>
        </w:tc>
        <w:tc>
          <w:tcPr>
            <w:tcW w:w="8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1.00</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20699</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其他科学技术支出</w:t>
            </w:r>
          </w:p>
        </w:tc>
        <w:tc>
          <w:tcPr>
            <w:tcW w:w="8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1.00</w:t>
            </w:r>
          </w:p>
        </w:tc>
        <w:tc>
          <w:tcPr>
            <w:tcW w:w="8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1.00</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2069901</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科技奖励</w:t>
            </w:r>
          </w:p>
        </w:tc>
        <w:tc>
          <w:tcPr>
            <w:tcW w:w="8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1.00</w:t>
            </w:r>
          </w:p>
        </w:tc>
        <w:tc>
          <w:tcPr>
            <w:tcW w:w="8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1.00</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208</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社会保障和就业支出</w:t>
            </w:r>
          </w:p>
        </w:tc>
        <w:tc>
          <w:tcPr>
            <w:tcW w:w="8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58.17</w:t>
            </w:r>
          </w:p>
        </w:tc>
        <w:tc>
          <w:tcPr>
            <w:tcW w:w="8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55.50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2.67</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20805</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行政事业单位离退休</w:t>
            </w:r>
          </w:p>
        </w:tc>
        <w:tc>
          <w:tcPr>
            <w:tcW w:w="8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55.50</w:t>
            </w:r>
          </w:p>
        </w:tc>
        <w:tc>
          <w:tcPr>
            <w:tcW w:w="8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55.50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2080505</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机关事业单位基本养老保险缴费支出</w:t>
            </w:r>
          </w:p>
        </w:tc>
        <w:tc>
          <w:tcPr>
            <w:tcW w:w="8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55.50</w:t>
            </w:r>
          </w:p>
        </w:tc>
        <w:tc>
          <w:tcPr>
            <w:tcW w:w="8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55.50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20823</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小型水库移民扶助基金及对应专项债务收入安排的支出</w:t>
            </w:r>
          </w:p>
        </w:tc>
        <w:tc>
          <w:tcPr>
            <w:tcW w:w="8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2.67</w:t>
            </w:r>
          </w:p>
        </w:tc>
        <w:tc>
          <w:tcPr>
            <w:tcW w:w="8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2.67</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2082399</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 xml:space="preserve"> 其他小型水库移民扶助基金支出</w:t>
            </w:r>
          </w:p>
        </w:tc>
        <w:tc>
          <w:tcPr>
            <w:tcW w:w="8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2.67</w:t>
            </w:r>
          </w:p>
        </w:tc>
        <w:tc>
          <w:tcPr>
            <w:tcW w:w="8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2.67</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210</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医疗卫生与计划生育支出</w:t>
            </w:r>
          </w:p>
        </w:tc>
        <w:tc>
          <w:tcPr>
            <w:tcW w:w="8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23.26</w:t>
            </w:r>
          </w:p>
        </w:tc>
        <w:tc>
          <w:tcPr>
            <w:tcW w:w="8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23.26</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21011</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行政事业单位医疗</w:t>
            </w:r>
          </w:p>
        </w:tc>
        <w:tc>
          <w:tcPr>
            <w:tcW w:w="8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23.26</w:t>
            </w:r>
          </w:p>
        </w:tc>
        <w:tc>
          <w:tcPr>
            <w:tcW w:w="8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23.26</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2101101</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行政单位医疗</w:t>
            </w:r>
          </w:p>
        </w:tc>
        <w:tc>
          <w:tcPr>
            <w:tcW w:w="8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23.26</w:t>
            </w:r>
          </w:p>
        </w:tc>
        <w:tc>
          <w:tcPr>
            <w:tcW w:w="8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23.26</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212</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城乡社区支出</w:t>
            </w:r>
          </w:p>
        </w:tc>
        <w:tc>
          <w:tcPr>
            <w:tcW w:w="8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217.86</w:t>
            </w:r>
          </w:p>
        </w:tc>
        <w:tc>
          <w:tcPr>
            <w:tcW w:w="8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217.86</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21208</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国有土地使用权出让收入及对应专项债务收入安排的支出</w:t>
            </w:r>
          </w:p>
        </w:tc>
        <w:tc>
          <w:tcPr>
            <w:tcW w:w="8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166.06</w:t>
            </w:r>
          </w:p>
        </w:tc>
        <w:tc>
          <w:tcPr>
            <w:tcW w:w="8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166.06</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2120801</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征地和拆迁补偿支出</w:t>
            </w:r>
          </w:p>
        </w:tc>
        <w:tc>
          <w:tcPr>
            <w:tcW w:w="8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106.06</w:t>
            </w:r>
          </w:p>
        </w:tc>
        <w:tc>
          <w:tcPr>
            <w:tcW w:w="8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106.06</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2120803</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城市建设支出</w:t>
            </w:r>
          </w:p>
        </w:tc>
        <w:tc>
          <w:tcPr>
            <w:tcW w:w="8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40.00</w:t>
            </w:r>
          </w:p>
        </w:tc>
        <w:tc>
          <w:tcPr>
            <w:tcW w:w="8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40.00</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2120804</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农村基础设施建设支出</w:t>
            </w:r>
          </w:p>
        </w:tc>
        <w:tc>
          <w:tcPr>
            <w:tcW w:w="8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20.00</w:t>
            </w:r>
          </w:p>
        </w:tc>
        <w:tc>
          <w:tcPr>
            <w:tcW w:w="8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20.00</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21214</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污水处理费及对应专项债务收入安排的支出</w:t>
            </w:r>
          </w:p>
        </w:tc>
        <w:tc>
          <w:tcPr>
            <w:tcW w:w="8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51.80</w:t>
            </w:r>
          </w:p>
        </w:tc>
        <w:tc>
          <w:tcPr>
            <w:tcW w:w="8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51.80</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2121402</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代征手续费</w:t>
            </w:r>
          </w:p>
        </w:tc>
        <w:tc>
          <w:tcPr>
            <w:tcW w:w="8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51.80</w:t>
            </w:r>
          </w:p>
        </w:tc>
        <w:tc>
          <w:tcPr>
            <w:tcW w:w="8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51.80</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213</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农林水支出</w:t>
            </w:r>
          </w:p>
        </w:tc>
        <w:tc>
          <w:tcPr>
            <w:tcW w:w="8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3114.53</w:t>
            </w:r>
          </w:p>
        </w:tc>
        <w:tc>
          <w:tcPr>
            <w:tcW w:w="8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1087.31</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2027.22</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21301</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农业</w:t>
            </w:r>
          </w:p>
        </w:tc>
        <w:tc>
          <w:tcPr>
            <w:tcW w:w="8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10.75</w:t>
            </w:r>
          </w:p>
        </w:tc>
        <w:tc>
          <w:tcPr>
            <w:tcW w:w="8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10.75</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2130142</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农村道路建设</w:t>
            </w:r>
          </w:p>
        </w:tc>
        <w:tc>
          <w:tcPr>
            <w:tcW w:w="8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10.75</w:t>
            </w:r>
          </w:p>
        </w:tc>
        <w:tc>
          <w:tcPr>
            <w:tcW w:w="8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10.75</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21303</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水利</w:t>
            </w:r>
          </w:p>
        </w:tc>
        <w:tc>
          <w:tcPr>
            <w:tcW w:w="8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2383.78</w:t>
            </w:r>
          </w:p>
        </w:tc>
        <w:tc>
          <w:tcPr>
            <w:tcW w:w="8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1087.31</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1296.47</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2130301</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行政运行</w:t>
            </w:r>
          </w:p>
        </w:tc>
        <w:tc>
          <w:tcPr>
            <w:tcW w:w="8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1087.31</w:t>
            </w:r>
          </w:p>
        </w:tc>
        <w:tc>
          <w:tcPr>
            <w:tcW w:w="8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1087.31</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2130302</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一般行政管理事务</w:t>
            </w:r>
          </w:p>
        </w:tc>
        <w:tc>
          <w:tcPr>
            <w:tcW w:w="8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6.97</w:t>
            </w:r>
          </w:p>
        </w:tc>
        <w:tc>
          <w:tcPr>
            <w:tcW w:w="8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6.97</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2130305</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水利工程建设</w:t>
            </w:r>
          </w:p>
        </w:tc>
        <w:tc>
          <w:tcPr>
            <w:tcW w:w="8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35.14</w:t>
            </w:r>
          </w:p>
        </w:tc>
        <w:tc>
          <w:tcPr>
            <w:tcW w:w="8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35.14</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2130306</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水利工程运行与维护</w:t>
            </w:r>
          </w:p>
        </w:tc>
        <w:tc>
          <w:tcPr>
            <w:tcW w:w="8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40.02</w:t>
            </w:r>
          </w:p>
        </w:tc>
        <w:tc>
          <w:tcPr>
            <w:tcW w:w="8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40.02</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2130308</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水利前期工作</w:t>
            </w:r>
          </w:p>
        </w:tc>
        <w:tc>
          <w:tcPr>
            <w:tcW w:w="8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1.50</w:t>
            </w:r>
          </w:p>
        </w:tc>
        <w:tc>
          <w:tcPr>
            <w:tcW w:w="8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1.50</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2130311</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水资源节约管理与保护</w:t>
            </w:r>
          </w:p>
        </w:tc>
        <w:tc>
          <w:tcPr>
            <w:tcW w:w="8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86.49</w:t>
            </w:r>
          </w:p>
        </w:tc>
        <w:tc>
          <w:tcPr>
            <w:tcW w:w="8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86.49</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2130314</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防汛</w:t>
            </w:r>
          </w:p>
        </w:tc>
        <w:tc>
          <w:tcPr>
            <w:tcW w:w="8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121.38</w:t>
            </w:r>
          </w:p>
        </w:tc>
        <w:tc>
          <w:tcPr>
            <w:tcW w:w="8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121.38</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2130315</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抗旱</w:t>
            </w:r>
          </w:p>
        </w:tc>
        <w:tc>
          <w:tcPr>
            <w:tcW w:w="8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48.99</w:t>
            </w:r>
          </w:p>
        </w:tc>
        <w:tc>
          <w:tcPr>
            <w:tcW w:w="8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48.99</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2130316</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农田水利</w:t>
            </w:r>
          </w:p>
        </w:tc>
        <w:tc>
          <w:tcPr>
            <w:tcW w:w="8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875.35</w:t>
            </w:r>
          </w:p>
        </w:tc>
        <w:tc>
          <w:tcPr>
            <w:tcW w:w="8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875.35</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2130335</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农村人畜饮水</w:t>
            </w:r>
          </w:p>
        </w:tc>
        <w:tc>
          <w:tcPr>
            <w:tcW w:w="8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9.26</w:t>
            </w:r>
          </w:p>
        </w:tc>
        <w:tc>
          <w:tcPr>
            <w:tcW w:w="8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9.26</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2130399</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其他水利支出</w:t>
            </w:r>
          </w:p>
        </w:tc>
        <w:tc>
          <w:tcPr>
            <w:tcW w:w="8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71.37</w:t>
            </w:r>
          </w:p>
        </w:tc>
        <w:tc>
          <w:tcPr>
            <w:tcW w:w="8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71.37</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21399</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其他农林水支出</w:t>
            </w:r>
          </w:p>
        </w:tc>
        <w:tc>
          <w:tcPr>
            <w:tcW w:w="8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720.00</w:t>
            </w:r>
          </w:p>
        </w:tc>
        <w:tc>
          <w:tcPr>
            <w:tcW w:w="8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720.00</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2139999</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其他农林水支出</w:t>
            </w:r>
          </w:p>
        </w:tc>
        <w:tc>
          <w:tcPr>
            <w:tcW w:w="8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720.00</w:t>
            </w:r>
          </w:p>
        </w:tc>
        <w:tc>
          <w:tcPr>
            <w:tcW w:w="8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720.00</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215</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资源勘探信息等支出</w:t>
            </w:r>
          </w:p>
        </w:tc>
        <w:tc>
          <w:tcPr>
            <w:tcW w:w="8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4.84</w:t>
            </w:r>
          </w:p>
        </w:tc>
        <w:tc>
          <w:tcPr>
            <w:tcW w:w="8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4.84</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21506</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安全生产监管</w:t>
            </w:r>
          </w:p>
        </w:tc>
        <w:tc>
          <w:tcPr>
            <w:tcW w:w="8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4.84</w:t>
            </w:r>
          </w:p>
        </w:tc>
        <w:tc>
          <w:tcPr>
            <w:tcW w:w="8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4.84</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2150605</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安全监管监察专项</w:t>
            </w:r>
          </w:p>
        </w:tc>
        <w:tc>
          <w:tcPr>
            <w:tcW w:w="8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4.84</w:t>
            </w:r>
          </w:p>
        </w:tc>
        <w:tc>
          <w:tcPr>
            <w:tcW w:w="8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4.84</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229</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其他支出</w:t>
            </w:r>
          </w:p>
        </w:tc>
        <w:tc>
          <w:tcPr>
            <w:tcW w:w="8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2760.71</w:t>
            </w:r>
          </w:p>
        </w:tc>
        <w:tc>
          <w:tcPr>
            <w:tcW w:w="8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2760.71</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22904</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其他政府性基金及对应专项债务收入安排的支出</w:t>
            </w:r>
          </w:p>
        </w:tc>
        <w:tc>
          <w:tcPr>
            <w:tcW w:w="8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2760.71</w:t>
            </w:r>
          </w:p>
        </w:tc>
        <w:tc>
          <w:tcPr>
            <w:tcW w:w="8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2760.71</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02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2290400</w:t>
            </w: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 xml:space="preserve"> 其他政府性基金及对应专项债务收入安排的支出</w:t>
            </w:r>
          </w:p>
        </w:tc>
        <w:tc>
          <w:tcPr>
            <w:tcW w:w="8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2760.71</w:t>
            </w:r>
          </w:p>
        </w:tc>
        <w:tc>
          <w:tcPr>
            <w:tcW w:w="89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2760.71</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748" w:hRule="atLeast"/>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注：本表反映部门本年度各项支出情况。</w:t>
            </w:r>
          </w:p>
        </w:tc>
      </w:tr>
    </w:tbl>
    <w:p>
      <w:pPr>
        <w:widowControl/>
        <w:spacing w:after="0" w:line="560" w:lineRule="exact"/>
        <w:ind w:firstLine="562" w:firstLineChars="200"/>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CellMar>
            <w:top w:w="0" w:type="dxa"/>
            <w:left w:w="0" w:type="dxa"/>
            <w:bottom w:w="0" w:type="dxa"/>
            <w:right w:w="0" w:type="dxa"/>
          </w:tblCellMar>
        </w:tblPrEx>
        <w:trPr>
          <w:trHeight w:val="90" w:hRule="atLeast"/>
        </w:trPr>
        <w:tc>
          <w:tcPr>
            <w:tcW w:w="17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Cs w:val="21"/>
                <w:lang w:eastAsia="zh-CN"/>
              </w:rPr>
              <w:t>大城县水务局</w:t>
            </w: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6153"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政府性基金预算财政拨款</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3781.32</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2599.57</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1.00</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58.17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55.50</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2.67</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23.26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23.26</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217.86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217.86</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3114.53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3114.53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4.84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4.84</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2760.71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2760.71</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6380.88</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6180.37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3199.13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2981.24</w:t>
            </w: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1505.86</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1706.37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1678.64</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27.73</w:t>
            </w: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1096.45</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409.40</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7886.74</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7886.74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4877.77</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3008.97</w:t>
            </w:r>
          </w:p>
        </w:tc>
      </w:tr>
      <w:tr>
        <w:tblPrEx>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317"/>
        <w:gridCol w:w="319"/>
        <w:gridCol w:w="357"/>
        <w:gridCol w:w="2109"/>
        <w:gridCol w:w="745"/>
        <w:gridCol w:w="1174"/>
        <w:gridCol w:w="718"/>
        <w:gridCol w:w="1201"/>
        <w:gridCol w:w="1920"/>
      </w:tblGrid>
      <w:tr>
        <w:tblPrEx>
          <w:tblCellMar>
            <w:top w:w="0" w:type="dxa"/>
            <w:left w:w="0" w:type="dxa"/>
            <w:bottom w:w="0" w:type="dxa"/>
            <w:right w:w="0" w:type="dxa"/>
          </w:tblCellMar>
        </w:tblPrEx>
        <w:trPr>
          <w:trHeight w:val="600" w:hRule="atLeast"/>
        </w:trPr>
        <w:tc>
          <w:tcPr>
            <w:tcW w:w="8860" w:type="dxa"/>
            <w:gridSpan w:val="9"/>
            <w:tcBorders>
              <w:top w:val="nil"/>
              <w:left w:val="nil"/>
              <w:bottom w:val="nil"/>
              <w:right w:val="nil"/>
            </w:tcBorders>
            <w:shd w:val="clear" w:color="auto" w:fill="auto"/>
            <w:noWrap/>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一般公共预算财政拨款支出决算表</w:t>
            </w:r>
          </w:p>
        </w:tc>
      </w:tr>
      <w:tr>
        <w:tblPrEx>
          <w:tblCellMar>
            <w:top w:w="0" w:type="dxa"/>
            <w:left w:w="0" w:type="dxa"/>
            <w:bottom w:w="0" w:type="dxa"/>
            <w:right w:w="0" w:type="dxa"/>
          </w:tblCellMar>
        </w:tblPrEx>
        <w:trPr>
          <w:trHeight w:val="334" w:hRule="atLeast"/>
        </w:trPr>
        <w:tc>
          <w:tcPr>
            <w:tcW w:w="3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10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公开05表</w:t>
            </w:r>
          </w:p>
        </w:tc>
      </w:tr>
      <w:tr>
        <w:tblPrEx>
          <w:tblCellMar>
            <w:top w:w="0" w:type="dxa"/>
            <w:left w:w="0" w:type="dxa"/>
            <w:bottom w:w="0" w:type="dxa"/>
            <w:right w:w="0" w:type="dxa"/>
          </w:tblCellMar>
        </w:tblPrEx>
        <w:trPr>
          <w:trHeight w:val="334" w:hRule="atLeast"/>
        </w:trPr>
        <w:tc>
          <w:tcPr>
            <w:tcW w:w="3847"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r>
              <w:rPr>
                <w:rFonts w:hint="eastAsia" w:ascii="宋体" w:hAnsi="宋体" w:cs="宋体"/>
                <w:color w:val="000000"/>
                <w:kern w:val="0"/>
                <w:szCs w:val="21"/>
                <w:lang w:eastAsia="zh-CN"/>
              </w:rPr>
              <w:t>大城县水务局</w:t>
            </w: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51" w:hRule="atLeast"/>
        </w:trPr>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5758"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w:t>
            </w:r>
          </w:p>
        </w:tc>
      </w:tr>
      <w:tr>
        <w:tblPrEx>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210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r>
      <w:tr>
        <w:tblPrEx>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3199.13</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1166.07</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2033.06</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206</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科学技术支出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1.00</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1.00</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20699</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其他科学技术支出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1.00</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1.00</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2069901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 xml:space="preserve">  科技奖励</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1.00</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1.00</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208</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社会保障和就业支出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55.50</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55.50</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20805</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行政事业单位离退休</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55.50</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55.50</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2080505</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 xml:space="preserve">  机关事业单位基本养老保险缴费支出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55.50</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55.50</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210</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医疗卫生与计划生育支出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23.26</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23.26</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21011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行政事业单位医疗</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23.26</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23.26</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2101101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 xml:space="preserve">  行政单位医疗</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23.26</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23.26</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213</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农林水支出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3114.53</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1087.31</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2027.22</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21301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农业</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10.75</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10.75</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2130142</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 xml:space="preserve">  农村道路建设</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10.75</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10.75</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21303</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水利</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2383.78</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1087.31</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1296.47</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2130301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 xml:space="preserve">  行政运行</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1087.31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1087.31</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2130302</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 xml:space="preserve">  一般行政管理事务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6.97</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6.97</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2130305</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 xml:space="preserve">  水利工程建设</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35.14</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35.14</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2130306</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 xml:space="preserve">  水利工程运行与维护</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40.02</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40.02</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2130308</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 xml:space="preserve">  水利前期工作</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1.50</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1.50</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2130311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 xml:space="preserve">  水资源节约管理与保护</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86.49</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86.49</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2130314</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 xml:space="preserve">  防汛</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121.38</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121.38</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2130315</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 xml:space="preserve">  抗旱</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48.99</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48.99</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2130316</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 xml:space="preserve">  农田水利</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875.35</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875.35</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2130335</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 xml:space="preserve">  农村人畜饮水</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9.26</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9.26</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2130399</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 xml:space="preserve">  其他水利支出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71.37</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71.37</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21399</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其他农林水支出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720.00</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720.00</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2139999</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 xml:space="preserve">  其他农林水支出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720.00</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720.00</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215</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资源勘探信息等支出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4.84</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4.84</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21506</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安全生产监管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4.84</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4.84</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2150605</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 xml:space="preserve">  安全监管监察专项</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4.84</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lang w:val="en-US" w:eastAsia="zh-CN"/>
              </w:rPr>
              <w:t>4.84</w:t>
            </w:r>
          </w:p>
        </w:tc>
      </w:tr>
      <w:tr>
        <w:tblPrEx>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注：本表反映部门本年度一般公共预算财政拨款收入及支出情况。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180" w:type="dxa"/>
        <w:jc w:val="center"/>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3"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公开06表</w:t>
            </w:r>
          </w:p>
        </w:tc>
      </w:tr>
      <w:tr>
        <w:tblPrEx>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部门：</w:t>
            </w:r>
            <w:r>
              <w:rPr>
                <w:rFonts w:hint="eastAsia" w:ascii="宋体" w:hAnsi="宋体" w:cs="宋体"/>
                <w:color w:val="000000"/>
                <w:kern w:val="0"/>
                <w:szCs w:val="21"/>
                <w:lang w:eastAsia="zh-CN"/>
              </w:rPr>
              <w:t>大城县水务局</w:t>
            </w: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人员经费</w:t>
            </w:r>
          </w:p>
        </w:tc>
        <w:tc>
          <w:tcPr>
            <w:tcW w:w="6185"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公用经费</w:t>
            </w:r>
          </w:p>
        </w:tc>
      </w:tr>
      <w:tr>
        <w:tblPrEx>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59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5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59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5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8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5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1033.83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商品和服务支出</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67.25</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基本工资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494.70</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12.66</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国内债务付息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津贴补贴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63.93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印刷费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国外债务付息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225.28</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咨询费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伙食补助费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手续费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房屋建筑物购建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绩效工资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55.05</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水费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0.60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机关事业单位基本养老保险缴费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101.10</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电费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7.20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职业年金缴费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23.56</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邮电费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2.42</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基础设施建设</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职工基本医疗保险缴费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49.83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取暖费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9.10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大型修缮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公务员医疗补助缴费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物业管理费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信息网络及软件购置更新</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其他社会保障缴费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4.16</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差旅费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3.67</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物资储备</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住房公积金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16.02</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因公出国（境）费用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土地补偿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维修（护）费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5.40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安置补助</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0.20</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租赁费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地上附着物和青苗补偿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64.99</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会议费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拆迁补偿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离休费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培训费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公务接待费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1.02</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其他交通工具购置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退职（役）费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专用材料费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文物和陈列品购置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抚恤金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48.54</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被装购置费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无形资产购置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30305</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生活补助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16.45</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专用燃料费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救济费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劳务费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委托业务费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赠与</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助学金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工会经费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0.20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国家赔偿费用支出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奖励金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福利费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1.00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对民间非营利组织和群众性自治组织补贴</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个人农业生产补贴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公务用车运行维护费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3.50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其他对个人和家庭的补助支出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10.86</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30240</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税金及附加费用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30299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其他商品和服务支出</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9.61</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15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1098.82</w:t>
            </w:r>
          </w:p>
        </w:tc>
        <w:tc>
          <w:tcPr>
            <w:tcW w:w="5328"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67.25</w:t>
            </w:r>
          </w:p>
        </w:tc>
      </w:tr>
      <w:tr>
        <w:tblPrEx>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注：本表反映部门本年度一般公共预算财政拨款基本支出明细情况。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jc w:val="center"/>
        <w:tblLayout w:type="fixed"/>
        <w:tblCellMar>
          <w:top w:w="0" w:type="dxa"/>
          <w:left w:w="0" w:type="dxa"/>
          <w:bottom w:w="0" w:type="dxa"/>
          <w:right w:w="0" w:type="dxa"/>
        </w:tblCellMar>
      </w:tblPr>
      <w:tblGrid>
        <w:gridCol w:w="1158"/>
        <w:gridCol w:w="1527"/>
        <w:gridCol w:w="1528"/>
        <w:gridCol w:w="1530"/>
        <w:gridCol w:w="1530"/>
        <w:gridCol w:w="1527"/>
      </w:tblGrid>
      <w:tr>
        <w:tblPrEx>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Cs w:val="21"/>
                <w:lang w:eastAsia="zh-CN"/>
              </w:rPr>
              <w:t>大城县水务局</w:t>
            </w: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预算数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12.40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10.50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10.50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1.90</w:t>
            </w:r>
          </w:p>
        </w:tc>
      </w:tr>
      <w:tr>
        <w:tblPrEx>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12</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11.49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10.47</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10.47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1.02</w:t>
            </w:r>
          </w:p>
        </w:tc>
      </w:tr>
      <w:tr>
        <w:tblPrEx>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296"/>
        <w:gridCol w:w="191"/>
        <w:gridCol w:w="479"/>
        <w:gridCol w:w="669"/>
        <w:gridCol w:w="819"/>
        <w:gridCol w:w="1035"/>
        <w:gridCol w:w="960"/>
        <w:gridCol w:w="945"/>
        <w:gridCol w:w="1006"/>
        <w:gridCol w:w="1364"/>
        <w:gridCol w:w="1096"/>
      </w:tblGrid>
      <w:tr>
        <w:tblPrEx>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CellMar>
            <w:top w:w="0" w:type="dxa"/>
            <w:left w:w="0" w:type="dxa"/>
            <w:bottom w:w="0" w:type="dxa"/>
            <w:right w:w="0" w:type="dxa"/>
          </w:tblCellMar>
        </w:tblPrEx>
        <w:trPr>
          <w:trHeight w:val="315" w:hRule="atLeast"/>
        </w:trPr>
        <w:tc>
          <w:tcPr>
            <w:tcW w:w="296"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854"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96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945"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006"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364"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096"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公开08表</w:t>
            </w:r>
          </w:p>
        </w:tc>
      </w:tr>
      <w:tr>
        <w:tblPrEx>
          <w:tblCellMar>
            <w:top w:w="0" w:type="dxa"/>
            <w:left w:w="0" w:type="dxa"/>
            <w:bottom w:w="0" w:type="dxa"/>
            <w:right w:w="0" w:type="dxa"/>
          </w:tblCellMar>
        </w:tblPrEx>
        <w:trPr>
          <w:trHeight w:val="411" w:hRule="atLeast"/>
        </w:trPr>
        <w:tc>
          <w:tcPr>
            <w:tcW w:w="3489"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部门：</w:t>
            </w:r>
            <w:r>
              <w:rPr>
                <w:rFonts w:hint="eastAsia" w:ascii="宋体" w:hAnsi="宋体" w:cs="宋体"/>
                <w:color w:val="000000"/>
                <w:kern w:val="0"/>
                <w:szCs w:val="21"/>
                <w:lang w:eastAsia="zh-CN"/>
              </w:rPr>
              <w:t>大城县水务局</w:t>
            </w:r>
          </w:p>
        </w:tc>
        <w:tc>
          <w:tcPr>
            <w:tcW w:w="96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945"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006"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4" w:hRule="atLeast"/>
        </w:trPr>
        <w:tc>
          <w:tcPr>
            <w:tcW w:w="245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03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年初结转和结余</w:t>
            </w:r>
          </w:p>
        </w:tc>
        <w:tc>
          <w:tcPr>
            <w:tcW w:w="96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本年收入</w:t>
            </w:r>
          </w:p>
        </w:tc>
        <w:tc>
          <w:tcPr>
            <w:tcW w:w="331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本年支出</w:t>
            </w:r>
          </w:p>
        </w:tc>
        <w:tc>
          <w:tcPr>
            <w:tcW w:w="109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年末结转和结余</w:t>
            </w:r>
          </w:p>
        </w:tc>
      </w:tr>
      <w:tr>
        <w:tblPrEx>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488"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03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96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94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00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36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0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488"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3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96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9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0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36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488"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3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96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9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0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36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2454"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3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24" w:hRule="atLeast"/>
        </w:trPr>
        <w:tc>
          <w:tcPr>
            <w:tcW w:w="2454"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3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r>
              <w:rPr>
                <w:rFonts w:hint="eastAsia" w:ascii="宋体" w:hAnsi="宋体" w:cs="宋体"/>
                <w:color w:val="000000"/>
                <w:szCs w:val="21"/>
              </w:rPr>
              <w:t>208</w:t>
            </w:r>
          </w:p>
        </w:tc>
        <w:tc>
          <w:tcPr>
            <w:tcW w:w="14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r>
              <w:rPr>
                <w:rFonts w:hint="eastAsia" w:ascii="宋体" w:hAnsi="宋体" w:cs="宋体"/>
                <w:color w:val="000000"/>
                <w:szCs w:val="21"/>
              </w:rPr>
              <w:t>社会保障和就业支出</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2.67</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2.67</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3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2.67</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20823</w:t>
            </w:r>
          </w:p>
        </w:tc>
        <w:tc>
          <w:tcPr>
            <w:tcW w:w="14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小型水库移民扶助基金及对应专项债务收入安排的支出</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2.67</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2.67</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p>
        </w:tc>
        <w:tc>
          <w:tcPr>
            <w:tcW w:w="13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2.67</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2082399</w:t>
            </w:r>
          </w:p>
        </w:tc>
        <w:tc>
          <w:tcPr>
            <w:tcW w:w="14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 xml:space="preserve">  其他小型水库移民扶助基金支出</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2.67</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2.67</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p>
        </w:tc>
        <w:tc>
          <w:tcPr>
            <w:tcW w:w="13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2.67</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212</w:t>
            </w:r>
          </w:p>
        </w:tc>
        <w:tc>
          <w:tcPr>
            <w:tcW w:w="14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城乡社区支出</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170.06</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47.80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217.86</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p>
        </w:tc>
        <w:tc>
          <w:tcPr>
            <w:tcW w:w="13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217.86</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21208</w:t>
            </w:r>
          </w:p>
        </w:tc>
        <w:tc>
          <w:tcPr>
            <w:tcW w:w="14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国有土地使用权出让收入及对应专项债务收入安排的支出</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146.06</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20.00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166.06</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p>
        </w:tc>
        <w:tc>
          <w:tcPr>
            <w:tcW w:w="13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166.06</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2120801</w:t>
            </w:r>
          </w:p>
        </w:tc>
        <w:tc>
          <w:tcPr>
            <w:tcW w:w="14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 xml:space="preserve">  征地和拆迁补偿支出</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106.06</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106.06</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p>
        </w:tc>
        <w:tc>
          <w:tcPr>
            <w:tcW w:w="13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106.06</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2120803</w:t>
            </w:r>
          </w:p>
        </w:tc>
        <w:tc>
          <w:tcPr>
            <w:tcW w:w="14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 xml:space="preserve">  城市建设支出</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40.00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40.00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p>
        </w:tc>
        <w:tc>
          <w:tcPr>
            <w:tcW w:w="13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40.00</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2120804</w:t>
            </w:r>
          </w:p>
        </w:tc>
        <w:tc>
          <w:tcPr>
            <w:tcW w:w="14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 xml:space="preserve">  农村基础设施建设支出</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20.00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20.00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p>
        </w:tc>
        <w:tc>
          <w:tcPr>
            <w:tcW w:w="13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20.00</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21214</w:t>
            </w:r>
          </w:p>
        </w:tc>
        <w:tc>
          <w:tcPr>
            <w:tcW w:w="14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污水处理费及对应专项债务收入安排的支出</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24.00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27.80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51.80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p>
        </w:tc>
        <w:tc>
          <w:tcPr>
            <w:tcW w:w="13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51.80</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2121402</w:t>
            </w:r>
          </w:p>
        </w:tc>
        <w:tc>
          <w:tcPr>
            <w:tcW w:w="14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 xml:space="preserve">  代征手续费</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24.00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27.80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51.80</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p>
        </w:tc>
        <w:tc>
          <w:tcPr>
            <w:tcW w:w="13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r>
              <w:rPr>
                <w:rFonts w:hint="eastAsia" w:ascii="宋体" w:hAnsi="宋体" w:cs="宋体"/>
                <w:color w:val="000000"/>
                <w:szCs w:val="21"/>
                <w:lang w:val="en-US" w:eastAsia="zh-CN"/>
              </w:rPr>
              <w:t>51.80</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229</w:t>
            </w:r>
          </w:p>
        </w:tc>
        <w:tc>
          <w:tcPr>
            <w:tcW w:w="14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其他支出</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239.34</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2,549.10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2760.71</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lang w:val="en-US" w:eastAsia="zh-CN"/>
              </w:rPr>
            </w:pPr>
          </w:p>
        </w:tc>
        <w:tc>
          <w:tcPr>
            <w:tcW w:w="13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2760.71</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27.73</w:t>
            </w: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22904</w:t>
            </w:r>
          </w:p>
        </w:tc>
        <w:tc>
          <w:tcPr>
            <w:tcW w:w="14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其他政府性基金及对应专项债务收入安排的支出</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239.34</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2,549.10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2760.71</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lang w:val="en-US" w:eastAsia="zh-CN"/>
              </w:rPr>
            </w:pPr>
          </w:p>
        </w:tc>
        <w:tc>
          <w:tcPr>
            <w:tcW w:w="13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2760.71</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27.73</w:t>
            </w: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2290400</w:t>
            </w:r>
          </w:p>
        </w:tc>
        <w:tc>
          <w:tcPr>
            <w:tcW w:w="14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 xml:space="preserve">  其他政府性基金及对应专项债务收入安排的支出</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239.34</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2,549.10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2760.71</w:t>
            </w: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lang w:val="en-US" w:eastAsia="zh-CN"/>
              </w:rPr>
            </w:pPr>
          </w:p>
        </w:tc>
        <w:tc>
          <w:tcPr>
            <w:tcW w:w="13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2760.71</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27.73</w:t>
            </w:r>
          </w:p>
        </w:tc>
      </w:tr>
      <w:tr>
        <w:tblPrEx>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注：本表反映部门本年度政府性基金预算财政拨款收入、支出及结转和结余情况。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CellMar>
            <w:top w:w="0" w:type="dxa"/>
            <w:left w:w="0" w:type="dxa"/>
            <w:bottom w:w="0" w:type="dxa"/>
            <w:right w:w="0" w:type="dxa"/>
          </w:tblCellMar>
        </w:tblPrEx>
        <w:trPr>
          <w:trHeight w:val="335" w:hRule="atLeast"/>
        </w:trPr>
        <w:tc>
          <w:tcPr>
            <w:tcW w:w="44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公开09表</w:t>
            </w:r>
          </w:p>
        </w:tc>
      </w:tr>
      <w:tr>
        <w:tblPrEx>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编制单位：</w:t>
            </w:r>
            <w:r>
              <w:rPr>
                <w:rFonts w:hint="eastAsia" w:ascii="宋体" w:hAnsi="宋体" w:cs="宋体"/>
                <w:color w:val="000000"/>
                <w:kern w:val="0"/>
                <w:szCs w:val="21"/>
                <w:lang w:eastAsia="zh-CN"/>
              </w:rPr>
              <w:t>大城县水务局</w:t>
            </w: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注：本部门本年度无相关支出情况，按要求空表列示。</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政府采购情况表</w:t>
            </w:r>
          </w:p>
        </w:tc>
      </w:tr>
      <w:tr>
        <w:tblPrEx>
          <w:tblCellMar>
            <w:top w:w="0" w:type="dxa"/>
            <w:left w:w="0" w:type="dxa"/>
            <w:bottom w:w="0" w:type="dxa"/>
            <w:right w:w="0" w:type="dxa"/>
          </w:tblCellMar>
        </w:tblPrEx>
        <w:trPr>
          <w:trHeight w:val="326" w:hRule="atLeast"/>
        </w:trPr>
        <w:tc>
          <w:tcPr>
            <w:tcW w:w="190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公开10表</w:t>
            </w:r>
          </w:p>
        </w:tc>
      </w:tr>
      <w:tr>
        <w:tblPrEx>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hint="eastAsia" w:ascii="宋体" w:hAnsi="宋体" w:eastAsia="宋体" w:cs="宋体"/>
                <w:color w:val="000000"/>
                <w:szCs w:val="21"/>
                <w:lang w:val="en-US" w:eastAsia="zh-CN"/>
              </w:rPr>
            </w:pPr>
            <w:r>
              <w:rPr>
                <w:rFonts w:hint="eastAsia" w:ascii="宋体" w:hAnsi="宋体" w:cs="宋体"/>
                <w:color w:val="000000"/>
                <w:kern w:val="0"/>
                <w:szCs w:val="21"/>
              </w:rPr>
              <w:t>编制单位：</w:t>
            </w:r>
            <w:r>
              <w:rPr>
                <w:rFonts w:hint="eastAsia" w:ascii="宋体" w:hAnsi="宋体" w:cs="宋体"/>
                <w:color w:val="000000"/>
                <w:kern w:val="0"/>
                <w:szCs w:val="21"/>
                <w:lang w:eastAsia="zh-CN"/>
              </w:rPr>
              <w:t>大城县水务局</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采购计划金额</w:t>
            </w:r>
          </w:p>
        </w:tc>
      </w:tr>
      <w:tr>
        <w:tblPrEx>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1727.26</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1727.26</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486.03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1241.23</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1323.97</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1323.97</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82.74</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cs="宋体"/>
                <w:color w:val="000000"/>
                <w:szCs w:val="21"/>
                <w:lang w:val="en-US" w:eastAsia="zh-CN"/>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1241.23</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75.00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75.00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75.00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cs="宋体"/>
                <w:color w:val="000000"/>
                <w:szCs w:val="21"/>
                <w:lang w:val="en-US" w:eastAsia="zh-CN"/>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cs="宋体"/>
                <w:color w:val="000000"/>
                <w:szCs w:val="21"/>
                <w:lang w:val="en-US" w:eastAsia="zh-CN"/>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328.29</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328.29</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328.29</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cs="宋体"/>
                <w:color w:val="000000"/>
                <w:szCs w:val="21"/>
                <w:lang w:val="en-US" w:eastAsia="zh-CN"/>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cs="宋体"/>
                <w:color w:val="000000"/>
                <w:szCs w:val="21"/>
                <w:lang w:val="en-US" w:eastAsia="zh-CN"/>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实际采购金额</w:t>
            </w:r>
          </w:p>
        </w:tc>
      </w:tr>
      <w:tr>
        <w:tblPrEx>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1507.88</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1507.88</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433.41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cs="宋体"/>
                <w:color w:val="000000"/>
                <w:szCs w:val="21"/>
                <w:lang w:val="en-US" w:eastAsia="zh-CN"/>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1074.47</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1140.30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1140.30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65.83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cs="宋体"/>
                <w:color w:val="000000"/>
                <w:szCs w:val="21"/>
                <w:lang w:val="en-US" w:eastAsia="zh-CN"/>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1074.47</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56.80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56.80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56.80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cs="宋体"/>
                <w:color w:val="000000"/>
                <w:szCs w:val="21"/>
                <w:lang w:val="en-US" w:eastAsia="zh-CN"/>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cs="宋体"/>
                <w:color w:val="000000"/>
                <w:szCs w:val="21"/>
                <w:lang w:val="en-US" w:eastAsia="zh-CN"/>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310.78</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310.78</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310.78</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cs="宋体"/>
                <w:color w:val="000000"/>
                <w:szCs w:val="21"/>
                <w:lang w:val="en-US" w:eastAsia="zh-CN"/>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cs="宋体"/>
                <w:color w:val="000000"/>
                <w:szCs w:val="21"/>
                <w:lang w:val="en-US" w:eastAsia="zh-CN"/>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注：本表反映部门本年度纳入部门预算范围的政府采购预算及支出情况。     </w:t>
            </w:r>
          </w:p>
        </w:tc>
      </w:tr>
    </w:tbl>
    <w:p>
      <w:pPr>
        <w:widowControl/>
        <w:spacing w:after="0" w:line="560" w:lineRule="exact"/>
        <w:jc w:val="left"/>
        <w:rPr>
          <w:rFonts w:ascii="仿宋_GB2312" w:eastAsia="仿宋_GB2312" w:hAnsiTheme="majorEastAsia"/>
          <w:b/>
          <w:sz w:val="28"/>
          <w:szCs w:val="28"/>
          <w:highlight w:val="yellow"/>
        </w:rPr>
      </w:pPr>
    </w:p>
    <w:p/>
    <w:p/>
    <w:p/>
    <w:p/>
    <w:p>
      <w:pPr>
        <w:tabs>
          <w:tab w:val="left" w:pos="1086"/>
        </w:tabs>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r>
        <w:rPr>
          <w:rFonts w:hint="eastAsia"/>
        </w:rPr>
        <w:tab/>
      </w: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第三部分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部门决算情况说明</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bookmarkStart w:id="0" w:name="_GoBack"/>
      <w:bookmarkEnd w:id="0"/>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eastAsia="仿宋_GB2312" w:cs="DengXian-Regular"/>
          <w:sz w:val="32"/>
          <w:szCs w:val="32"/>
        </w:rPr>
        <w:t>本部门2018年度收支总计（含结转和结余）</w:t>
      </w:r>
      <w:r>
        <w:rPr>
          <w:rFonts w:hint="eastAsia" w:ascii="仿宋_GB2312" w:hAnsi="仿宋_GB2312" w:eastAsia="仿宋_GB2312" w:cs="仿宋_GB2312"/>
          <w:sz w:val="32"/>
          <w:szCs w:val="32"/>
          <w:lang w:val="en-US" w:eastAsia="zh-CN"/>
        </w:rPr>
        <w:t>7886.74</w:t>
      </w:r>
      <w:r>
        <w:rPr>
          <w:rFonts w:hint="eastAsia" w:ascii="仿宋_GB2312" w:eastAsia="仿宋_GB2312" w:cs="DengXian-Regular"/>
          <w:sz w:val="32"/>
          <w:szCs w:val="32"/>
        </w:rPr>
        <w:t>万元。与2017年度决算相比，收支各增加</w:t>
      </w:r>
      <w:r>
        <w:rPr>
          <w:rFonts w:hint="eastAsia" w:ascii="仿宋_GB2312" w:hAnsi="仿宋_GB2312" w:eastAsia="仿宋_GB2312" w:cs="仿宋_GB2312"/>
          <w:sz w:val="32"/>
          <w:szCs w:val="32"/>
          <w:lang w:val="en-US" w:eastAsia="zh-CN"/>
        </w:rPr>
        <w:t>352.61</w:t>
      </w:r>
      <w:r>
        <w:rPr>
          <w:rFonts w:hint="eastAsia" w:ascii="仿宋_GB2312" w:eastAsia="仿宋_GB2312" w:cs="DengXian-Regular"/>
          <w:sz w:val="32"/>
          <w:szCs w:val="32"/>
        </w:rPr>
        <w:t>万元，增长</w:t>
      </w:r>
      <w:r>
        <w:rPr>
          <w:rFonts w:hint="eastAsia" w:ascii="仿宋_GB2312" w:hAnsi="仿宋_GB2312" w:eastAsia="仿宋_GB2312" w:cs="仿宋_GB2312"/>
          <w:sz w:val="32"/>
          <w:szCs w:val="32"/>
          <w:lang w:val="en-US" w:eastAsia="zh-CN"/>
        </w:rPr>
        <w:t>4.68</w:t>
      </w:r>
      <w:r>
        <w:rPr>
          <w:rFonts w:hint="eastAsia" w:ascii="仿宋_GB2312" w:hAnsi="仿宋_GB2312" w:eastAsia="仿宋_GB2312" w:cs="仿宋_GB2312"/>
          <w:sz w:val="32"/>
          <w:szCs w:val="32"/>
        </w:rPr>
        <w:t>%</w:t>
      </w:r>
      <w:r>
        <w:rPr>
          <w:rFonts w:hint="eastAsia" w:ascii="仿宋_GB2312" w:eastAsia="仿宋_GB2312" w:cs="DengXian-Regular"/>
          <w:sz w:val="32"/>
          <w:szCs w:val="32"/>
        </w:rPr>
        <w:t>，主要是</w:t>
      </w:r>
      <w:r>
        <w:rPr>
          <w:rFonts w:hint="eastAsia" w:ascii="仿宋_GB2312" w:hAnsi="仿宋_GB2312" w:eastAsia="仿宋_GB2312" w:cs="仿宋_GB2312"/>
          <w:color w:val="auto"/>
          <w:sz w:val="32"/>
          <w:szCs w:val="32"/>
          <w:lang w:val="en-US" w:eastAsia="zh-CN"/>
        </w:rPr>
        <w:t>人员经费和项目支出增加</w:t>
      </w:r>
      <w:r>
        <w:rPr>
          <w:rFonts w:hint="eastAsia" w:ascii="仿宋_GB2312" w:eastAsia="仿宋_GB2312" w:cs="DengXian-Regular"/>
          <w:sz w:val="32"/>
          <w:szCs w:val="32"/>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本部门2018年度本年收入合计</w:t>
      </w:r>
      <w:r>
        <w:rPr>
          <w:rFonts w:hint="eastAsia" w:ascii="仿宋_GB2312" w:hAnsi="仿宋_GB2312" w:eastAsia="仿宋_GB2312" w:cs="仿宋_GB2312"/>
          <w:sz w:val="32"/>
          <w:szCs w:val="32"/>
          <w:lang w:val="en-US" w:eastAsia="zh-CN"/>
        </w:rPr>
        <w:t>6380.88</w:t>
      </w:r>
      <w:r>
        <w:rPr>
          <w:rFonts w:hint="eastAsia" w:ascii="仿宋_GB2312" w:hAnsi="仿宋_GB2312" w:eastAsia="仿宋_GB2312" w:cs="仿宋_GB2312"/>
          <w:sz w:val="32"/>
          <w:szCs w:val="32"/>
        </w:rPr>
        <w:t>万元，其中：财政拨款收入</w:t>
      </w:r>
      <w:r>
        <w:rPr>
          <w:rFonts w:hint="eastAsia" w:ascii="仿宋_GB2312" w:hAnsi="仿宋_GB2312" w:eastAsia="仿宋_GB2312" w:cs="仿宋_GB2312"/>
          <w:sz w:val="32"/>
          <w:szCs w:val="32"/>
          <w:lang w:val="en-US" w:eastAsia="zh-CN"/>
        </w:rPr>
        <w:t>6380.88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%；事业收入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%；经营收入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%；其他收入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%。如图所示：</w:t>
      </w:r>
    </w:p>
    <w:p>
      <w:pPr>
        <w:adjustRightInd w:val="0"/>
        <w:snapToGrid w:val="0"/>
        <w:spacing w:after="0" w:line="58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图1：收入决算结构饼状图</w:t>
      </w:r>
    </w:p>
    <w:p>
      <w:pPr>
        <w:adjustRightInd w:val="0"/>
        <w:snapToGrid w:val="0"/>
        <w:spacing w:after="0" w:line="580" w:lineRule="exact"/>
        <w:ind w:firstLine="640" w:firstLineChars="200"/>
        <w:jc w:val="center"/>
        <w:rPr>
          <w:rFonts w:eastAsia="仿宋_GB2312"/>
          <w:sz w:val="32"/>
          <w:szCs w:val="32"/>
        </w:rPr>
      </w:pPr>
      <w:r>
        <w:rPr>
          <w:rFonts w:hint="eastAsia" w:eastAsia="仿宋_GB2312"/>
          <w:sz w:val="32"/>
          <w:szCs w:val="32"/>
          <w:lang w:eastAsia="zh-CN"/>
        </w:rPr>
        <w:drawing>
          <wp:anchor distT="0" distB="0" distL="114935" distR="114935" simplePos="0" relativeHeight="251659264" behindDoc="0" locked="0" layoutInCell="1" allowOverlap="1">
            <wp:simplePos x="0" y="0"/>
            <wp:positionH relativeFrom="column">
              <wp:posOffset>1080770</wp:posOffset>
            </wp:positionH>
            <wp:positionV relativeFrom="page">
              <wp:posOffset>5683250</wp:posOffset>
            </wp:positionV>
            <wp:extent cx="4025265" cy="2816860"/>
            <wp:effectExtent l="4445" t="4445" r="8890" b="17145"/>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adjustRightInd w:val="0"/>
        <w:snapToGrid w:val="0"/>
        <w:spacing w:after="0" w:line="580" w:lineRule="exact"/>
        <w:jc w:val="both"/>
        <w:rPr>
          <w:rFonts w:eastAsia="仿宋_GB2312"/>
          <w:sz w:val="32"/>
          <w:szCs w:val="32"/>
        </w:rPr>
      </w:pPr>
    </w:p>
    <w:p>
      <w:pPr>
        <w:pStyle w:val="3"/>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本部门2018年度本年支出合计</w:t>
      </w:r>
      <w:r>
        <w:rPr>
          <w:rFonts w:hint="eastAsia" w:ascii="仿宋_GB2312" w:hAnsi="仿宋_GB2312" w:eastAsia="仿宋_GB2312" w:cs="仿宋_GB2312"/>
          <w:sz w:val="32"/>
          <w:szCs w:val="32"/>
          <w:lang w:val="en-US" w:eastAsia="zh-CN"/>
        </w:rPr>
        <w:t>6180.37</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1166.07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18.87</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5014.30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81.13</w:t>
      </w:r>
      <w:r>
        <w:rPr>
          <w:rFonts w:hint="eastAsia" w:ascii="仿宋_GB2312" w:hAnsi="仿宋_GB2312" w:eastAsia="仿宋_GB2312" w:cs="仿宋_GB2312"/>
          <w:sz w:val="32"/>
          <w:szCs w:val="32"/>
        </w:rPr>
        <w:t>%；经营支出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%。如图所示：</w:t>
      </w:r>
    </w:p>
    <w:p>
      <w:pPr>
        <w:adjustRightInd w:val="0"/>
        <w:snapToGrid w:val="0"/>
        <w:spacing w:after="0"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图2：支出决算结构饼状图</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lang w:eastAsia="zh-CN"/>
        </w:rPr>
        <w:drawing>
          <wp:anchor distT="0" distB="0" distL="114935" distR="114935" simplePos="0" relativeHeight="251660288" behindDoc="0" locked="0" layoutInCell="1" allowOverlap="1">
            <wp:simplePos x="0" y="0"/>
            <wp:positionH relativeFrom="column">
              <wp:posOffset>568960</wp:posOffset>
            </wp:positionH>
            <wp:positionV relativeFrom="page">
              <wp:posOffset>3531235</wp:posOffset>
            </wp:positionV>
            <wp:extent cx="4622800" cy="3467100"/>
            <wp:effectExtent l="5080" t="4445" r="58420" b="71755"/>
            <wp:wrapSquare wrapText="right"/>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lang w:eastAsia="zh-CN"/>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rPr>
          <w:rFonts w:hint="eastAsia" w:ascii="仿宋_GB2312" w:eastAsia="仿宋_GB2312" w:cs="DengXian-Regular"/>
          <w:sz w:val="32"/>
          <w:szCs w:val="32"/>
        </w:rPr>
      </w:pPr>
    </w:p>
    <w:p>
      <w:pPr>
        <w:adjustRightInd w:val="0"/>
        <w:snapToGrid w:val="0"/>
        <w:spacing w:after="0" w:line="580" w:lineRule="exact"/>
        <w:rPr>
          <w:rFonts w:hint="eastAsia" w:ascii="仿宋_GB2312" w:eastAsia="仿宋_GB2312" w:cs="DengXian-Regular"/>
          <w:sz w:val="32"/>
          <w:szCs w:val="32"/>
        </w:rPr>
      </w:pPr>
    </w:p>
    <w:p>
      <w:pPr>
        <w:adjustRightInd w:val="0"/>
        <w:snapToGrid w:val="0"/>
        <w:spacing w:after="0" w:line="580" w:lineRule="exact"/>
        <w:rPr>
          <w:rFonts w:hint="eastAsia" w:ascii="仿宋_GB2312" w:eastAsia="仿宋_GB2312" w:cs="DengXian-Regular"/>
          <w:sz w:val="32"/>
          <w:szCs w:val="32"/>
        </w:rPr>
      </w:pPr>
    </w:p>
    <w:p>
      <w:pPr>
        <w:adjustRightInd w:val="0"/>
        <w:snapToGrid w:val="0"/>
        <w:spacing w:after="0" w:line="580" w:lineRule="exact"/>
        <w:jc w:val="center"/>
        <w:rPr>
          <w:rFonts w:hint="eastAsia" w:ascii="仿宋_GB2312" w:eastAsia="仿宋_GB2312" w:cs="DengXian-Regular"/>
          <w:sz w:val="32"/>
          <w:szCs w:val="32"/>
        </w:rPr>
      </w:pPr>
    </w:p>
    <w:p>
      <w:pPr>
        <w:adjustRightInd w:val="0"/>
        <w:snapToGrid w:val="0"/>
        <w:spacing w:after="0" w:line="580" w:lineRule="exact"/>
        <w:rPr>
          <w:rFonts w:hint="eastAsia" w:ascii="仿宋_GB2312" w:eastAsia="仿宋_GB2312" w:cs="DengXian-Regular"/>
          <w:sz w:val="32"/>
          <w:szCs w:val="32"/>
        </w:rPr>
      </w:pPr>
    </w:p>
    <w:p>
      <w:pPr>
        <w:pStyle w:val="3"/>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黑体" w:eastAsia="黑体"/>
          <w:b w:val="0"/>
          <w:bCs w:val="0"/>
        </w:rPr>
      </w:pPr>
      <w:r>
        <w:rPr>
          <w:rFonts w:hint="eastAsia" w:ascii="黑体" w:eastAsia="黑体"/>
          <w:b w:val="0"/>
          <w:bCs w:val="0"/>
        </w:rPr>
        <w:t>四、财政拨款收入支出决算情况说明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本部门2018年度财政拨款本年收入</w:t>
      </w:r>
      <w:r>
        <w:rPr>
          <w:rFonts w:hint="eastAsia" w:ascii="仿宋_GB2312" w:hAnsi="仿宋_GB2312" w:eastAsia="仿宋_GB2312" w:cs="仿宋_GB2312"/>
          <w:sz w:val="32"/>
          <w:szCs w:val="32"/>
          <w:lang w:val="en-US" w:eastAsia="zh-CN"/>
        </w:rPr>
        <w:t>6380.88</w:t>
      </w:r>
      <w:r>
        <w:rPr>
          <w:rFonts w:hint="eastAsia" w:ascii="仿宋_GB2312" w:hAnsi="仿宋_GB2312" w:eastAsia="仿宋_GB2312" w:cs="仿宋_GB2312"/>
          <w:sz w:val="32"/>
          <w:szCs w:val="32"/>
        </w:rPr>
        <w:t>万元,比2017年度增加</w:t>
      </w:r>
      <w:r>
        <w:rPr>
          <w:rFonts w:hint="eastAsia" w:ascii="仿宋_GB2312" w:hAnsi="仿宋_GB2312" w:eastAsia="仿宋_GB2312" w:cs="仿宋_GB2312"/>
          <w:sz w:val="32"/>
          <w:szCs w:val="32"/>
          <w:lang w:val="en-US" w:eastAsia="zh-CN"/>
        </w:rPr>
        <w:t>406.70</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6.81</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因为人员工资调整和项目增加</w:t>
      </w:r>
      <w:r>
        <w:rPr>
          <w:rFonts w:hint="eastAsia" w:ascii="仿宋_GB2312" w:hAnsi="仿宋_GB2312" w:eastAsia="仿宋_GB2312" w:cs="仿宋_GB2312"/>
          <w:sz w:val="32"/>
          <w:szCs w:val="32"/>
        </w:rPr>
        <w:t>；本年支出</w:t>
      </w:r>
      <w:r>
        <w:rPr>
          <w:rFonts w:hint="eastAsia" w:ascii="仿宋_GB2312" w:hAnsi="仿宋_GB2312" w:eastAsia="仿宋_GB2312" w:cs="仿宋_GB2312"/>
          <w:sz w:val="32"/>
          <w:szCs w:val="32"/>
          <w:lang w:val="en-US" w:eastAsia="zh-CN"/>
        </w:rPr>
        <w:t>6180.37</w:t>
      </w:r>
      <w:r>
        <w:rPr>
          <w:rFonts w:hint="eastAsia" w:ascii="仿宋_GB2312" w:hAnsi="仿宋_GB2312" w:eastAsia="仿宋_GB2312" w:cs="仿宋_GB2312"/>
          <w:sz w:val="32"/>
          <w:szCs w:val="32"/>
        </w:rPr>
        <w:t>万元，增加</w:t>
      </w:r>
      <w:r>
        <w:rPr>
          <w:rFonts w:hint="eastAsia" w:ascii="仿宋_GB2312" w:hAnsi="仿宋_GB2312" w:eastAsia="仿宋_GB2312" w:cs="仿宋_GB2312"/>
          <w:sz w:val="32"/>
          <w:szCs w:val="32"/>
          <w:lang w:val="en-US" w:eastAsia="zh-CN"/>
        </w:rPr>
        <w:t>417.53</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7.25</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val="en-US" w:eastAsia="zh-CN"/>
        </w:rPr>
        <w:t>2018年的项目支出中包括上年结转金额较大</w:t>
      </w:r>
      <w:r>
        <w:rPr>
          <w:rFonts w:hint="eastAsia" w:ascii="仿宋_GB2312" w:hAnsi="仿宋_GB2312" w:eastAsia="仿宋_GB2312" w:cs="仿宋_GB2312"/>
          <w:sz w:val="32"/>
          <w:szCs w:val="32"/>
        </w:rPr>
        <w:t>。</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其中：一般公共预算财政拨款本年收入</w:t>
      </w:r>
      <w:r>
        <w:rPr>
          <w:rFonts w:hint="eastAsia" w:ascii="仿宋_GB2312" w:hAnsi="仿宋_GB2312" w:eastAsia="仿宋_GB2312" w:cs="仿宋_GB2312"/>
          <w:sz w:val="32"/>
          <w:szCs w:val="32"/>
          <w:lang w:val="en-US" w:eastAsia="zh-CN"/>
        </w:rPr>
        <w:t>3781.32</w:t>
      </w:r>
      <w:r>
        <w:rPr>
          <w:rFonts w:hint="eastAsia" w:ascii="仿宋_GB2312" w:hAnsi="仿宋_GB2312" w:eastAsia="仿宋_GB2312" w:cs="仿宋_GB2312"/>
          <w:sz w:val="32"/>
          <w:szCs w:val="32"/>
        </w:rPr>
        <w:t>万元，比2017年度增加</w:t>
      </w:r>
      <w:r>
        <w:rPr>
          <w:rFonts w:hint="eastAsia" w:ascii="仿宋_GB2312" w:hAnsi="仿宋_GB2312" w:eastAsia="仿宋_GB2312" w:cs="仿宋_GB2312"/>
          <w:sz w:val="32"/>
          <w:szCs w:val="32"/>
          <w:lang w:val="en-US" w:eastAsia="zh-CN"/>
        </w:rPr>
        <w:t>716.38</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因为人员工资调整和项目增加</w:t>
      </w:r>
      <w:r>
        <w:rPr>
          <w:rFonts w:hint="eastAsia" w:ascii="仿宋_GB2312" w:hAnsi="仿宋_GB2312" w:eastAsia="仿宋_GB2312" w:cs="仿宋_GB2312"/>
          <w:sz w:val="32"/>
          <w:szCs w:val="32"/>
        </w:rPr>
        <w:t>；本年支出</w:t>
      </w:r>
      <w:r>
        <w:rPr>
          <w:rFonts w:hint="eastAsia" w:ascii="仿宋_GB2312" w:hAnsi="仿宋_GB2312" w:eastAsia="仿宋_GB2312" w:cs="仿宋_GB2312"/>
          <w:sz w:val="32"/>
          <w:szCs w:val="32"/>
          <w:lang w:val="en-US" w:eastAsia="zh-CN"/>
        </w:rPr>
        <w:t>3199.13</w:t>
      </w:r>
      <w:r>
        <w:rPr>
          <w:rFonts w:hint="eastAsia" w:ascii="仿宋_GB2312" w:hAnsi="仿宋_GB2312" w:eastAsia="仿宋_GB2312" w:cs="仿宋_GB2312"/>
          <w:sz w:val="32"/>
          <w:szCs w:val="32"/>
        </w:rPr>
        <w:t>万元，比2017年度减少</w:t>
      </w:r>
      <w:r>
        <w:rPr>
          <w:rFonts w:hint="eastAsia" w:ascii="仿宋_GB2312" w:hAnsi="仿宋_GB2312" w:eastAsia="仿宋_GB2312" w:cs="仿宋_GB2312"/>
          <w:sz w:val="32"/>
          <w:szCs w:val="32"/>
          <w:lang w:val="en-US" w:eastAsia="zh-CN"/>
        </w:rPr>
        <w:t>63.9</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1.96</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因为项目支出减少</w:t>
      </w:r>
      <w:r>
        <w:rPr>
          <w:rFonts w:hint="eastAsia" w:ascii="仿宋_GB2312" w:hAnsi="仿宋_GB2312" w:eastAsia="仿宋_GB2312" w:cs="仿宋_GB2312"/>
          <w:sz w:val="32"/>
          <w:szCs w:val="32"/>
        </w:rPr>
        <w:t>。政府性基金预算财政拨款本年收入</w:t>
      </w:r>
      <w:r>
        <w:rPr>
          <w:rFonts w:hint="eastAsia" w:ascii="仿宋_GB2312" w:hAnsi="仿宋_GB2312" w:eastAsia="仿宋_GB2312" w:cs="仿宋_GB2312"/>
          <w:sz w:val="32"/>
          <w:szCs w:val="32"/>
          <w:lang w:val="en-US" w:eastAsia="zh-CN"/>
        </w:rPr>
        <w:t>2599.57</w:t>
      </w:r>
      <w:r>
        <w:rPr>
          <w:rFonts w:hint="eastAsia" w:ascii="仿宋_GB2312" w:hAnsi="仿宋_GB2312" w:eastAsia="仿宋_GB2312" w:cs="仿宋_GB2312"/>
          <w:sz w:val="32"/>
          <w:szCs w:val="32"/>
        </w:rPr>
        <w:t>万元，比2017年度减少</w:t>
      </w:r>
      <w:r>
        <w:rPr>
          <w:rFonts w:hint="eastAsia" w:ascii="仿宋_GB2312" w:hAnsi="仿宋_GB2312" w:eastAsia="仿宋_GB2312" w:cs="仿宋_GB2312"/>
          <w:sz w:val="32"/>
          <w:szCs w:val="32"/>
          <w:lang w:val="en-US" w:eastAsia="zh-CN"/>
        </w:rPr>
        <w:t>309.67</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10.64</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val="en-US" w:eastAsia="zh-CN"/>
        </w:rPr>
        <w:t>2018年政府性基金安排的项目减少</w:t>
      </w:r>
      <w:r>
        <w:rPr>
          <w:rFonts w:hint="eastAsia" w:ascii="仿宋_GB2312" w:hAnsi="仿宋_GB2312" w:eastAsia="仿宋_GB2312" w:cs="仿宋_GB2312"/>
          <w:sz w:val="32"/>
          <w:szCs w:val="32"/>
        </w:rPr>
        <w:t>；本年支出</w:t>
      </w:r>
      <w:r>
        <w:rPr>
          <w:rFonts w:hint="eastAsia" w:ascii="仿宋_GB2312" w:hAnsi="仿宋_GB2312" w:eastAsia="仿宋_GB2312" w:cs="仿宋_GB2312"/>
          <w:sz w:val="32"/>
          <w:szCs w:val="32"/>
          <w:lang w:val="en-US" w:eastAsia="zh-CN"/>
        </w:rPr>
        <w:t>2981.24</w:t>
      </w:r>
      <w:r>
        <w:rPr>
          <w:rFonts w:hint="eastAsia" w:ascii="仿宋_GB2312" w:hAnsi="仿宋_GB2312" w:eastAsia="仿宋_GB2312" w:cs="仿宋_GB2312"/>
          <w:sz w:val="32"/>
          <w:szCs w:val="32"/>
        </w:rPr>
        <w:t>万元，比2017年度增加</w:t>
      </w:r>
      <w:r>
        <w:rPr>
          <w:rFonts w:hint="eastAsia" w:ascii="仿宋_GB2312" w:hAnsi="仿宋_GB2312" w:eastAsia="仿宋_GB2312" w:cs="仿宋_GB2312"/>
          <w:sz w:val="32"/>
          <w:szCs w:val="32"/>
          <w:lang w:val="en-US" w:eastAsia="zh-CN"/>
        </w:rPr>
        <w:t>481.43</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19.26</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val="en-US" w:eastAsia="zh-CN"/>
        </w:rPr>
        <w:t>2018年政府性基金支出中包括上年结转数</w:t>
      </w:r>
      <w:r>
        <w:rPr>
          <w:rFonts w:hint="eastAsia" w:ascii="仿宋_GB2312" w:hAnsi="仿宋_GB2312" w:eastAsia="仿宋_GB2312" w:cs="仿宋_GB2312"/>
          <w:sz w:val="32"/>
          <w:szCs w:val="32"/>
        </w:rPr>
        <w:t>。</w:t>
      </w:r>
    </w:p>
    <w:p>
      <w:pPr>
        <w:adjustRightInd w:val="0"/>
        <w:snapToGrid w:val="0"/>
        <w:spacing w:after="0" w:line="58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图3：财政拨款收支情况</w:t>
      </w:r>
    </w:p>
    <w:p>
      <w:pPr>
        <w:adjustRightInd w:val="0"/>
        <w:snapToGrid w:val="0"/>
        <w:spacing w:after="0" w:line="580" w:lineRule="exact"/>
        <w:jc w:val="center"/>
        <w:rPr>
          <w:rFonts w:ascii="仿宋_GB2312" w:eastAsia="仿宋_GB2312" w:cs="DengXian-Regular"/>
          <w:sz w:val="32"/>
          <w:szCs w:val="32"/>
        </w:rPr>
      </w:pPr>
      <w:r>
        <w:rPr>
          <w:rFonts w:hint="eastAsia" w:ascii="仿宋_GB2312" w:eastAsia="仿宋_GB2312" w:cs="DengXian-Regular"/>
          <w:sz w:val="32"/>
          <w:szCs w:val="32"/>
          <w:lang w:eastAsia="zh-CN"/>
        </w:rPr>
        <w:drawing>
          <wp:anchor distT="0" distB="0" distL="114300" distR="114300" simplePos="0" relativeHeight="251663360" behindDoc="0" locked="0" layoutInCell="1" allowOverlap="1">
            <wp:simplePos x="0" y="0"/>
            <wp:positionH relativeFrom="column">
              <wp:posOffset>648970</wp:posOffset>
            </wp:positionH>
            <wp:positionV relativeFrom="paragraph">
              <wp:posOffset>193675</wp:posOffset>
            </wp:positionV>
            <wp:extent cx="4376420" cy="3039110"/>
            <wp:effectExtent l="4445" t="4445" r="19685" b="23495"/>
            <wp:wrapTopAndBottom/>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bidi w:val="0"/>
        <w:rPr>
          <w:rFonts w:hint="eastAsia" w:ascii="Times New Roman" w:hAnsi="Times New Roman" w:eastAsia="宋体" w:cs="Times New Roman"/>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line="580" w:lineRule="exact"/>
        <w:ind w:firstLine="643" w:firstLineChars="200"/>
        <w:textAlignment w:val="auto"/>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本部门2018年度财政拨款本年收入</w:t>
      </w:r>
      <w:r>
        <w:rPr>
          <w:rFonts w:hint="eastAsia" w:ascii="仿宋_GB2312" w:hAnsi="仿宋_GB2312" w:eastAsia="仿宋_GB2312" w:cs="仿宋_GB2312"/>
          <w:sz w:val="32"/>
          <w:szCs w:val="32"/>
          <w:lang w:val="en-US" w:eastAsia="zh-CN"/>
        </w:rPr>
        <w:t>6380.88</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80.11</w:t>
      </w:r>
      <w:r>
        <w:rPr>
          <w:rFonts w:hint="eastAsia" w:ascii="仿宋_GB2312" w:hAnsi="仿宋_GB2312" w:eastAsia="仿宋_GB2312" w:cs="仿宋_GB2312"/>
          <w:sz w:val="32"/>
          <w:szCs w:val="32"/>
        </w:rPr>
        <w:t>%,比年初预算减少</w:t>
      </w:r>
      <w:r>
        <w:rPr>
          <w:rFonts w:hint="eastAsia" w:ascii="仿宋_GB2312" w:hAnsi="仿宋_GB2312" w:eastAsia="仿宋_GB2312" w:cs="仿宋_GB2312"/>
          <w:sz w:val="32"/>
          <w:szCs w:val="32"/>
          <w:lang w:val="en-US" w:eastAsia="zh-CN"/>
        </w:rPr>
        <w:t>1584.36</w:t>
      </w:r>
      <w:r>
        <w:rPr>
          <w:rFonts w:hint="eastAsia" w:ascii="仿宋_GB2312" w:hAnsi="仿宋_GB2312" w:eastAsia="仿宋_GB2312" w:cs="仿宋_GB2312"/>
          <w:sz w:val="32"/>
          <w:szCs w:val="32"/>
        </w:rPr>
        <w:t>万元，决算数小于预算数主要是</w:t>
      </w:r>
      <w:r>
        <w:rPr>
          <w:rFonts w:hint="eastAsia" w:ascii="仿宋_GB2312" w:hAnsi="仿宋_GB2312" w:eastAsia="仿宋_GB2312" w:cs="仿宋_GB2312"/>
          <w:sz w:val="32"/>
          <w:szCs w:val="32"/>
          <w:lang w:eastAsia="zh-CN"/>
        </w:rPr>
        <w:t>年中调整预算调减</w:t>
      </w:r>
      <w:r>
        <w:rPr>
          <w:rFonts w:hint="eastAsia" w:ascii="仿宋_GB2312" w:hAnsi="仿宋_GB2312" w:eastAsia="仿宋_GB2312" w:cs="仿宋_GB2312"/>
          <w:sz w:val="32"/>
          <w:szCs w:val="32"/>
        </w:rPr>
        <w:t>；本年支出</w:t>
      </w:r>
      <w:r>
        <w:rPr>
          <w:rFonts w:hint="eastAsia" w:ascii="仿宋_GB2312" w:hAnsi="仿宋_GB2312" w:eastAsia="仿宋_GB2312" w:cs="仿宋_GB2312"/>
          <w:sz w:val="32"/>
          <w:szCs w:val="32"/>
          <w:lang w:val="en-US" w:eastAsia="zh-CN"/>
        </w:rPr>
        <w:t>6180.37</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77.59</w:t>
      </w:r>
      <w:r>
        <w:rPr>
          <w:rFonts w:hint="eastAsia" w:ascii="仿宋_GB2312" w:hAnsi="仿宋_GB2312" w:eastAsia="仿宋_GB2312" w:cs="仿宋_GB2312"/>
          <w:sz w:val="32"/>
          <w:szCs w:val="32"/>
        </w:rPr>
        <w:t>%,比年初预算减少</w:t>
      </w:r>
      <w:r>
        <w:rPr>
          <w:rFonts w:hint="eastAsia" w:ascii="仿宋_GB2312" w:hAnsi="仿宋_GB2312" w:eastAsia="仿宋_GB2312" w:cs="仿宋_GB2312"/>
          <w:sz w:val="32"/>
          <w:szCs w:val="32"/>
          <w:lang w:val="en-US" w:eastAsia="zh-CN"/>
        </w:rPr>
        <w:t>1784.87</w:t>
      </w:r>
      <w:r>
        <w:rPr>
          <w:rFonts w:hint="eastAsia" w:ascii="仿宋_GB2312" w:hAnsi="仿宋_GB2312" w:eastAsia="仿宋_GB2312" w:cs="仿宋_GB2312"/>
          <w:sz w:val="32"/>
          <w:szCs w:val="32"/>
        </w:rPr>
        <w:t>万元，决算数小于预算数主要是</w:t>
      </w:r>
      <w:r>
        <w:rPr>
          <w:rFonts w:hint="eastAsia" w:ascii="仿宋_GB2312" w:hAnsi="仿宋_GB2312" w:eastAsia="仿宋_GB2312" w:cs="仿宋_GB2312"/>
          <w:sz w:val="32"/>
          <w:szCs w:val="32"/>
          <w:lang w:eastAsia="zh-CN"/>
        </w:rPr>
        <w:t>年中调整预算调减</w:t>
      </w:r>
      <w:r>
        <w:rPr>
          <w:rFonts w:hint="eastAsia" w:ascii="仿宋_GB2312" w:hAnsi="仿宋_GB2312" w:eastAsia="仿宋_GB2312" w:cs="仿宋_GB2312"/>
          <w:sz w:val="32"/>
          <w:szCs w:val="32"/>
        </w:rPr>
        <w:t>。</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其中，一般公共预算财政拨款本年收入完成年初预算</w:t>
      </w:r>
      <w:r>
        <w:rPr>
          <w:rFonts w:hint="eastAsia" w:ascii="仿宋_GB2312" w:hAnsi="仿宋_GB2312" w:eastAsia="仿宋_GB2312" w:cs="仿宋_GB2312"/>
          <w:sz w:val="32"/>
          <w:szCs w:val="32"/>
          <w:lang w:val="en-US" w:eastAsia="zh-CN"/>
        </w:rPr>
        <w:t>127.53</w:t>
      </w:r>
      <w:r>
        <w:rPr>
          <w:rFonts w:hint="eastAsia" w:ascii="仿宋_GB2312" w:hAnsi="仿宋_GB2312" w:eastAsia="仿宋_GB2312" w:cs="仿宋_GB2312"/>
          <w:sz w:val="32"/>
          <w:szCs w:val="32"/>
        </w:rPr>
        <w:t>%，比年初预算增加</w:t>
      </w:r>
      <w:r>
        <w:rPr>
          <w:rFonts w:hint="eastAsia" w:ascii="仿宋_GB2312" w:hAnsi="仿宋_GB2312" w:eastAsia="仿宋_GB2312" w:cs="仿宋_GB2312"/>
          <w:sz w:val="32"/>
          <w:szCs w:val="32"/>
          <w:lang w:val="en-US" w:eastAsia="zh-CN"/>
        </w:rPr>
        <w:t>816.27</w:t>
      </w:r>
      <w:r>
        <w:rPr>
          <w:rFonts w:hint="eastAsia" w:ascii="仿宋_GB2312" w:hAnsi="仿宋_GB2312" w:eastAsia="仿宋_GB2312" w:cs="仿宋_GB2312"/>
          <w:sz w:val="32"/>
          <w:szCs w:val="32"/>
        </w:rPr>
        <w:t>万元，决算数大于预算数主要是</w:t>
      </w:r>
      <w:r>
        <w:rPr>
          <w:rFonts w:hint="eastAsia" w:ascii="仿宋_GB2312" w:hAnsi="仿宋_GB2312" w:eastAsia="仿宋_GB2312" w:cs="仿宋_GB2312"/>
          <w:sz w:val="32"/>
          <w:szCs w:val="32"/>
          <w:lang w:eastAsia="zh-CN"/>
        </w:rPr>
        <w:t>年中调整预算调增</w:t>
      </w:r>
      <w:r>
        <w:rPr>
          <w:rFonts w:hint="eastAsia" w:ascii="仿宋_GB2312" w:hAnsi="仿宋_GB2312" w:eastAsia="仿宋_GB2312" w:cs="仿宋_GB2312"/>
          <w:sz w:val="32"/>
          <w:szCs w:val="32"/>
        </w:rPr>
        <w:t>；支出完成年初预算</w:t>
      </w:r>
      <w:r>
        <w:rPr>
          <w:rFonts w:hint="eastAsia" w:ascii="仿宋_GB2312" w:hAnsi="仿宋_GB2312" w:eastAsia="仿宋_GB2312" w:cs="仿宋_GB2312"/>
          <w:sz w:val="32"/>
          <w:szCs w:val="32"/>
          <w:lang w:val="en-US" w:eastAsia="zh-CN"/>
        </w:rPr>
        <w:t>107.89</w:t>
      </w:r>
      <w:r>
        <w:rPr>
          <w:rFonts w:hint="eastAsia" w:ascii="仿宋_GB2312" w:hAnsi="仿宋_GB2312" w:eastAsia="仿宋_GB2312" w:cs="仿宋_GB2312"/>
          <w:sz w:val="32"/>
          <w:szCs w:val="32"/>
        </w:rPr>
        <w:t>%，比年初预算增加</w:t>
      </w:r>
      <w:r>
        <w:rPr>
          <w:rFonts w:hint="eastAsia" w:ascii="仿宋_GB2312" w:hAnsi="仿宋_GB2312" w:eastAsia="仿宋_GB2312" w:cs="仿宋_GB2312"/>
          <w:sz w:val="32"/>
          <w:szCs w:val="32"/>
          <w:lang w:val="en-US" w:eastAsia="zh-CN"/>
        </w:rPr>
        <w:t>234.08</w:t>
      </w:r>
      <w:r>
        <w:rPr>
          <w:rFonts w:hint="eastAsia" w:ascii="仿宋_GB2312" w:hAnsi="仿宋_GB2312" w:eastAsia="仿宋_GB2312" w:cs="仿宋_GB2312"/>
          <w:sz w:val="32"/>
          <w:szCs w:val="32"/>
        </w:rPr>
        <w:t>万元，决算数大于预算数主要是</w:t>
      </w:r>
      <w:r>
        <w:rPr>
          <w:rFonts w:hint="eastAsia" w:ascii="仿宋_GB2312" w:hAnsi="仿宋_GB2312" w:eastAsia="仿宋_GB2312" w:cs="仿宋_GB2312"/>
          <w:sz w:val="32"/>
          <w:szCs w:val="32"/>
          <w:lang w:eastAsia="zh-CN"/>
        </w:rPr>
        <w:t>年中调整预算调增</w:t>
      </w:r>
      <w:r>
        <w:rPr>
          <w:rFonts w:hint="eastAsia" w:ascii="仿宋_GB2312" w:hAnsi="仿宋_GB2312" w:eastAsia="仿宋_GB2312" w:cs="仿宋_GB2312"/>
          <w:sz w:val="32"/>
          <w:szCs w:val="32"/>
        </w:rPr>
        <w:t>。政府性基金预算财政拨款本年收入完成年初预算</w:t>
      </w:r>
      <w:r>
        <w:rPr>
          <w:rFonts w:hint="eastAsia" w:ascii="仿宋_GB2312" w:hAnsi="仿宋_GB2312" w:eastAsia="仿宋_GB2312" w:cs="仿宋_GB2312"/>
          <w:sz w:val="32"/>
          <w:szCs w:val="32"/>
          <w:lang w:val="en-US" w:eastAsia="zh-CN"/>
        </w:rPr>
        <w:t>51.99</w:t>
      </w:r>
      <w:r>
        <w:rPr>
          <w:rFonts w:hint="eastAsia" w:ascii="仿宋_GB2312" w:hAnsi="仿宋_GB2312" w:eastAsia="仿宋_GB2312" w:cs="仿宋_GB2312"/>
          <w:sz w:val="32"/>
          <w:szCs w:val="32"/>
        </w:rPr>
        <w:t>%，比年初预算减少</w:t>
      </w:r>
      <w:r>
        <w:rPr>
          <w:rFonts w:hint="eastAsia" w:ascii="仿宋_GB2312" w:hAnsi="仿宋_GB2312" w:eastAsia="仿宋_GB2312" w:cs="仿宋_GB2312"/>
          <w:sz w:val="32"/>
          <w:szCs w:val="32"/>
          <w:lang w:val="en-US" w:eastAsia="zh-CN"/>
        </w:rPr>
        <w:t>2400.61</w:t>
      </w:r>
      <w:r>
        <w:rPr>
          <w:rFonts w:hint="eastAsia" w:ascii="仿宋_GB2312" w:hAnsi="仿宋_GB2312" w:eastAsia="仿宋_GB2312" w:cs="仿宋_GB2312"/>
          <w:sz w:val="32"/>
          <w:szCs w:val="32"/>
        </w:rPr>
        <w:t>万元，决算数小于预算数主要是</w:t>
      </w:r>
      <w:r>
        <w:rPr>
          <w:rFonts w:hint="eastAsia" w:ascii="仿宋_GB2312" w:hAnsi="仿宋_GB2312" w:eastAsia="仿宋_GB2312" w:cs="仿宋_GB2312"/>
          <w:sz w:val="32"/>
          <w:szCs w:val="32"/>
          <w:lang w:eastAsia="zh-CN"/>
        </w:rPr>
        <w:t>年中调整预算调减</w:t>
      </w:r>
      <w:r>
        <w:rPr>
          <w:rFonts w:hint="eastAsia" w:ascii="仿宋_GB2312" w:hAnsi="仿宋_GB2312" w:eastAsia="仿宋_GB2312" w:cs="仿宋_GB2312"/>
          <w:sz w:val="32"/>
          <w:szCs w:val="32"/>
        </w:rPr>
        <w:t>；支出完成年初预算</w:t>
      </w:r>
      <w:r>
        <w:rPr>
          <w:rFonts w:hint="eastAsia" w:ascii="仿宋_GB2312" w:hAnsi="仿宋_GB2312" w:eastAsia="仿宋_GB2312" w:cs="仿宋_GB2312"/>
          <w:sz w:val="32"/>
          <w:szCs w:val="32"/>
          <w:lang w:val="en-US" w:eastAsia="zh-CN"/>
        </w:rPr>
        <w:t>59.62</w:t>
      </w:r>
      <w:r>
        <w:rPr>
          <w:rFonts w:hint="eastAsia" w:ascii="仿宋_GB2312" w:hAnsi="仿宋_GB2312" w:eastAsia="仿宋_GB2312" w:cs="仿宋_GB2312"/>
          <w:sz w:val="32"/>
          <w:szCs w:val="32"/>
        </w:rPr>
        <w:t>%，比年初预算减少</w:t>
      </w:r>
      <w:r>
        <w:rPr>
          <w:rFonts w:hint="eastAsia" w:ascii="仿宋_GB2312" w:hAnsi="仿宋_GB2312" w:eastAsia="仿宋_GB2312" w:cs="仿宋_GB2312"/>
          <w:sz w:val="32"/>
          <w:szCs w:val="32"/>
          <w:lang w:val="en-US" w:eastAsia="zh-CN"/>
        </w:rPr>
        <w:t>2018.94</w:t>
      </w:r>
      <w:r>
        <w:rPr>
          <w:rFonts w:hint="eastAsia" w:ascii="仿宋_GB2312" w:hAnsi="仿宋_GB2312" w:eastAsia="仿宋_GB2312" w:cs="仿宋_GB2312"/>
          <w:sz w:val="32"/>
          <w:szCs w:val="32"/>
        </w:rPr>
        <w:t>万元，决算数小于预算数主要是</w:t>
      </w:r>
      <w:r>
        <w:rPr>
          <w:rFonts w:hint="eastAsia" w:ascii="仿宋_GB2312" w:hAnsi="仿宋_GB2312" w:eastAsia="仿宋_GB2312" w:cs="仿宋_GB2312"/>
          <w:sz w:val="32"/>
          <w:szCs w:val="32"/>
          <w:lang w:eastAsia="zh-CN"/>
        </w:rPr>
        <w:t>年中调整预算调减</w:t>
      </w:r>
      <w:r>
        <w:rPr>
          <w:rFonts w:hint="eastAsia" w:ascii="仿宋_GB2312" w:hAnsi="仿宋_GB2312" w:eastAsia="仿宋_GB2312" w:cs="仿宋_GB2312"/>
          <w:sz w:val="32"/>
          <w:szCs w:val="32"/>
        </w:rPr>
        <w:t>。</w:t>
      </w:r>
    </w:p>
    <w:p>
      <w:pPr>
        <w:adjustRightInd w:val="0"/>
        <w:snapToGrid w:val="0"/>
        <w:spacing w:after="0"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图4：财政拨款收支预决算对比情况</w:t>
      </w:r>
    </w:p>
    <w:p>
      <w:pPr>
        <w:adjustRightInd w:val="0"/>
        <w:snapToGrid w:val="0"/>
        <w:spacing w:after="0" w:line="580" w:lineRule="exact"/>
        <w:ind w:firstLine="640" w:firstLineChars="200"/>
        <w:rPr>
          <w:rFonts w:hint="eastAsia" w:ascii="仿宋_GB2312" w:hAnsi="仿宋_GB2312" w:eastAsia="仿宋_GB2312" w:cs="仿宋_GB2312"/>
          <w:sz w:val="32"/>
          <w:szCs w:val="32"/>
        </w:rPr>
      </w:pPr>
    </w:p>
    <w:p>
      <w:pPr>
        <w:adjustRightInd w:val="0"/>
        <w:snapToGrid w:val="0"/>
        <w:spacing w:after="0" w:line="580" w:lineRule="exact"/>
        <w:ind w:firstLine="640" w:firstLineChars="200"/>
        <w:rPr>
          <w:rFonts w:hint="eastAsia" w:ascii="仿宋_GB2312" w:hAnsi="仿宋_GB2312" w:eastAsia="仿宋_GB2312" w:cs="仿宋_GB2312"/>
          <w:sz w:val="32"/>
          <w:szCs w:val="32"/>
        </w:rPr>
      </w:pPr>
    </w:p>
    <w:p>
      <w:pPr>
        <w:adjustRightInd w:val="0"/>
        <w:snapToGrid w:val="0"/>
        <w:spacing w:after="0" w:line="580" w:lineRule="exact"/>
        <w:ind w:firstLine="640" w:firstLineChars="200"/>
        <w:rPr>
          <w:rFonts w:hint="eastAsia" w:ascii="仿宋_GB2312" w:hAnsi="仿宋_GB2312" w:eastAsia="仿宋_GB2312" w:cs="仿宋_GB2312"/>
          <w:sz w:val="32"/>
          <w:szCs w:val="32"/>
        </w:rPr>
      </w:pPr>
    </w:p>
    <w:p>
      <w:pPr>
        <w:adjustRightInd w:val="0"/>
        <w:snapToGrid w:val="0"/>
        <w:spacing w:after="0" w:line="580" w:lineRule="exact"/>
        <w:rPr>
          <w:rFonts w:hint="eastAsia" w:ascii="仿宋_GB2312" w:hAnsi="仿宋_GB2312" w:eastAsia="仿宋_GB2312" w:cs="仿宋_GB2312"/>
          <w:sz w:val="32"/>
          <w:szCs w:val="32"/>
        </w:rPr>
      </w:pPr>
    </w:p>
    <w:p>
      <w:pPr>
        <w:adjustRightInd w:val="0"/>
        <w:snapToGrid w:val="0"/>
        <w:spacing w:after="0" w:line="580" w:lineRule="exact"/>
        <w:rPr>
          <w:rFonts w:hint="eastAsia" w:ascii="仿宋_GB2312" w:hAnsi="仿宋_GB2312" w:eastAsia="仿宋_GB2312" w:cs="仿宋_GB2312"/>
          <w:sz w:val="32"/>
          <w:szCs w:val="32"/>
        </w:rPr>
      </w:pPr>
    </w:p>
    <w:p>
      <w:pPr>
        <w:adjustRightInd w:val="0"/>
        <w:snapToGrid w:val="0"/>
        <w:spacing w:after="0" w:line="580" w:lineRule="exact"/>
        <w:rPr>
          <w:rFonts w:hint="eastAsia" w:ascii="仿宋_GB2312" w:hAnsi="仿宋_GB2312" w:eastAsia="仿宋_GB2312" w:cs="仿宋_GB2312"/>
          <w:sz w:val="32"/>
          <w:szCs w:val="32"/>
        </w:rPr>
      </w:pPr>
    </w:p>
    <w:p>
      <w:pPr>
        <w:adjustRightInd w:val="0"/>
        <w:snapToGrid w:val="0"/>
        <w:spacing w:after="0" w:line="580" w:lineRule="exact"/>
        <w:rPr>
          <w:rFonts w:hint="eastAsia" w:ascii="仿宋_GB2312" w:eastAsia="仿宋_GB2312" w:cs="DengXian-Regular"/>
          <w:sz w:val="32"/>
          <w:szCs w:val="32"/>
        </w:rPr>
      </w:pPr>
      <w:r>
        <w:rPr>
          <w:rFonts w:hint="eastAsia" w:ascii="仿宋_GB2312" w:eastAsia="仿宋_GB2312" w:cs="DengXian-Regular"/>
          <w:sz w:val="32"/>
          <w:szCs w:val="32"/>
          <w:lang w:eastAsia="zh-CN"/>
        </w:rPr>
        <w:drawing>
          <wp:anchor distT="0" distB="0" distL="114300" distR="114300" simplePos="0" relativeHeight="251662336" behindDoc="1" locked="0" layoutInCell="1" allowOverlap="1">
            <wp:simplePos x="0" y="0"/>
            <wp:positionH relativeFrom="column">
              <wp:posOffset>106045</wp:posOffset>
            </wp:positionH>
            <wp:positionV relativeFrom="paragraph">
              <wp:posOffset>-543560</wp:posOffset>
            </wp:positionV>
            <wp:extent cx="5059680" cy="3896360"/>
            <wp:effectExtent l="4445" t="4445" r="22225" b="23495"/>
            <wp:wrapTight wrapText="bothSides">
              <wp:wrapPolygon>
                <wp:start x="-19" y="-25"/>
                <wp:lineTo x="-19" y="21519"/>
                <wp:lineTo x="21532" y="21519"/>
                <wp:lineTo x="21532" y="-25"/>
                <wp:lineTo x="-19" y="-25"/>
              </wp:wrapPolygon>
            </wp:wrapTight>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adjustRightInd w:val="0"/>
        <w:snapToGrid w:val="0"/>
        <w:spacing w:after="0" w:line="580" w:lineRule="exact"/>
        <w:rPr>
          <w:rFonts w:hint="eastAsia" w:ascii="仿宋_GB2312" w:eastAsia="仿宋_GB2312" w:cs="DengXian-Regular"/>
          <w:sz w:val="32"/>
          <w:szCs w:val="32"/>
        </w:rPr>
      </w:pPr>
    </w:p>
    <w:p>
      <w:pPr>
        <w:adjustRightInd w:val="0"/>
        <w:snapToGrid w:val="0"/>
        <w:spacing w:after="0" w:line="580" w:lineRule="exact"/>
        <w:rPr>
          <w:rFonts w:hint="eastAsia" w:ascii="仿宋_GB2312" w:eastAsia="仿宋_GB2312" w:cs="DengXian-Regular"/>
          <w:sz w:val="32"/>
          <w:szCs w:val="32"/>
        </w:rPr>
      </w:pPr>
    </w:p>
    <w:p>
      <w:pPr>
        <w:adjustRightInd w:val="0"/>
        <w:snapToGrid w:val="0"/>
        <w:spacing w:after="0" w:line="580" w:lineRule="exact"/>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lang w:eastAsia="zh-CN"/>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年度财政拨款支出</w:t>
      </w:r>
      <w:r>
        <w:rPr>
          <w:rFonts w:hint="eastAsia" w:ascii="仿宋_GB2312" w:hAnsi="仿宋_GB2312" w:eastAsia="仿宋_GB2312" w:cs="仿宋_GB2312"/>
          <w:sz w:val="32"/>
          <w:szCs w:val="32"/>
          <w:lang w:val="en-US" w:eastAsia="zh-CN"/>
        </w:rPr>
        <w:t>6180.37</w:t>
      </w:r>
      <w:r>
        <w:rPr>
          <w:rFonts w:hint="eastAsia" w:ascii="仿宋_GB2312" w:hAnsi="仿宋_GB2312" w:eastAsia="仿宋_GB2312" w:cs="仿宋_GB2312"/>
          <w:sz w:val="32"/>
          <w:szCs w:val="32"/>
        </w:rPr>
        <w:t>万元，主要用于以下方面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科学技术（类）支出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0.02</w:t>
      </w:r>
      <w:r>
        <w:rPr>
          <w:rFonts w:hint="eastAsia" w:ascii="仿宋_GB2312" w:hAnsi="仿宋_GB2312" w:eastAsia="仿宋_GB2312" w:cs="仿宋_GB2312"/>
          <w:sz w:val="32"/>
          <w:szCs w:val="32"/>
        </w:rPr>
        <w:t xml:space="preserve">%；社会保障和就业（类）支出 </w:t>
      </w:r>
      <w:r>
        <w:rPr>
          <w:rFonts w:hint="eastAsia" w:ascii="仿宋_GB2312" w:hAnsi="仿宋_GB2312" w:eastAsia="仿宋_GB2312" w:cs="仿宋_GB2312"/>
          <w:sz w:val="32"/>
          <w:szCs w:val="32"/>
          <w:lang w:val="en-US" w:eastAsia="zh-CN"/>
        </w:rPr>
        <w:t>58.17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0.93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医疗卫生与计划生育支出</w:t>
      </w:r>
      <w:r>
        <w:rPr>
          <w:rFonts w:hint="eastAsia" w:ascii="仿宋_GB2312" w:hAnsi="仿宋_GB2312" w:eastAsia="仿宋_GB2312" w:cs="仿宋_GB2312"/>
          <w:sz w:val="32"/>
          <w:szCs w:val="32"/>
          <w:lang w:val="en-US" w:eastAsia="zh-CN"/>
        </w:rPr>
        <w:t>23.26万元，占0.38%；城乡社区支出217.86万元，占3.53%；农林水支出3114.53万元。占50.39%；资源勘探信息等支出4.84万元，占0.08%；其他支出2760.71万元，占44.67%</w:t>
      </w:r>
      <w:r>
        <w:rPr>
          <w:rFonts w:hint="eastAsia" w:ascii="仿宋_GB2312" w:hAnsi="仿宋_GB2312" w:eastAsia="仿宋_GB2312" w:cs="仿宋_GB2312"/>
          <w:sz w:val="32"/>
          <w:szCs w:val="32"/>
        </w:rPr>
        <w:t>。</w:t>
      </w:r>
    </w:p>
    <w:p>
      <w:pPr>
        <w:adjustRightInd w:val="0"/>
        <w:snapToGrid w:val="0"/>
        <w:spacing w:after="0" w:line="58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图5：财政拨款支出决算结构（按功能分类）</w:t>
      </w: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rPr>
          <w:rFonts w:hint="eastAsia" w:ascii="仿宋_GB2312" w:eastAsia="仿宋_GB2312" w:cs="DengXian-Regular"/>
          <w:sz w:val="32"/>
          <w:szCs w:val="32"/>
          <w:lang w:eastAsia="zh-CN"/>
        </w:rPr>
      </w:pPr>
      <w:r>
        <w:rPr>
          <w:rFonts w:hint="eastAsia" w:ascii="仿宋_GB2312" w:eastAsia="仿宋_GB2312" w:cs="DengXian-Regular"/>
          <w:sz w:val="32"/>
          <w:szCs w:val="32"/>
          <w:lang w:eastAsia="zh-CN"/>
        </w:rPr>
        <w:drawing>
          <wp:anchor distT="0" distB="0" distL="114935" distR="114935" simplePos="0" relativeHeight="251661312" behindDoc="1" locked="0" layoutInCell="1" allowOverlap="1">
            <wp:simplePos x="0" y="0"/>
            <wp:positionH relativeFrom="column">
              <wp:posOffset>334645</wp:posOffset>
            </wp:positionH>
            <wp:positionV relativeFrom="page">
              <wp:posOffset>713105</wp:posOffset>
            </wp:positionV>
            <wp:extent cx="5080000" cy="3810000"/>
            <wp:effectExtent l="4445" t="4445" r="20955" b="14605"/>
            <wp:wrapTight wrapText="bothSides">
              <wp:wrapPolygon>
                <wp:start x="-19" y="-25"/>
                <wp:lineTo x="-19" y="21575"/>
                <wp:lineTo x="21527" y="21575"/>
                <wp:lineTo x="21527" y="-25"/>
                <wp:lineTo x="-19" y="-25"/>
              </wp:wrapPolygon>
            </wp:wrapTight>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2018年度一般公共预算财政拨款基本支出</w:t>
      </w:r>
      <w:r>
        <w:rPr>
          <w:rFonts w:hint="eastAsia" w:ascii="仿宋_GB2312" w:hAnsi="仿宋_GB2312" w:eastAsia="仿宋_GB2312" w:cs="仿宋_GB2312"/>
          <w:sz w:val="32"/>
          <w:szCs w:val="32"/>
          <w:lang w:val="en-US" w:eastAsia="zh-CN"/>
        </w:rPr>
        <w:t>1166.07</w:t>
      </w:r>
      <w:r>
        <w:rPr>
          <w:rFonts w:hint="eastAsia" w:ascii="仿宋_GB2312" w:hAnsi="仿宋_GB2312" w:eastAsia="仿宋_GB2312" w:cs="仿宋_GB2312"/>
          <w:sz w:val="32"/>
          <w:szCs w:val="32"/>
        </w:rPr>
        <w:t>万元，其中：人员经费</w:t>
      </w:r>
      <w:r>
        <w:rPr>
          <w:rFonts w:hint="eastAsia" w:ascii="仿宋_GB2312" w:hAnsi="仿宋_GB2312" w:eastAsia="仿宋_GB2312" w:cs="仿宋_GB2312"/>
          <w:sz w:val="32"/>
          <w:szCs w:val="32"/>
          <w:lang w:val="en-US" w:eastAsia="zh-CN"/>
        </w:rPr>
        <w:t>1098.82</w:t>
      </w:r>
      <w:r>
        <w:rPr>
          <w:rFonts w:hint="eastAsia" w:ascii="仿宋_GB2312" w:hAnsi="仿宋_GB2312" w:eastAsia="仿宋_GB2312" w:cs="仿宋_GB2312"/>
          <w:sz w:val="32"/>
          <w:szCs w:val="32"/>
        </w:rPr>
        <w:t>万元，主要包括基本工资、津贴补贴、奖金、绩效工资、机关事业单位基本养老保险缴费、职业年金缴费、职工基本医疗保险缴费、住房公积金、其他社会保障缴费、其他工资福利支出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抚恤金、生活补助等；公用经费</w:t>
      </w:r>
      <w:r>
        <w:rPr>
          <w:rFonts w:hint="eastAsia" w:ascii="仿宋_GB2312" w:hAnsi="仿宋_GB2312" w:eastAsia="仿宋_GB2312" w:cs="仿宋_GB2312"/>
          <w:sz w:val="32"/>
          <w:szCs w:val="32"/>
          <w:lang w:val="en-US" w:eastAsia="zh-CN"/>
        </w:rPr>
        <w:t>67.25</w:t>
      </w:r>
      <w:r>
        <w:rPr>
          <w:rFonts w:hint="eastAsia" w:ascii="仿宋_GB2312" w:hAnsi="仿宋_GB2312" w:eastAsia="仿宋_GB2312" w:cs="仿宋_GB2312"/>
          <w:sz w:val="32"/>
          <w:szCs w:val="32"/>
        </w:rPr>
        <w:t>万元，主要包括办公费、水费、电费、邮电费、取暖费、差旅费、维修（护）费、公务接待费、工会经费、福利费、公务用车运行维护费、其他交通费用、其他商品和服务支出等</w:t>
      </w:r>
      <w:r>
        <w:rPr>
          <w:rFonts w:hint="eastAsia" w:ascii="仿宋_GB2312" w:hAnsi="仿宋_GB2312" w:eastAsia="仿宋_GB2312" w:cs="仿宋_GB2312"/>
          <w:sz w:val="32"/>
          <w:szCs w:val="32"/>
          <w:lang w:eastAsia="zh-CN"/>
        </w:rPr>
        <w:t>。</w:t>
      </w:r>
    </w:p>
    <w:p>
      <w:pPr>
        <w:pStyle w:val="3"/>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w:t>
      </w:r>
      <w:r>
        <w:rPr>
          <w:rFonts w:hint="eastAsia" w:ascii="仿宋_GB2312" w:eastAsia="仿宋_GB2312" w:cs="DengXian-Regular"/>
          <w:sz w:val="32"/>
          <w:szCs w:val="32"/>
          <w:lang w:val="en-US" w:eastAsia="zh-CN"/>
        </w:rPr>
        <w:t>8</w:t>
      </w:r>
      <w:r>
        <w:rPr>
          <w:rFonts w:hint="eastAsia" w:ascii="仿宋_GB2312" w:eastAsia="仿宋_GB2312" w:cs="DengXian-Regular"/>
          <w:sz w:val="32"/>
          <w:szCs w:val="32"/>
        </w:rPr>
        <w:t>年度一般公共预算财政拨款“三公”经费支出共计</w:t>
      </w:r>
      <w:r>
        <w:rPr>
          <w:rFonts w:hint="eastAsia" w:ascii="仿宋_GB2312" w:eastAsia="仿宋_GB2312" w:cs="DengXian-Regular"/>
          <w:sz w:val="32"/>
          <w:szCs w:val="32"/>
          <w:lang w:val="en-US" w:eastAsia="zh-CN"/>
        </w:rPr>
        <w:t>11.49</w:t>
      </w:r>
      <w:r>
        <w:rPr>
          <w:rFonts w:hint="eastAsia" w:ascii="仿宋_GB2312" w:eastAsia="仿宋_GB2312" w:cs="DengXian-Regular"/>
          <w:sz w:val="32"/>
          <w:szCs w:val="32"/>
        </w:rPr>
        <w:t>万元，比年初预算减少</w:t>
      </w:r>
      <w:r>
        <w:rPr>
          <w:rFonts w:hint="eastAsia" w:ascii="仿宋_GB2312" w:eastAsia="仿宋_GB2312" w:cs="DengXian-Regular"/>
          <w:sz w:val="32"/>
          <w:szCs w:val="32"/>
          <w:lang w:val="en-US" w:eastAsia="zh-CN"/>
        </w:rPr>
        <w:t>0.91</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7.34</w:t>
      </w:r>
      <w:r>
        <w:rPr>
          <w:rFonts w:hint="eastAsia" w:ascii="仿宋_GB2312" w:eastAsia="仿宋_GB2312" w:cs="DengXian-Regular"/>
          <w:sz w:val="32"/>
          <w:szCs w:val="32"/>
        </w:rPr>
        <w:t>%，主要是</w:t>
      </w:r>
      <w:r>
        <w:rPr>
          <w:rFonts w:hint="default" w:ascii="仿宋_GB2312" w:eastAsia="仿宋_GB2312" w:cs="DengXian-Regular"/>
          <w:sz w:val="32"/>
          <w:szCs w:val="32"/>
          <w:lang w:val="en-US" w:eastAsia="zh-CN"/>
        </w:rPr>
        <w:t>原因是落实中央八项规定，厉行节约</w:t>
      </w:r>
      <w:r>
        <w:rPr>
          <w:rFonts w:hint="eastAsia" w:ascii="仿宋_GB2312" w:eastAsia="仿宋_GB2312" w:cs="DengXian-Regular"/>
          <w:sz w:val="32"/>
          <w:szCs w:val="32"/>
        </w:rPr>
        <w:t>；比2017年度决算减少</w:t>
      </w:r>
      <w:r>
        <w:rPr>
          <w:rFonts w:hint="eastAsia" w:ascii="仿宋_GB2312" w:eastAsia="仿宋_GB2312" w:cs="DengXian-Regular"/>
          <w:sz w:val="32"/>
          <w:szCs w:val="32"/>
          <w:lang w:val="en-US" w:eastAsia="zh-CN"/>
        </w:rPr>
        <w:t>0.8</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6.51</w:t>
      </w:r>
      <w:r>
        <w:rPr>
          <w:rFonts w:hint="eastAsia" w:ascii="仿宋_GB2312" w:eastAsia="仿宋_GB2312" w:cs="DengXian-Regular"/>
          <w:sz w:val="32"/>
          <w:szCs w:val="32"/>
        </w:rPr>
        <w:t>%，主要是</w:t>
      </w:r>
      <w:r>
        <w:rPr>
          <w:rFonts w:hint="default" w:ascii="仿宋_GB2312" w:eastAsia="仿宋_GB2312" w:cs="DengXian-Regular"/>
          <w:sz w:val="32"/>
          <w:szCs w:val="32"/>
          <w:lang w:val="en-US" w:eastAsia="zh-CN"/>
        </w:rPr>
        <w:t>原因是落实中央八项规定，厉行节约。</w:t>
      </w:r>
      <w:r>
        <w:rPr>
          <w:rFonts w:hint="eastAsia" w:ascii="仿宋_GB2312" w:eastAsia="仿宋_GB2312" w:cs="DengXian-Regular"/>
          <w:sz w:val="32"/>
          <w:szCs w:val="32"/>
        </w:rPr>
        <w:t>具体情况如下：</w:t>
      </w:r>
    </w:p>
    <w:p>
      <w:pPr>
        <w:adjustRightInd w:val="0"/>
        <w:snapToGrid w:val="0"/>
        <w:spacing w:line="584" w:lineRule="exact"/>
        <w:ind w:firstLine="643" w:firstLineChars="200"/>
        <w:rPr>
          <w:rFonts w:hint="eastAsia" w:ascii="仿宋_GB2312" w:hAnsi="仿宋_GB2312" w:eastAsia="仿宋_GB2312" w:cs="仿宋_GB2312"/>
          <w:sz w:val="32"/>
          <w:szCs w:val="32"/>
        </w:rPr>
      </w:pPr>
      <w:r>
        <w:rPr>
          <w:rFonts w:eastAsia="楷体_GB2312"/>
          <w:b/>
          <w:bCs/>
          <w:sz w:val="32"/>
          <w:szCs w:val="32"/>
        </w:rPr>
        <w:t>（一）因公出国（境）费支出</w:t>
      </w:r>
      <w:r>
        <w:rPr>
          <w:rFonts w:hint="eastAsia" w:eastAsia="楷体_GB2312"/>
          <w:b/>
          <w:bCs/>
          <w:sz w:val="32"/>
          <w:szCs w:val="32"/>
          <w:lang w:val="en-US" w:eastAsia="zh-CN"/>
        </w:rPr>
        <w:t>0</w:t>
      </w:r>
      <w:r>
        <w:rPr>
          <w:rFonts w:eastAsia="楷体_GB2312"/>
          <w:b/>
          <w:bCs/>
          <w:sz w:val="32"/>
          <w:szCs w:val="32"/>
        </w:rPr>
        <w:t>万元。</w:t>
      </w:r>
      <w:r>
        <w:rPr>
          <w:rFonts w:hint="eastAsia" w:ascii="仿宋_GB2312" w:hAnsi="仿宋_GB2312" w:eastAsia="仿宋_GB2312" w:cs="仿宋_GB2312"/>
          <w:sz w:val="32"/>
          <w:szCs w:val="32"/>
        </w:rPr>
        <w:t>本部门2018年度因公出国（境）团组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人/参加其他单位组织的因公出国（境）团组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人/无本单位组织的出国（境）团组。因公出国（境）费支出</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年初预算</w:t>
      </w:r>
      <w:r>
        <w:rPr>
          <w:rFonts w:hint="eastAsia" w:ascii="仿宋_GB2312" w:hAnsi="仿宋_GB2312" w:eastAsia="仿宋_GB2312" w:cs="仿宋_GB2312"/>
          <w:color w:val="484747"/>
          <w:sz w:val="32"/>
          <w:szCs w:val="32"/>
          <w:lang w:val="en-US" w:eastAsia="zh-CN"/>
        </w:rPr>
        <w:t>持平，</w:t>
      </w:r>
      <w:r>
        <w:rPr>
          <w:rFonts w:hint="eastAsia" w:ascii="仿宋_GB2312" w:hAnsi="仿宋_GB2312" w:eastAsia="仿宋_GB2312" w:cs="仿宋_GB2312"/>
          <w:sz w:val="32"/>
          <w:szCs w:val="32"/>
          <w:lang w:val="en-US" w:eastAsia="zh-CN"/>
        </w:rPr>
        <w:t>无增减变化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2017年度决算</w:t>
      </w:r>
      <w:r>
        <w:rPr>
          <w:rFonts w:hint="eastAsia" w:ascii="仿宋_GB2312" w:hAnsi="仿宋_GB2312" w:eastAsia="仿宋_GB2312" w:cs="仿宋_GB2312"/>
          <w:sz w:val="32"/>
          <w:szCs w:val="32"/>
          <w:lang w:val="en-US" w:eastAsia="zh-CN"/>
        </w:rPr>
        <w:t>持平，无增减变化</w:t>
      </w:r>
      <w:r>
        <w:rPr>
          <w:rFonts w:hint="eastAsia" w:ascii="仿宋_GB2312" w:hAnsi="仿宋_GB2312" w:eastAsia="仿宋_GB2312" w:cs="仿宋_GB2312"/>
          <w:sz w:val="32"/>
          <w:szCs w:val="32"/>
        </w:rPr>
        <w:t>。</w:t>
      </w:r>
    </w:p>
    <w:p>
      <w:pPr>
        <w:adjustRightInd w:val="0"/>
        <w:snapToGrid w:val="0"/>
        <w:spacing w:line="584" w:lineRule="exact"/>
        <w:ind w:firstLine="643" w:firstLineChars="200"/>
        <w:rPr>
          <w:rFonts w:hint="eastAsia" w:ascii="仿宋_GB2312" w:hAnsi="仿宋_GB2312" w:eastAsia="仿宋_GB2312" w:cs="仿宋_GB2312"/>
          <w:sz w:val="32"/>
          <w:szCs w:val="32"/>
        </w:rPr>
      </w:pPr>
      <w:r>
        <w:rPr>
          <w:rFonts w:eastAsia="楷体_GB2312"/>
          <w:b/>
          <w:bCs/>
          <w:sz w:val="32"/>
          <w:szCs w:val="32"/>
        </w:rPr>
        <w:t>（二）公务用车购置及运行维护费支出</w:t>
      </w:r>
      <w:r>
        <w:rPr>
          <w:rFonts w:hint="eastAsia" w:eastAsia="楷体_GB2312"/>
          <w:b/>
          <w:bCs/>
          <w:sz w:val="32"/>
          <w:szCs w:val="32"/>
          <w:lang w:val="en-US" w:eastAsia="zh-CN"/>
        </w:rPr>
        <w:t>10.47</w:t>
      </w:r>
      <w:r>
        <w:rPr>
          <w:rFonts w:eastAsia="楷体_GB2312"/>
          <w:b/>
          <w:bCs/>
          <w:sz w:val="32"/>
          <w:szCs w:val="32"/>
        </w:rPr>
        <w:t>万元。</w:t>
      </w:r>
      <w:r>
        <w:rPr>
          <w:rFonts w:hint="eastAsia" w:ascii="仿宋_GB2312" w:hAnsi="仿宋_GB2312" w:eastAsia="仿宋_GB2312" w:cs="仿宋_GB2312"/>
          <w:sz w:val="32"/>
          <w:szCs w:val="32"/>
        </w:rPr>
        <w:t>本部门2018年度公务用车购置及运行维护费比年初预算减少</w:t>
      </w:r>
      <w:r>
        <w:rPr>
          <w:rFonts w:hint="eastAsia" w:ascii="仿宋_GB2312" w:hAnsi="仿宋_GB2312" w:eastAsia="仿宋_GB2312" w:cs="仿宋_GB2312"/>
          <w:sz w:val="32"/>
          <w:szCs w:val="32"/>
          <w:lang w:val="en-US" w:eastAsia="zh-CN"/>
        </w:rPr>
        <w:t>0.03</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0.29</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val="en-US" w:eastAsia="zh-CN"/>
        </w:rPr>
        <w:t>落实中央八项规定，厉行节约</w:t>
      </w:r>
      <w:r>
        <w:rPr>
          <w:rFonts w:hint="eastAsia" w:ascii="仿宋_GB2312" w:hAnsi="仿宋_GB2312" w:eastAsia="仿宋_GB2312" w:cs="仿宋_GB2312"/>
          <w:sz w:val="32"/>
          <w:szCs w:val="32"/>
        </w:rPr>
        <w:t>；比2017年度决算</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0.02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降低</w:t>
      </w:r>
      <w:r>
        <w:rPr>
          <w:rFonts w:hint="eastAsia" w:ascii="仿宋_GB2312" w:hAnsi="仿宋_GB2312" w:eastAsia="仿宋_GB2312" w:cs="仿宋_GB2312"/>
          <w:sz w:val="32"/>
          <w:szCs w:val="32"/>
          <w:lang w:val="en-US" w:eastAsia="zh-CN"/>
        </w:rPr>
        <w:t>0.19</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val="en-US" w:eastAsia="zh-CN"/>
        </w:rPr>
        <w:t>落实中央八项规定，厉行节约</w:t>
      </w:r>
      <w:r>
        <w:rPr>
          <w:rFonts w:hint="eastAsia" w:ascii="仿宋_GB2312" w:hAnsi="仿宋_GB2312" w:eastAsia="仿宋_GB2312" w:cs="仿宋_GB2312"/>
          <w:sz w:val="32"/>
          <w:szCs w:val="32"/>
        </w:rPr>
        <w:t>。其中：</w:t>
      </w:r>
    </w:p>
    <w:p>
      <w:pPr>
        <w:adjustRightInd w:val="0"/>
        <w:snapToGrid w:val="0"/>
        <w:spacing w:line="584" w:lineRule="exact"/>
        <w:ind w:firstLine="643" w:firstLineChars="200"/>
        <w:rPr>
          <w:rFonts w:hint="eastAsia" w:ascii="仿宋" w:hAnsi="仿宋" w:eastAsia="仿宋" w:cs="仿宋"/>
          <w:sz w:val="32"/>
          <w:szCs w:val="32"/>
        </w:rPr>
      </w:pPr>
      <w:r>
        <w:rPr>
          <w:rFonts w:eastAsia="仿宋_GB2312"/>
          <w:b/>
          <w:sz w:val="32"/>
          <w:szCs w:val="32"/>
        </w:rPr>
        <w:t>公务用车购置费支出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lang w:val="en-US" w:eastAsia="zh-CN"/>
        </w:rPr>
        <w:t>0</w:t>
      </w:r>
      <w:r>
        <w:rPr>
          <w:rFonts w:eastAsia="仿宋_GB2312"/>
          <w:sz w:val="32"/>
          <w:szCs w:val="32"/>
        </w:rPr>
        <w:t>辆。公务用车购置费支出</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年初预算</w:t>
      </w:r>
      <w:r>
        <w:rPr>
          <w:rFonts w:hint="eastAsia" w:ascii="仿宋_GB2312" w:hAnsi="仿宋_GB2312" w:eastAsia="仿宋_GB2312" w:cs="仿宋_GB2312"/>
          <w:sz w:val="32"/>
          <w:szCs w:val="32"/>
          <w:lang w:val="en-US" w:eastAsia="zh-CN"/>
        </w:rPr>
        <w:t>持平，无增减变化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2017年度决算</w:t>
      </w:r>
      <w:r>
        <w:rPr>
          <w:rFonts w:hint="eastAsia" w:ascii="仿宋_GB2312" w:hAnsi="仿宋_GB2312" w:eastAsia="仿宋_GB2312" w:cs="仿宋_GB2312"/>
          <w:sz w:val="32"/>
          <w:szCs w:val="32"/>
          <w:lang w:val="en-US" w:eastAsia="zh-CN"/>
        </w:rPr>
        <w:t>持平，无增减变化</w:t>
      </w:r>
      <w:r>
        <w:rPr>
          <w:rFonts w:hint="eastAsia" w:ascii="仿宋" w:hAnsi="仿宋" w:eastAsia="仿宋" w:cs="仿宋"/>
          <w:sz w:val="32"/>
          <w:szCs w:val="32"/>
        </w:rPr>
        <w:t>。</w:t>
      </w:r>
    </w:p>
    <w:p>
      <w:pPr>
        <w:adjustRightInd w:val="0"/>
        <w:snapToGrid w:val="0"/>
        <w:spacing w:line="584" w:lineRule="exact"/>
        <w:ind w:firstLine="643" w:firstLineChars="200"/>
        <w:rPr>
          <w:rFonts w:hint="eastAsia" w:ascii="仿宋" w:hAnsi="仿宋" w:eastAsia="仿宋" w:cs="仿宋"/>
          <w:sz w:val="32"/>
          <w:szCs w:val="32"/>
        </w:rPr>
      </w:pPr>
      <w:r>
        <w:rPr>
          <w:rFonts w:eastAsia="仿宋_GB2312"/>
          <w:b/>
          <w:sz w:val="32"/>
          <w:szCs w:val="32"/>
        </w:rPr>
        <w:t>公务用车运行维护费支出</w:t>
      </w:r>
      <w:r>
        <w:rPr>
          <w:rFonts w:hint="eastAsia" w:eastAsia="仿宋_GB2312"/>
          <w:b/>
          <w:sz w:val="32"/>
          <w:szCs w:val="32"/>
          <w:lang w:val="en-US" w:eastAsia="zh-CN"/>
        </w:rPr>
        <w:t>10.47</w:t>
      </w:r>
      <w:r>
        <w:rPr>
          <w:rFonts w:eastAsia="仿宋_GB2312"/>
          <w:b/>
          <w:sz w:val="32"/>
          <w:szCs w:val="32"/>
        </w:rPr>
        <w:t>万元。</w:t>
      </w:r>
      <w:r>
        <w:rPr>
          <w:rFonts w:hint="eastAsia" w:ascii="仿宋_GB2312" w:hAnsi="仿宋_GB2312" w:eastAsia="仿宋_GB2312" w:cs="仿宋_GB2312"/>
          <w:sz w:val="32"/>
          <w:szCs w:val="32"/>
        </w:rPr>
        <w:t>本部门2018年末单位公务用车保有量</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辆。公车运行维护费支出比年初预算减少</w:t>
      </w:r>
      <w:r>
        <w:rPr>
          <w:rFonts w:hint="eastAsia" w:ascii="仿宋_GB2312" w:hAnsi="仿宋_GB2312" w:eastAsia="仿宋_GB2312" w:cs="仿宋_GB2312"/>
          <w:sz w:val="32"/>
          <w:szCs w:val="32"/>
          <w:lang w:val="en-US" w:eastAsia="zh-CN"/>
        </w:rPr>
        <w:t>0.03</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0.29</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val="en-US" w:eastAsia="zh-CN"/>
        </w:rPr>
        <w:t>落实中央八项规定，厉行节约</w:t>
      </w:r>
      <w:r>
        <w:rPr>
          <w:rFonts w:hint="eastAsia" w:ascii="仿宋_GB2312" w:hAnsi="仿宋_GB2312" w:eastAsia="仿宋_GB2312" w:cs="仿宋_GB2312"/>
          <w:sz w:val="32"/>
          <w:szCs w:val="32"/>
        </w:rPr>
        <w:t>；比2017年度决算减少</w:t>
      </w:r>
      <w:r>
        <w:rPr>
          <w:rFonts w:hint="eastAsia" w:ascii="仿宋_GB2312" w:hAnsi="仿宋_GB2312" w:eastAsia="仿宋_GB2312" w:cs="仿宋_GB2312"/>
          <w:sz w:val="32"/>
          <w:szCs w:val="32"/>
          <w:lang w:val="en-US" w:eastAsia="zh-CN"/>
        </w:rPr>
        <w:t>0.02</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0.19</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val="en-US" w:eastAsia="zh-CN"/>
        </w:rPr>
        <w:t>落实中央八项规定，厉行节约</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after="0" w:line="584" w:lineRule="exact"/>
        <w:ind w:firstLine="643" w:firstLineChars="200"/>
        <w:textAlignment w:val="auto"/>
        <w:rPr>
          <w:rFonts w:hint="eastAsia" w:ascii="仿宋_GB2312" w:hAnsi="仿宋_GB2312" w:eastAsia="仿宋_GB2312" w:cs="仿宋_GB2312"/>
          <w:sz w:val="32"/>
          <w:szCs w:val="32"/>
        </w:rPr>
      </w:pPr>
      <w:r>
        <w:rPr>
          <w:rFonts w:eastAsia="楷体_GB2312"/>
          <w:b/>
          <w:bCs/>
          <w:sz w:val="32"/>
          <w:szCs w:val="32"/>
        </w:rPr>
        <w:t>（三）公务接待费支出</w:t>
      </w:r>
      <w:r>
        <w:rPr>
          <w:rFonts w:hint="eastAsia" w:eastAsia="楷体_GB2312"/>
          <w:b/>
          <w:bCs/>
          <w:sz w:val="32"/>
          <w:szCs w:val="32"/>
          <w:lang w:val="en-US" w:eastAsia="zh-CN"/>
        </w:rPr>
        <w:t>1.02</w:t>
      </w:r>
      <w:r>
        <w:rPr>
          <w:rFonts w:eastAsia="楷体_GB2312"/>
          <w:b/>
          <w:bCs/>
          <w:sz w:val="32"/>
          <w:szCs w:val="32"/>
        </w:rPr>
        <w:t>万元。</w:t>
      </w:r>
      <w:r>
        <w:rPr>
          <w:rFonts w:hint="eastAsia" w:ascii="仿宋_GB2312" w:hAnsi="仿宋_GB2312" w:eastAsia="仿宋_GB2312" w:cs="仿宋_GB2312"/>
          <w:sz w:val="32"/>
          <w:szCs w:val="32"/>
        </w:rPr>
        <w:t>本部门2018年度公务接待共</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批次、</w:t>
      </w:r>
      <w:r>
        <w:rPr>
          <w:rFonts w:hint="eastAsia" w:ascii="仿宋_GB2312" w:hAnsi="仿宋_GB2312" w:eastAsia="仿宋_GB2312" w:cs="仿宋_GB2312"/>
          <w:sz w:val="32"/>
          <w:szCs w:val="32"/>
          <w:lang w:val="en-US" w:eastAsia="zh-CN"/>
        </w:rPr>
        <w:t>204</w:t>
      </w:r>
      <w:r>
        <w:rPr>
          <w:rFonts w:hint="eastAsia" w:ascii="仿宋_GB2312" w:hAnsi="仿宋_GB2312" w:eastAsia="仿宋_GB2312" w:cs="仿宋_GB2312"/>
          <w:sz w:val="32"/>
          <w:szCs w:val="32"/>
        </w:rPr>
        <w:t>人次。公务接待费支出比年初预算减少</w:t>
      </w:r>
      <w:r>
        <w:rPr>
          <w:rFonts w:hint="eastAsia" w:ascii="仿宋_GB2312" w:hAnsi="仿宋_GB2312" w:eastAsia="仿宋_GB2312" w:cs="仿宋_GB2312"/>
          <w:sz w:val="32"/>
          <w:szCs w:val="32"/>
          <w:lang w:val="en-US" w:eastAsia="zh-CN"/>
        </w:rPr>
        <w:t>0.88</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46.32</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val="en-US" w:eastAsia="zh-CN"/>
        </w:rPr>
        <w:t>落实中央八项规定，厉行节约</w:t>
      </w:r>
      <w:r>
        <w:rPr>
          <w:rFonts w:hint="eastAsia" w:ascii="仿宋_GB2312" w:hAnsi="仿宋_GB2312" w:eastAsia="仿宋_GB2312" w:cs="仿宋_GB2312"/>
          <w:sz w:val="32"/>
          <w:szCs w:val="32"/>
        </w:rPr>
        <w:t>；比2017年度决算减少</w:t>
      </w:r>
      <w:r>
        <w:rPr>
          <w:rFonts w:hint="eastAsia" w:ascii="仿宋_GB2312" w:hAnsi="仿宋_GB2312" w:eastAsia="仿宋_GB2312" w:cs="仿宋_GB2312"/>
          <w:sz w:val="32"/>
          <w:szCs w:val="32"/>
          <w:lang w:val="en-US" w:eastAsia="zh-CN"/>
        </w:rPr>
        <w:t>0.78</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43.33</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val="en-US" w:eastAsia="zh-CN"/>
        </w:rPr>
        <w:t>落实中央八项规定，厉行节约</w:t>
      </w:r>
      <w:r>
        <w:rPr>
          <w:rFonts w:hint="eastAsia" w:ascii="仿宋_GB2312" w:hAnsi="仿宋_GB2312" w:eastAsia="仿宋_GB2312" w:cs="仿宋_GB2312"/>
          <w:sz w:val="32"/>
          <w:szCs w:val="32"/>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after="0" w:line="580" w:lineRule="exact"/>
        <w:ind w:firstLine="640" w:firstLineChars="200"/>
        <w:textAlignment w:val="auto"/>
        <w:rPr>
          <w:rFonts w:hint="eastAsia" w:ascii="黑体" w:eastAsia="黑体"/>
          <w:sz w:val="32"/>
          <w:szCs w:val="40"/>
        </w:rPr>
      </w:pPr>
      <w:r>
        <w:rPr>
          <w:rFonts w:hint="eastAsia" w:ascii="黑体" w:eastAsia="黑体"/>
          <w:sz w:val="32"/>
          <w:szCs w:val="40"/>
        </w:rPr>
        <w:t>预算绩效情况说明</w:t>
      </w:r>
    </w:p>
    <w:p>
      <w:pPr>
        <w:ind w:firstLine="640" w:firstLineChars="200"/>
        <w:rPr>
          <w:rFonts w:ascii="仿宋_GB2312" w:eastAsia="仿宋_GB2312" w:cs="DengXian-Regular"/>
          <w:sz w:val="32"/>
          <w:szCs w:val="32"/>
        </w:rPr>
      </w:pPr>
      <w:r>
        <w:rPr>
          <w:rFonts w:hint="eastAsia" w:ascii="仿宋_GB2312" w:eastAsia="仿宋_GB2312" w:cs="DengXian-Regular"/>
          <w:sz w:val="32"/>
          <w:szCs w:val="32"/>
        </w:rPr>
        <w:t>（一）预算绩效管理工作开展情况。</w:t>
      </w:r>
    </w:p>
    <w:p>
      <w:pPr>
        <w:keepNext w:val="0"/>
        <w:keepLines w:val="0"/>
        <w:pageBreakBefore w:val="0"/>
        <w:widowControl w:val="0"/>
        <w:kinsoku/>
        <w:wordWrap/>
        <w:overflowPunct/>
        <w:topLinePunct w:val="0"/>
        <w:autoSpaceDE/>
        <w:autoSpaceDN/>
        <w:bidi w:val="0"/>
        <w:adjustRightInd w:val="0"/>
        <w:snapToGrid w:val="0"/>
        <w:spacing w:after="0" w:line="58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根据县财政预算绩效管理要求，以绩效为导向，以“部门职责—工作活动”为依据，确定部门预算项目和预算额度，清晰描述预算项目开支范围和内容，确定预算项目的绩效目标、绩效指标和评价标准，为预算绩效控制、绩效分析、绩效评价打下好的基础。</w:t>
      </w:r>
    </w:p>
    <w:p>
      <w:pPr>
        <w:numPr>
          <w:ilvl w:val="0"/>
          <w:numId w:val="3"/>
        </w:numPr>
        <w:ind w:left="200" w:leftChars="0" w:firstLine="640" w:firstLineChars="0"/>
        <w:rPr>
          <w:rFonts w:ascii="仿宋_GB2312" w:eastAsia="仿宋_GB2312" w:cs="DengXian-Regular"/>
          <w:sz w:val="32"/>
          <w:szCs w:val="32"/>
        </w:rPr>
      </w:pPr>
      <w:r>
        <w:rPr>
          <w:rFonts w:hint="eastAsia" w:ascii="仿宋_GB2312" w:eastAsia="仿宋_GB2312" w:cs="DengXian-Regular"/>
          <w:sz w:val="32"/>
          <w:szCs w:val="32"/>
        </w:rPr>
        <w:t>项目绩效自评结果。</w:t>
      </w:r>
    </w:p>
    <w:p>
      <w:pPr>
        <w:widowControl/>
        <w:spacing w:line="584" w:lineRule="exact"/>
        <w:ind w:firstLine="640" w:firstLineChars="200"/>
        <w:jc w:val="left"/>
        <w:rPr>
          <w:rFonts w:ascii="仿宋_GB2312" w:hAnsi="Calibri" w:eastAsia="仿宋_GB2312"/>
          <w:kern w:val="0"/>
          <w:sz w:val="32"/>
          <w:szCs w:val="32"/>
        </w:rPr>
      </w:pPr>
      <w:r>
        <w:rPr>
          <w:rFonts w:hint="eastAsia" w:ascii="仿宋_GB2312" w:hAnsi="Calibri" w:eastAsia="仿宋_GB2312"/>
          <w:kern w:val="0"/>
          <w:sz w:val="32"/>
          <w:szCs w:val="32"/>
        </w:rPr>
        <w:t>按照县财政局预算绩效管理要求，</w:t>
      </w:r>
      <w:r>
        <w:rPr>
          <w:rFonts w:hint="eastAsia" w:ascii="仿宋_GB2312" w:hAnsi="仿宋_GB2312" w:eastAsia="仿宋_GB2312" w:cs="仿宋_GB2312"/>
          <w:sz w:val="32"/>
          <w:szCs w:val="32"/>
        </w:rPr>
        <w:t>本部门对201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年初确定的部门一般公共预算支出项目全面开展了绩效自评。</w:t>
      </w:r>
      <w:r>
        <w:rPr>
          <w:rFonts w:hint="eastAsia" w:ascii="仿宋_GB2312" w:hAnsi="Calibri" w:eastAsia="仿宋_GB2312"/>
          <w:kern w:val="0"/>
          <w:sz w:val="32"/>
          <w:szCs w:val="32"/>
          <w:lang w:eastAsia="zh-CN"/>
        </w:rPr>
        <w:t>绩效自评</w:t>
      </w:r>
      <w:r>
        <w:rPr>
          <w:rFonts w:hint="eastAsia" w:ascii="仿宋_GB2312" w:hAnsi="Calibri" w:eastAsia="仿宋_GB2312"/>
          <w:kern w:val="0"/>
          <w:sz w:val="32"/>
          <w:szCs w:val="32"/>
        </w:rPr>
        <w:t>结果</w:t>
      </w:r>
      <w:r>
        <w:rPr>
          <w:rFonts w:hint="eastAsia" w:ascii="仿宋_GB2312" w:hAnsi="Calibri" w:eastAsia="仿宋_GB2312"/>
          <w:kern w:val="0"/>
          <w:sz w:val="32"/>
          <w:szCs w:val="32"/>
          <w:lang w:eastAsia="zh-CN"/>
        </w:rPr>
        <w:t>为良好，</w:t>
      </w:r>
      <w:r>
        <w:rPr>
          <w:rFonts w:hint="eastAsia" w:ascii="仿宋_GB2312" w:hAnsi="Calibri" w:eastAsia="仿宋_GB2312"/>
          <w:kern w:val="0"/>
          <w:sz w:val="32"/>
          <w:szCs w:val="32"/>
        </w:rPr>
        <w:t>实现了部门职责绩效目标，自评覆盖率达到</w:t>
      </w:r>
      <w:r>
        <w:rPr>
          <w:rFonts w:ascii="仿宋_GB2312" w:hAnsi="Calibri" w:eastAsia="仿宋_GB2312"/>
          <w:kern w:val="0"/>
          <w:sz w:val="32"/>
          <w:szCs w:val="32"/>
        </w:rPr>
        <w:t>100%</w:t>
      </w:r>
      <w:r>
        <w:rPr>
          <w:rFonts w:hint="eastAsia" w:ascii="仿宋_GB2312" w:hAnsi="Calibri" w:eastAsia="仿宋_GB2312"/>
          <w:kern w:val="0"/>
          <w:sz w:val="32"/>
          <w:szCs w:val="32"/>
        </w:rPr>
        <w:t>。</w:t>
      </w:r>
    </w:p>
    <w:p>
      <w:pPr>
        <w:numPr>
          <w:ilvl w:val="0"/>
          <w:numId w:val="3"/>
        </w:numPr>
        <w:spacing w:line="520" w:lineRule="exact"/>
        <w:ind w:left="200" w:leftChars="0" w:firstLine="640" w:firstLineChars="0"/>
        <w:rPr>
          <w:rFonts w:ascii="仿宋_GB2312" w:eastAsia="仿宋_GB2312" w:cs="DengXian-Regular"/>
          <w:sz w:val="32"/>
          <w:szCs w:val="32"/>
        </w:rPr>
      </w:pPr>
      <w:r>
        <w:rPr>
          <w:rFonts w:hint="eastAsia" w:ascii="仿宋_GB2312" w:eastAsia="仿宋_GB2312" w:cs="DengXian-Regular"/>
          <w:sz w:val="32"/>
          <w:szCs w:val="32"/>
        </w:rPr>
        <w:t>重点项目绩效评价结果。</w:t>
      </w:r>
    </w:p>
    <w:p>
      <w:pPr>
        <w:pageBreakBefore w:val="0"/>
        <w:widowControl w:val="0"/>
        <w:kinsoku/>
        <w:wordWrap/>
        <w:overflowPunct/>
        <w:topLinePunct w:val="0"/>
        <w:autoSpaceDE/>
        <w:autoSpaceDN/>
        <w:bidi w:val="0"/>
        <w:adjustRightInd w:val="0"/>
        <w:snapToGrid w:val="0"/>
        <w:spacing w:after="0" w:line="584"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本部门</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lang w:val="en-US" w:eastAsia="zh-CN"/>
        </w:rPr>
        <w:t>2017年度财政水利发展资金</w:t>
      </w:r>
      <w:r>
        <w:rPr>
          <w:rFonts w:hint="eastAsia" w:eastAsia="仿宋_GB2312"/>
          <w:kern w:val="0"/>
          <w:sz w:val="32"/>
          <w:szCs w:val="32"/>
        </w:rPr>
        <w:t>重点项目实行项目绩效自评</w:t>
      </w:r>
      <w:r>
        <w:rPr>
          <w:rFonts w:hint="eastAsia" w:eastAsia="仿宋_GB2312"/>
          <w:kern w:val="0"/>
          <w:sz w:val="32"/>
          <w:szCs w:val="32"/>
          <w:lang w:eastAsia="zh-CN"/>
        </w:rPr>
        <w:t>，</w:t>
      </w:r>
      <w:r>
        <w:rPr>
          <w:rFonts w:hint="eastAsia" w:eastAsia="仿宋_GB2312"/>
          <w:kern w:val="0"/>
          <w:sz w:val="32"/>
          <w:szCs w:val="32"/>
        </w:rPr>
        <w:t>及时拨付列支，保质保量完成绩效任务，评价结果为良好。</w:t>
      </w:r>
    </w:p>
    <w:p>
      <w:pPr>
        <w:pStyle w:val="3"/>
        <w:keepNext/>
        <w:keepLines/>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ascii="黑体" w:eastAsia="黑体" w:cs="Times New Roman"/>
          <w:b w:val="0"/>
          <w:bCs w:val="0"/>
        </w:rPr>
      </w:pPr>
      <w:r>
        <w:rPr>
          <w:rFonts w:hint="eastAsia" w:ascii="黑体" w:eastAsia="黑体" w:cs="Times New Roman"/>
          <w:b w:val="0"/>
          <w:bCs w:val="0"/>
        </w:rPr>
        <w:t>七、其他重要事项的说明</w:t>
      </w:r>
    </w:p>
    <w:p>
      <w:pPr>
        <w:pStyle w:val="4"/>
        <w:pageBreakBefore w:val="0"/>
        <w:widowControl w:val="0"/>
        <w:kinsoku/>
        <w:wordWrap/>
        <w:overflowPunct/>
        <w:topLinePunct w:val="0"/>
        <w:autoSpaceDE/>
        <w:autoSpaceDN/>
        <w:bidi w:val="0"/>
        <w:spacing w:before="0" w:after="0" w:line="580" w:lineRule="exact"/>
        <w:ind w:firstLine="643" w:firstLineChars="200"/>
        <w:textAlignment w:val="auto"/>
        <w:rPr>
          <w:rFonts w:ascii="楷体_GB2312" w:eastAsia="楷体_GB2312" w:cs="DengXian-Bold"/>
        </w:rPr>
      </w:pPr>
      <w:r>
        <w:rPr>
          <w:rFonts w:hint="eastAsia" w:ascii="楷体_GB2312" w:eastAsia="楷体_GB2312" w:cs="DengXian-Bold"/>
        </w:rPr>
        <w:t>（一）机关运行经费情况</w:t>
      </w:r>
    </w:p>
    <w:p>
      <w:pPr>
        <w:pageBreakBefore w:val="0"/>
        <w:widowControl w:val="0"/>
        <w:kinsoku/>
        <w:wordWrap/>
        <w:overflowPunct/>
        <w:topLinePunct w:val="0"/>
        <w:autoSpaceDE/>
        <w:autoSpaceDN/>
        <w:bidi w:val="0"/>
        <w:adjustRightInd w:val="0"/>
        <w:snapToGrid w:val="0"/>
        <w:spacing w:after="0" w:line="58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本部门2018年度机关运行经费支出</w:t>
      </w:r>
      <w:r>
        <w:rPr>
          <w:rFonts w:hint="eastAsia" w:ascii="仿宋_GB2312" w:hAnsi="仿宋_GB2312" w:eastAsia="仿宋_GB2312" w:cs="仿宋_GB2312"/>
          <w:sz w:val="32"/>
          <w:szCs w:val="32"/>
          <w:lang w:val="en-US" w:eastAsia="zh-CN"/>
        </w:rPr>
        <w:t>67.25</w:t>
      </w:r>
      <w:r>
        <w:rPr>
          <w:rFonts w:hint="eastAsia" w:ascii="仿宋_GB2312" w:hAnsi="仿宋_GB2312" w:eastAsia="仿宋_GB2312" w:cs="仿宋_GB2312"/>
          <w:sz w:val="32"/>
          <w:szCs w:val="32"/>
        </w:rPr>
        <w:t>万元，比年初预算数增加</w:t>
      </w:r>
      <w:r>
        <w:rPr>
          <w:rFonts w:hint="eastAsia" w:ascii="仿宋_GB2312" w:hAnsi="仿宋_GB2312" w:eastAsia="仿宋_GB2312" w:cs="仿宋_GB2312"/>
          <w:sz w:val="32"/>
          <w:szCs w:val="32"/>
          <w:lang w:val="en-US" w:eastAsia="zh-CN"/>
        </w:rPr>
        <w:t>1.06</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 xml:space="preserve"> %。主要是</w:t>
      </w:r>
      <w:r>
        <w:rPr>
          <w:rFonts w:hint="eastAsia" w:ascii="仿宋_GB2312" w:hAnsi="仿宋_GB2312" w:eastAsia="仿宋_GB2312" w:cs="仿宋_GB2312"/>
          <w:sz w:val="32"/>
          <w:szCs w:val="32"/>
          <w:lang w:eastAsia="zh-CN"/>
        </w:rPr>
        <w:t>有上年结转</w:t>
      </w:r>
      <w:r>
        <w:rPr>
          <w:rFonts w:hint="eastAsia" w:ascii="仿宋_GB2312" w:hAnsi="仿宋_GB2312" w:eastAsia="仿宋_GB2312" w:cs="仿宋_GB2312"/>
          <w:sz w:val="32"/>
          <w:szCs w:val="32"/>
        </w:rPr>
        <w:t>。较2017年度决算增加</w:t>
      </w:r>
      <w:r>
        <w:rPr>
          <w:rFonts w:hint="eastAsia" w:ascii="仿宋_GB2312" w:hAnsi="仿宋_GB2312" w:eastAsia="仿宋_GB2312" w:cs="仿宋_GB2312"/>
          <w:sz w:val="32"/>
          <w:szCs w:val="32"/>
          <w:lang w:val="en-US" w:eastAsia="zh-CN"/>
        </w:rPr>
        <w:t>8.23</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13.94</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业务量增加</w:t>
      </w:r>
      <w:r>
        <w:rPr>
          <w:rFonts w:hint="eastAsia" w:ascii="仿宋_GB2312" w:hAnsi="仿宋_GB2312" w:eastAsia="仿宋_GB2312" w:cs="仿宋_GB2312"/>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本部门2018年度政府采购支出总额</w:t>
      </w:r>
      <w:r>
        <w:rPr>
          <w:rFonts w:hint="eastAsia" w:ascii="仿宋_GB2312" w:hAnsi="仿宋_GB2312" w:eastAsia="仿宋_GB2312" w:cs="仿宋_GB2312"/>
          <w:sz w:val="32"/>
          <w:szCs w:val="32"/>
          <w:lang w:val="en-US" w:eastAsia="zh-CN"/>
        </w:rPr>
        <w:t>1507.88</w:t>
      </w:r>
      <w:r>
        <w:rPr>
          <w:rFonts w:hint="eastAsia" w:ascii="仿宋_GB2312" w:hAnsi="仿宋_GB2312" w:eastAsia="仿宋_GB2312" w:cs="仿宋_GB2312"/>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1140.30</w:t>
      </w:r>
      <w:r>
        <w:rPr>
          <w:rFonts w:hint="eastAsia" w:ascii="仿宋_GB2312" w:hAnsi="仿宋_GB2312" w:eastAsia="仿宋_GB2312" w:cs="仿宋_GB2312"/>
          <w:color w:val="000000"/>
          <w:kern w:val="0"/>
          <w:sz w:val="32"/>
          <w:szCs w:val="32"/>
        </w:rPr>
        <w:t xml:space="preserve"> 万元、政府采购工程支出</w:t>
      </w:r>
      <w:r>
        <w:rPr>
          <w:rFonts w:hint="eastAsia" w:ascii="仿宋_GB2312" w:hAnsi="仿宋_GB2312" w:eastAsia="仿宋_GB2312" w:cs="仿宋_GB2312"/>
          <w:color w:val="000000"/>
          <w:kern w:val="0"/>
          <w:sz w:val="32"/>
          <w:szCs w:val="32"/>
          <w:lang w:val="en-US" w:eastAsia="zh-CN"/>
        </w:rPr>
        <w:t>5.80</w:t>
      </w:r>
      <w:r>
        <w:rPr>
          <w:rFonts w:hint="eastAsia"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lang w:val="en-US" w:eastAsia="zh-CN"/>
        </w:rPr>
        <w:t>310.78</w:t>
      </w:r>
      <w:r>
        <w:rPr>
          <w:rFonts w:hint="eastAsia"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sz w:val="32"/>
          <w:szCs w:val="32"/>
          <w:lang w:val="en-US" w:eastAsia="zh-CN"/>
        </w:rPr>
        <w:t>1507.88</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100</w:t>
      </w:r>
      <w:r>
        <w:rPr>
          <w:rFonts w:hint="eastAsia"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sz w:val="32"/>
          <w:szCs w:val="32"/>
          <w:lang w:val="en-US" w:eastAsia="zh-CN"/>
        </w:rPr>
        <w:t>1507.88</w:t>
      </w:r>
      <w:r>
        <w:rPr>
          <w:rFonts w:hint="eastAsia"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lang w:val="en-US" w:eastAsia="zh-CN"/>
        </w:rPr>
        <w:t>100</w:t>
      </w:r>
      <w:r>
        <w:rPr>
          <w:rFonts w:hint="eastAsia"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截至2018年12月31日，本部门共有车辆</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与上年相同，</w:t>
      </w:r>
      <w:r>
        <w:rPr>
          <w:rFonts w:hint="eastAsia" w:ascii="仿宋_GB2312" w:hAnsi="仿宋_GB2312" w:eastAsia="仿宋_GB2312" w:cs="仿宋_GB2312"/>
          <w:sz w:val="32"/>
          <w:szCs w:val="32"/>
        </w:rPr>
        <w:t>其中，副部（省）级及以上领导用车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辆，主要领导干部用车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辆，应急保障用车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辆，离退休干部用车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上年</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上年</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1、本部门2018年度</w:t>
      </w:r>
      <w:r>
        <w:rPr>
          <w:rFonts w:hint="eastAsia" w:ascii="仿宋_GB2312" w:hAnsi="仿宋_GB2312" w:eastAsia="仿宋_GB2312" w:cs="仿宋_GB2312"/>
          <w:sz w:val="32"/>
          <w:szCs w:val="32"/>
          <w:lang w:eastAsia="zh-CN"/>
        </w:rPr>
        <w:t>国有资本经营预算财政拨款</w:t>
      </w:r>
      <w:r>
        <w:rPr>
          <w:rFonts w:hint="eastAsia" w:ascii="仿宋_GB2312" w:hAnsi="仿宋_GB2312" w:eastAsia="仿宋_GB2312" w:cs="仿宋_GB2312"/>
          <w:sz w:val="32"/>
          <w:szCs w:val="32"/>
        </w:rPr>
        <w:t>无收支及结转结余情况，故</w:t>
      </w:r>
      <w:r>
        <w:rPr>
          <w:rFonts w:hint="eastAsia" w:ascii="仿宋_GB2312" w:hAnsi="仿宋_GB2312" w:eastAsia="仿宋_GB2312" w:cs="仿宋_GB2312"/>
          <w:sz w:val="32"/>
          <w:szCs w:val="32"/>
          <w:lang w:eastAsia="zh-CN"/>
        </w:rPr>
        <w:t>国有资本经营预算财政拨款支出决算</w:t>
      </w:r>
      <w:r>
        <w:rPr>
          <w:rFonts w:hint="eastAsia" w:ascii="仿宋_GB2312" w:hAnsi="仿宋_GB2312" w:eastAsia="仿宋_GB2312" w:cs="仿宋_GB2312"/>
          <w:sz w:val="32"/>
          <w:szCs w:val="32"/>
        </w:rPr>
        <w:t>表以空表列示。</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643" w:firstLineChars="200"/>
        <w:jc w:val="left"/>
        <w:rPr>
          <w:rFonts w:hint="eastAsia" w:ascii="仿宋_GB2312" w:hAnsi="仿宋_GB2312" w:eastAsia="仿宋_GB2312" w:cs="仿宋_GB2312"/>
          <w:b/>
          <w:bCs/>
          <w:kern w:val="0"/>
          <w:sz w:val="32"/>
          <w:szCs w:val="3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第四部分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名词解释</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（一）财政拨款收入：</w:t>
      </w:r>
      <w:r>
        <w:rPr>
          <w:rFonts w:hint="eastAsia" w:ascii="仿宋_GB2312" w:hAnsi="仿宋_GB2312" w:eastAsia="仿宋_GB2312" w:cs="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（二）事业收入：</w:t>
      </w:r>
      <w:r>
        <w:rPr>
          <w:rFonts w:hint="eastAsia" w:ascii="仿宋_GB2312" w:hAnsi="仿宋_GB2312" w:eastAsia="仿宋_GB2312" w:cs="仿宋_GB2312"/>
          <w:color w:val="000000"/>
          <w:kern w:val="0"/>
          <w:sz w:val="32"/>
          <w:szCs w:val="32"/>
        </w:rPr>
        <w:t>指事业单位开展专业业务活动及辅助活动所取得的收入。</w:t>
      </w:r>
    </w:p>
    <w:p>
      <w:pPr>
        <w:widowControl/>
        <w:spacing w:after="0" w:line="56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（三）其他收入：</w:t>
      </w:r>
      <w:r>
        <w:rPr>
          <w:rFonts w:hint="eastAsia" w:ascii="仿宋_GB2312" w:hAnsi="仿宋_GB2312" w:eastAsia="仿宋_GB2312" w:cs="仿宋_GB2312"/>
          <w:color w:val="000000"/>
          <w:kern w:val="0"/>
          <w:sz w:val="32"/>
          <w:szCs w:val="32"/>
        </w:rPr>
        <w:t>指除上述“财政拨款收入”“事业收入”“经营收入”等以外的收入。</w:t>
      </w:r>
    </w:p>
    <w:p>
      <w:pPr>
        <w:widowControl/>
        <w:spacing w:after="0" w:line="56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（四）用事业基金弥补收支差额：</w:t>
      </w:r>
      <w:r>
        <w:rPr>
          <w:rFonts w:hint="eastAsia" w:ascii="仿宋_GB2312" w:hAnsi="仿宋_GB2312" w:eastAsia="仿宋_GB2312" w:cs="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（五）年初结转和结余：</w:t>
      </w:r>
      <w:r>
        <w:rPr>
          <w:rFonts w:hint="eastAsia" w:ascii="仿宋_GB2312" w:hAnsi="仿宋_GB2312" w:eastAsia="仿宋_GB2312" w:cs="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（六）结余分配：</w:t>
      </w:r>
      <w:r>
        <w:rPr>
          <w:rFonts w:hint="eastAsia" w:ascii="仿宋_GB2312" w:hAnsi="仿宋_GB2312" w:eastAsia="仿宋_GB2312" w:cs="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（七）年末结转和结余：</w:t>
      </w:r>
      <w:r>
        <w:rPr>
          <w:rFonts w:hint="eastAsia" w:ascii="仿宋_GB2312" w:hAnsi="仿宋_GB2312" w:eastAsia="仿宋_GB2312" w:cs="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（八）基本支出：</w:t>
      </w:r>
      <w:r>
        <w:rPr>
          <w:rFonts w:hint="eastAsia" w:ascii="仿宋_GB2312" w:hAnsi="仿宋_GB2312" w:eastAsia="仿宋_GB2312" w:cs="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（九）项目支出：</w:t>
      </w:r>
      <w:r>
        <w:rPr>
          <w:rFonts w:hint="eastAsia" w:ascii="仿宋_GB2312" w:hAnsi="仿宋_GB2312" w:eastAsia="仿宋_GB2312" w:cs="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（十）资本性支出（基本建设）：</w:t>
      </w:r>
      <w:r>
        <w:rPr>
          <w:rFonts w:hint="eastAsia" w:ascii="仿宋_GB2312" w:hAnsi="仿宋_GB2312" w:eastAsia="仿宋_GB2312" w:cs="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（十一）资本性支出：</w:t>
      </w:r>
      <w:r>
        <w:rPr>
          <w:rFonts w:hint="eastAsia" w:ascii="仿宋_GB2312" w:hAnsi="仿宋_GB2312" w:eastAsia="仿宋_GB2312" w:cs="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（十二）“三公”经费：</w:t>
      </w:r>
      <w:r>
        <w:rPr>
          <w:rFonts w:hint="eastAsia" w:ascii="仿宋_GB2312" w:hAnsi="仿宋_GB2312" w:eastAsia="仿宋_GB2312" w:cs="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（十三）其他交通费用：</w:t>
      </w:r>
      <w:r>
        <w:rPr>
          <w:rFonts w:hint="eastAsia" w:ascii="仿宋_GB2312" w:hAnsi="仿宋_GB2312" w:eastAsia="仿宋_GB2312" w:cs="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（十四）公务用车购置：</w:t>
      </w:r>
      <w:r>
        <w:rPr>
          <w:rFonts w:hint="eastAsia" w:ascii="仿宋_GB2312" w:hAnsi="仿宋_GB2312" w:eastAsia="仿宋_GB2312" w:cs="仿宋_GB2312"/>
          <w:color w:val="000000"/>
          <w:kern w:val="0"/>
          <w:sz w:val="32"/>
          <w:szCs w:val="32"/>
        </w:rPr>
        <w:t>填列单位公务用车购置支出（含车辆购置税、牌照费）。</w:t>
      </w:r>
    </w:p>
    <w:p>
      <w:pPr>
        <w:widowControl/>
        <w:spacing w:after="0" w:line="56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（十五）其他交通工具购置：</w:t>
      </w:r>
      <w:r>
        <w:rPr>
          <w:rFonts w:hint="eastAsia" w:ascii="仿宋_GB2312" w:hAnsi="仿宋_GB2312" w:eastAsia="仿宋_GB2312" w:cs="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（十六）机关运行经费：</w:t>
      </w:r>
      <w:r>
        <w:rPr>
          <w:rFonts w:hint="eastAsia" w:ascii="仿宋_GB2312" w:hAnsi="仿宋_GB2312" w:eastAsia="仿宋_GB2312" w:cs="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color w:val="000000"/>
          <w:kern w:val="0"/>
          <w:sz w:val="32"/>
          <w:szCs w:val="32"/>
        </w:rPr>
        <w:t>（十七）经费形式:</w:t>
      </w:r>
      <w:r>
        <w:rPr>
          <w:rFonts w:hint="eastAsia" w:ascii="仿宋_GB2312" w:hAnsi="仿宋_GB2312" w:eastAsia="仿宋_GB2312" w:cs="仿宋_GB2312"/>
          <w:color w:val="000000"/>
          <w:kern w:val="0"/>
          <w:sz w:val="32"/>
          <w:szCs w:val="32"/>
        </w:rPr>
        <w:t>按照经费来源，</w:t>
      </w:r>
      <w:r>
        <w:rPr>
          <w:rFonts w:hint="eastAsia" w:ascii="仿宋_GB2312" w:hAnsi="仿宋_GB2312" w:eastAsia="仿宋_GB2312" w:cs="仿宋_GB2312"/>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hint="eastAsia" w:ascii="仿宋" w:hAnsi="仿宋" w:eastAsia="仿宋" w:cs="仿宋"/>
          <w:kern w:val="0"/>
          <w:sz w:val="32"/>
          <w:szCs w:val="32"/>
        </w:rPr>
      </w:pPr>
    </w:p>
    <w:p>
      <w:pPr>
        <w:widowControl/>
        <w:spacing w:after="0" w:line="560" w:lineRule="exact"/>
        <w:ind w:firstLine="640" w:firstLineChars="200"/>
        <w:rPr>
          <w:rFonts w:hint="eastAsia" w:ascii="仿宋" w:hAnsi="仿宋" w:eastAsia="仿宋" w:cs="仿宋"/>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rPr>
          <w:rFonts w:ascii="仿宋_GB2312" w:eastAsia="仿宋_GB2312" w:cs="ArialUnicodeMS" w:hAnsiTheme="minorHAnsi"/>
          <w:kern w:val="0"/>
          <w:sz w:val="32"/>
          <w:szCs w:val="32"/>
        </w:rPr>
      </w:pP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D0A03946-CC96-4120-8805-CA678B496C56}"/>
  </w:font>
  <w:font w:name="黑体">
    <w:panose1 w:val="02010609060101010101"/>
    <w:charset w:val="86"/>
    <w:family w:val="auto"/>
    <w:pitch w:val="default"/>
    <w:sig w:usb0="800002BF" w:usb1="38CF7CFA" w:usb2="00000016" w:usb3="00000000" w:csb0="00040001" w:csb1="00000000"/>
    <w:embedRegular r:id="rId2" w:fontKey="{DA32E3F6-8763-4AAA-9F62-B4F707E7A77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53ED2CAC-F101-45A9-AE54-0E1C121BF501}"/>
  </w:font>
  <w:font w:name="Cambria">
    <w:panose1 w:val="02040503050406030204"/>
    <w:charset w:val="00"/>
    <w:family w:val="roman"/>
    <w:pitch w:val="default"/>
    <w:sig w:usb0="E00002FF" w:usb1="400004FF" w:usb2="00000000" w:usb3="00000000" w:csb0="2000019F" w:csb1="00000000"/>
    <w:embedRegular r:id="rId4" w:fontKey="{F05C41C8-1954-43A5-9BE3-7D591A67D7C2}"/>
  </w:font>
  <w:font w:name="楷体">
    <w:panose1 w:val="02010609060101010101"/>
    <w:charset w:val="86"/>
    <w:family w:val="modern"/>
    <w:pitch w:val="default"/>
    <w:sig w:usb0="800002BF" w:usb1="38CF7CFA" w:usb2="00000016" w:usb3="00000000" w:csb0="00040001" w:csb1="00000000"/>
    <w:embedRegular r:id="rId5" w:fontKey="{38CD02B2-A266-44BE-AD2A-CCB01EC17AA4}"/>
  </w:font>
  <w:font w:name="仿宋_GB2312">
    <w:panose1 w:val="02010609030101010101"/>
    <w:charset w:val="86"/>
    <w:family w:val="modern"/>
    <w:pitch w:val="default"/>
    <w:sig w:usb0="00000000" w:usb1="00000000" w:usb2="00000000" w:usb3="00000000" w:csb0="00000000" w:csb1="00000000"/>
    <w:embedRegular r:id="rId6" w:fontKey="{864F8179-EFC6-47C6-8BB1-0C9F09DE9D63}"/>
  </w:font>
  <w:font w:name="仿宋">
    <w:panose1 w:val="02010609060101010101"/>
    <w:charset w:val="86"/>
    <w:family w:val="auto"/>
    <w:pitch w:val="default"/>
    <w:sig w:usb0="800002BF" w:usb1="38CF7CFA" w:usb2="00000016" w:usb3="00000000" w:csb0="00040001" w:csb1="00000000"/>
    <w:embedRegular r:id="rId7" w:fontKey="{CFBBC12E-D75F-4FB1-9CDF-AE8563EBF14D}"/>
  </w:font>
  <w:font w:name="ArialUnicodeMS">
    <w:altName w:val="Dotum"/>
    <w:panose1 w:val="00000000000000000000"/>
    <w:charset w:val="81"/>
    <w:family w:val="auto"/>
    <w:pitch w:val="default"/>
    <w:sig w:usb0="00000000" w:usb1="00000000" w:usb2="00000010" w:usb3="00000000" w:csb0="00080001" w:csb1="00000000"/>
    <w:embedRegular r:id="rId8" w:fontKey="{1F21E262-F4A8-4175-BCC8-1B21AC56DBF9}"/>
  </w:font>
  <w:font w:name="Dotum">
    <w:panose1 w:val="020B0600000101010101"/>
    <w:charset w:val="81"/>
    <w:family w:val="auto"/>
    <w:pitch w:val="default"/>
    <w:sig w:usb0="B00002AF" w:usb1="69D77CFB" w:usb2="00000030" w:usb3="00000000" w:csb0="4008009F" w:csb1="DFD70000"/>
  </w:font>
  <w:font w:name="MS-UIGothic,Bold">
    <w:altName w:val="Dotum"/>
    <w:panose1 w:val="00000000000000000000"/>
    <w:charset w:val="81"/>
    <w:family w:val="auto"/>
    <w:pitch w:val="default"/>
    <w:sig w:usb0="00000000" w:usb1="00000000" w:usb2="00000010" w:usb3="00000000" w:csb0="00080000" w:csb1="00000000"/>
    <w:embedRegular r:id="rId9" w:fontKey="{BB2CF746-2449-4877-978B-767588E0CB6C}"/>
  </w:font>
  <w:font w:name="DengXian-Regular">
    <w:altName w:val="宋体"/>
    <w:panose1 w:val="00000000000000000000"/>
    <w:charset w:val="86"/>
    <w:family w:val="auto"/>
    <w:pitch w:val="default"/>
    <w:sig w:usb0="00000000" w:usb1="00000000" w:usb2="00000010" w:usb3="00000000" w:csb0="00040001" w:csb1="00000000"/>
    <w:embedRegular r:id="rId10" w:fontKey="{BCA9ACF9-E5F7-4D0E-8AC6-A07C37013721}"/>
  </w:font>
  <w:font w:name="楷体_GB2312">
    <w:panose1 w:val="02010609030101010101"/>
    <w:charset w:val="86"/>
    <w:family w:val="modern"/>
    <w:pitch w:val="default"/>
    <w:sig w:usb0="00000000" w:usb1="00000000" w:usb2="00000000" w:usb3="00000000" w:csb0="00000000" w:csb1="00000000"/>
    <w:embedRegular r:id="rId11" w:fontKey="{C0788AA2-748D-46AE-BBBB-F2A52067B32C}"/>
  </w:font>
  <w:font w:name="DengXian-Bold">
    <w:altName w:val="宋体"/>
    <w:panose1 w:val="00000000000000000000"/>
    <w:charset w:val="86"/>
    <w:family w:val="auto"/>
    <w:pitch w:val="default"/>
    <w:sig w:usb0="00000000" w:usb1="00000000" w:usb2="00000010" w:usb3="00000000" w:csb0="00040001" w:csb1="00000000"/>
    <w:embedRegular r:id="rId12" w:fontKey="{819273DD-FA4D-492F-AF8F-E89CC06009A1}"/>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16D65E"/>
    <w:multiLevelType w:val="singleLevel"/>
    <w:tmpl w:val="EA16D65E"/>
    <w:lvl w:ilvl="0" w:tentative="0">
      <w:start w:val="2"/>
      <w:numFmt w:val="chineseCounting"/>
      <w:suff w:val="nothing"/>
      <w:lvlText w:val="（%1）"/>
      <w:lvlJc w:val="left"/>
      <w:pPr>
        <w:ind w:left="200"/>
      </w:pPr>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5123822C"/>
    <w:multiLevelType w:val="singleLevel"/>
    <w:tmpl w:val="5123822C"/>
    <w:lvl w:ilvl="0" w:tentative="0">
      <w:start w:val="6"/>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1413"/>
    <w:rsid w:val="00020FAF"/>
    <w:rsid w:val="00022474"/>
    <w:rsid w:val="00024E7F"/>
    <w:rsid w:val="000475A0"/>
    <w:rsid w:val="00067693"/>
    <w:rsid w:val="000838C3"/>
    <w:rsid w:val="000B2446"/>
    <w:rsid w:val="000D7C65"/>
    <w:rsid w:val="000E2F81"/>
    <w:rsid w:val="00101F8D"/>
    <w:rsid w:val="00117946"/>
    <w:rsid w:val="00117E2C"/>
    <w:rsid w:val="00146C47"/>
    <w:rsid w:val="00152FB8"/>
    <w:rsid w:val="00176658"/>
    <w:rsid w:val="0018239E"/>
    <w:rsid w:val="001B3410"/>
    <w:rsid w:val="001B7503"/>
    <w:rsid w:val="001C030D"/>
    <w:rsid w:val="001C4A84"/>
    <w:rsid w:val="001E5902"/>
    <w:rsid w:val="00233705"/>
    <w:rsid w:val="00246D99"/>
    <w:rsid w:val="00257266"/>
    <w:rsid w:val="00262306"/>
    <w:rsid w:val="00275CA2"/>
    <w:rsid w:val="002A65A5"/>
    <w:rsid w:val="002C04C4"/>
    <w:rsid w:val="002D08B0"/>
    <w:rsid w:val="002D1AE3"/>
    <w:rsid w:val="002F2ECE"/>
    <w:rsid w:val="00341C8F"/>
    <w:rsid w:val="0035463A"/>
    <w:rsid w:val="00391D9D"/>
    <w:rsid w:val="003B6C51"/>
    <w:rsid w:val="003C1413"/>
    <w:rsid w:val="003C549F"/>
    <w:rsid w:val="003D5A16"/>
    <w:rsid w:val="003E7DB3"/>
    <w:rsid w:val="00431175"/>
    <w:rsid w:val="004374A3"/>
    <w:rsid w:val="00493686"/>
    <w:rsid w:val="004B6E37"/>
    <w:rsid w:val="004C32BA"/>
    <w:rsid w:val="004C68EF"/>
    <w:rsid w:val="00575922"/>
    <w:rsid w:val="005A3C0D"/>
    <w:rsid w:val="005A6C90"/>
    <w:rsid w:val="005B37E6"/>
    <w:rsid w:val="005E3FB0"/>
    <w:rsid w:val="005F4B66"/>
    <w:rsid w:val="005F5208"/>
    <w:rsid w:val="00615C31"/>
    <w:rsid w:val="00641318"/>
    <w:rsid w:val="0064405D"/>
    <w:rsid w:val="00695557"/>
    <w:rsid w:val="006D4EA7"/>
    <w:rsid w:val="0070012A"/>
    <w:rsid w:val="0070664B"/>
    <w:rsid w:val="007071B8"/>
    <w:rsid w:val="007155C2"/>
    <w:rsid w:val="007414DE"/>
    <w:rsid w:val="00760C0C"/>
    <w:rsid w:val="007905A9"/>
    <w:rsid w:val="007E072B"/>
    <w:rsid w:val="007E5500"/>
    <w:rsid w:val="007F055B"/>
    <w:rsid w:val="00811C2F"/>
    <w:rsid w:val="00833D46"/>
    <w:rsid w:val="00836215"/>
    <w:rsid w:val="00840A97"/>
    <w:rsid w:val="00872B02"/>
    <w:rsid w:val="00873292"/>
    <w:rsid w:val="008A640A"/>
    <w:rsid w:val="008C0149"/>
    <w:rsid w:val="008D5DED"/>
    <w:rsid w:val="008E25CA"/>
    <w:rsid w:val="008F34FC"/>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B0A0E"/>
    <w:rsid w:val="00AD3B6E"/>
    <w:rsid w:val="00AF6D31"/>
    <w:rsid w:val="00B1751F"/>
    <w:rsid w:val="00B50F96"/>
    <w:rsid w:val="00B56722"/>
    <w:rsid w:val="00B67044"/>
    <w:rsid w:val="00B74D39"/>
    <w:rsid w:val="00B827C6"/>
    <w:rsid w:val="00B91DA4"/>
    <w:rsid w:val="00BA7174"/>
    <w:rsid w:val="00C12630"/>
    <w:rsid w:val="00C34562"/>
    <w:rsid w:val="00C3774E"/>
    <w:rsid w:val="00C57456"/>
    <w:rsid w:val="00C65387"/>
    <w:rsid w:val="00C87FAB"/>
    <w:rsid w:val="00C91FF7"/>
    <w:rsid w:val="00C92D15"/>
    <w:rsid w:val="00C94E53"/>
    <w:rsid w:val="00CE3FC3"/>
    <w:rsid w:val="00D0048E"/>
    <w:rsid w:val="00D23E7A"/>
    <w:rsid w:val="00D56D8F"/>
    <w:rsid w:val="00D61063"/>
    <w:rsid w:val="00DB35AF"/>
    <w:rsid w:val="00DD72D7"/>
    <w:rsid w:val="00DF5B88"/>
    <w:rsid w:val="00E0589E"/>
    <w:rsid w:val="00E0697F"/>
    <w:rsid w:val="00E241FA"/>
    <w:rsid w:val="00E2595E"/>
    <w:rsid w:val="00E35374"/>
    <w:rsid w:val="00E50C19"/>
    <w:rsid w:val="00E64655"/>
    <w:rsid w:val="00E73081"/>
    <w:rsid w:val="00E856C9"/>
    <w:rsid w:val="00EA4F68"/>
    <w:rsid w:val="00EB6A8B"/>
    <w:rsid w:val="00EC6814"/>
    <w:rsid w:val="00ED411D"/>
    <w:rsid w:val="00EF38C6"/>
    <w:rsid w:val="00F679C7"/>
    <w:rsid w:val="00F7711A"/>
    <w:rsid w:val="00F80C72"/>
    <w:rsid w:val="00FA0D58"/>
    <w:rsid w:val="00FA1580"/>
    <w:rsid w:val="00FA56F4"/>
    <w:rsid w:val="00FB4EDA"/>
    <w:rsid w:val="00FD3BD5"/>
    <w:rsid w:val="00FE3DC8"/>
    <w:rsid w:val="023F6BD8"/>
    <w:rsid w:val="030B5091"/>
    <w:rsid w:val="04073F84"/>
    <w:rsid w:val="04B32B5C"/>
    <w:rsid w:val="079B163B"/>
    <w:rsid w:val="092045F3"/>
    <w:rsid w:val="0A411E59"/>
    <w:rsid w:val="0B60750A"/>
    <w:rsid w:val="0B9366B4"/>
    <w:rsid w:val="0E05513F"/>
    <w:rsid w:val="0F547B05"/>
    <w:rsid w:val="0FF87265"/>
    <w:rsid w:val="10686488"/>
    <w:rsid w:val="10DF728A"/>
    <w:rsid w:val="11DA0303"/>
    <w:rsid w:val="1227442A"/>
    <w:rsid w:val="1264200E"/>
    <w:rsid w:val="141C5B77"/>
    <w:rsid w:val="14420EC5"/>
    <w:rsid w:val="14834B67"/>
    <w:rsid w:val="18044F76"/>
    <w:rsid w:val="18266D31"/>
    <w:rsid w:val="18323571"/>
    <w:rsid w:val="18D8339D"/>
    <w:rsid w:val="18F45311"/>
    <w:rsid w:val="1A21388F"/>
    <w:rsid w:val="1A570D2F"/>
    <w:rsid w:val="1ECF0F65"/>
    <w:rsid w:val="1FE15EEB"/>
    <w:rsid w:val="20E76B95"/>
    <w:rsid w:val="21426166"/>
    <w:rsid w:val="226C6D48"/>
    <w:rsid w:val="22D748F7"/>
    <w:rsid w:val="238C2BDD"/>
    <w:rsid w:val="24A66B64"/>
    <w:rsid w:val="265903B6"/>
    <w:rsid w:val="27D73028"/>
    <w:rsid w:val="28FB0B8D"/>
    <w:rsid w:val="297D6C42"/>
    <w:rsid w:val="298E7EBE"/>
    <w:rsid w:val="298F4A7D"/>
    <w:rsid w:val="2AAD42D2"/>
    <w:rsid w:val="2AF14C44"/>
    <w:rsid w:val="2D2B7942"/>
    <w:rsid w:val="2D46481D"/>
    <w:rsid w:val="2DE66438"/>
    <w:rsid w:val="2E733B28"/>
    <w:rsid w:val="2EA159BE"/>
    <w:rsid w:val="2ECC1887"/>
    <w:rsid w:val="30867D22"/>
    <w:rsid w:val="313C3E8A"/>
    <w:rsid w:val="31852B5A"/>
    <w:rsid w:val="32D01238"/>
    <w:rsid w:val="338671BF"/>
    <w:rsid w:val="356457A4"/>
    <w:rsid w:val="36F009A1"/>
    <w:rsid w:val="3DFC59A8"/>
    <w:rsid w:val="3ECF245E"/>
    <w:rsid w:val="3FB96314"/>
    <w:rsid w:val="40E62F0D"/>
    <w:rsid w:val="43285C85"/>
    <w:rsid w:val="45AB1D85"/>
    <w:rsid w:val="479A69AC"/>
    <w:rsid w:val="47B73E4F"/>
    <w:rsid w:val="47BC3BDD"/>
    <w:rsid w:val="48973443"/>
    <w:rsid w:val="48A717D6"/>
    <w:rsid w:val="494363B0"/>
    <w:rsid w:val="4AAE1230"/>
    <w:rsid w:val="4AEB3E7A"/>
    <w:rsid w:val="4BC81151"/>
    <w:rsid w:val="4BD141E2"/>
    <w:rsid w:val="4CDF7E48"/>
    <w:rsid w:val="4D51182B"/>
    <w:rsid w:val="4EAF721A"/>
    <w:rsid w:val="511F517E"/>
    <w:rsid w:val="52A402DC"/>
    <w:rsid w:val="53A44FAF"/>
    <w:rsid w:val="53AC137F"/>
    <w:rsid w:val="55CE0F04"/>
    <w:rsid w:val="594329EC"/>
    <w:rsid w:val="59835BE7"/>
    <w:rsid w:val="5BEE1540"/>
    <w:rsid w:val="5D3931CE"/>
    <w:rsid w:val="5DE61A5D"/>
    <w:rsid w:val="60466C1E"/>
    <w:rsid w:val="606D5C2D"/>
    <w:rsid w:val="62554656"/>
    <w:rsid w:val="63C04243"/>
    <w:rsid w:val="63F36EE7"/>
    <w:rsid w:val="649C01C7"/>
    <w:rsid w:val="64CE0921"/>
    <w:rsid w:val="663E44DD"/>
    <w:rsid w:val="663E4CD3"/>
    <w:rsid w:val="66DD152E"/>
    <w:rsid w:val="68505C23"/>
    <w:rsid w:val="699A3F60"/>
    <w:rsid w:val="70760982"/>
    <w:rsid w:val="72095934"/>
    <w:rsid w:val="72902E62"/>
    <w:rsid w:val="72D202E5"/>
    <w:rsid w:val="733664F7"/>
    <w:rsid w:val="73C61104"/>
    <w:rsid w:val="75F01EBA"/>
    <w:rsid w:val="77035300"/>
    <w:rsid w:val="776452EA"/>
    <w:rsid w:val="77B045F3"/>
    <w:rsid w:val="78020F69"/>
    <w:rsid w:val="782A7B3D"/>
    <w:rsid w:val="7A512151"/>
    <w:rsid w:val="7B1C19A1"/>
    <w:rsid w:val="7DC663B9"/>
    <w:rsid w:val="7E764448"/>
    <w:rsid w:val="7F006784"/>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31"/>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1"/>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rPr>
  </w:style>
  <w:style w:type="paragraph" w:styleId="11">
    <w:name w:val="Title"/>
    <w:basedOn w:val="1"/>
    <w:next w:val="1"/>
    <w:link w:val="20"/>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A2C23" w:themeColor="text2" w:themeShade="BF"/>
      <w:spacing w:val="5"/>
      <w:kern w:val="28"/>
      <w:sz w:val="52"/>
      <w:szCs w:val="52"/>
    </w:rPr>
  </w:style>
  <w:style w:type="table" w:styleId="13">
    <w:name w:val="Table Grid"/>
    <w:basedOn w:val="12"/>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5">
    <w:name w:val="页眉 Char"/>
    <w:basedOn w:val="14"/>
    <w:link w:val="9"/>
    <w:qFormat/>
    <w:uiPriority w:val="99"/>
    <w:rPr>
      <w:sz w:val="18"/>
      <w:szCs w:val="18"/>
    </w:rPr>
  </w:style>
  <w:style w:type="character" w:customStyle="1" w:styleId="16">
    <w:name w:val="页脚 Char"/>
    <w:basedOn w:val="14"/>
    <w:link w:val="8"/>
    <w:qFormat/>
    <w:uiPriority w:val="99"/>
    <w:rPr>
      <w:sz w:val="18"/>
      <w:szCs w:val="18"/>
    </w:rPr>
  </w:style>
  <w:style w:type="paragraph" w:styleId="17">
    <w:name w:val="No Spacing"/>
    <w:link w:val="18"/>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8">
    <w:name w:val="无间隔 Char"/>
    <w:basedOn w:val="14"/>
    <w:link w:val="17"/>
    <w:qFormat/>
    <w:uiPriority w:val="1"/>
    <w:rPr>
      <w:kern w:val="0"/>
      <w:sz w:val="22"/>
    </w:rPr>
  </w:style>
  <w:style w:type="character" w:customStyle="1" w:styleId="19">
    <w:name w:val="批注框文本 Char"/>
    <w:basedOn w:val="14"/>
    <w:link w:val="7"/>
    <w:semiHidden/>
    <w:qFormat/>
    <w:uiPriority w:val="99"/>
    <w:rPr>
      <w:rFonts w:ascii="Times New Roman" w:hAnsi="Times New Roman" w:eastAsia="宋体" w:cs="Times New Roman"/>
      <w:sz w:val="18"/>
      <w:szCs w:val="18"/>
    </w:rPr>
  </w:style>
  <w:style w:type="character" w:customStyle="1" w:styleId="20">
    <w:name w:val="标题 Char"/>
    <w:basedOn w:val="14"/>
    <w:link w:val="11"/>
    <w:qFormat/>
    <w:uiPriority w:val="10"/>
    <w:rPr>
      <w:rFonts w:asciiTheme="majorHAnsi" w:hAnsiTheme="majorHAnsi" w:eastAsiaTheme="majorEastAsia" w:cstheme="majorBidi"/>
      <w:color w:val="3A2C23" w:themeColor="text2" w:themeShade="BF"/>
      <w:spacing w:val="5"/>
      <w:kern w:val="28"/>
      <w:sz w:val="52"/>
      <w:szCs w:val="52"/>
    </w:rPr>
  </w:style>
  <w:style w:type="character" w:customStyle="1" w:styleId="21">
    <w:name w:val="副标题 Char"/>
    <w:basedOn w:val="14"/>
    <w:link w:val="10"/>
    <w:qFormat/>
    <w:uiPriority w:val="11"/>
    <w:rPr>
      <w:rFonts w:asciiTheme="majorHAnsi" w:hAnsiTheme="majorHAnsi" w:eastAsiaTheme="majorEastAsia" w:cstheme="majorBidi"/>
      <w:i/>
      <w:iCs/>
      <w:color w:val="F0A22E" w:themeColor="accent1"/>
      <w:spacing w:val="15"/>
      <w:kern w:val="0"/>
      <w:sz w:val="24"/>
      <w:szCs w:val="24"/>
    </w:rPr>
  </w:style>
  <w:style w:type="character" w:customStyle="1" w:styleId="22">
    <w:name w:val="Style1"/>
    <w:basedOn w:val="14"/>
    <w:qFormat/>
    <w:uiPriority w:val="1"/>
    <w:rPr>
      <w:rFonts w:asciiTheme="minorHAnsi" w:hAnsiTheme="minorEastAsia" w:eastAsiaTheme="minorEastAsia" w:cstheme="minorBidi"/>
      <w:sz w:val="22"/>
      <w:szCs w:val="22"/>
      <w:lang w:eastAsia="zh-CN"/>
    </w:rPr>
  </w:style>
  <w:style w:type="character" w:customStyle="1" w:styleId="23">
    <w:name w:val="Style2"/>
    <w:basedOn w:val="14"/>
    <w:qFormat/>
    <w:uiPriority w:val="1"/>
    <w:rPr>
      <w:rFonts w:asciiTheme="minorHAnsi" w:hAnsiTheme="minorEastAsia" w:eastAsiaTheme="minorEastAsia" w:cstheme="minorBidi"/>
      <w:sz w:val="22"/>
      <w:szCs w:val="22"/>
      <w:lang w:eastAsia="zh-CN"/>
    </w:rPr>
  </w:style>
  <w:style w:type="character" w:customStyle="1" w:styleId="24">
    <w:name w:val="Style3"/>
    <w:basedOn w:val="14"/>
    <w:qFormat/>
    <w:uiPriority w:val="1"/>
    <w:rPr>
      <w:rFonts w:asciiTheme="minorHAnsi" w:hAnsiTheme="minorEastAsia" w:eastAsiaTheme="minorEastAsia" w:cstheme="minorBidi"/>
      <w:szCs w:val="22"/>
      <w:lang w:eastAsia="zh-CN"/>
    </w:rPr>
  </w:style>
  <w:style w:type="character" w:customStyle="1" w:styleId="25">
    <w:name w:val="Style4"/>
    <w:basedOn w:val="14"/>
    <w:qFormat/>
    <w:uiPriority w:val="1"/>
    <w:rPr>
      <w:rFonts w:asciiTheme="minorHAnsi" w:hAnsiTheme="minorEastAsia" w:eastAsiaTheme="minorEastAsia" w:cstheme="minorBidi"/>
      <w:szCs w:val="22"/>
      <w:lang w:eastAsia="zh-CN"/>
    </w:rPr>
  </w:style>
  <w:style w:type="character" w:customStyle="1" w:styleId="26">
    <w:name w:val="Style5"/>
    <w:basedOn w:val="14"/>
    <w:qFormat/>
    <w:uiPriority w:val="1"/>
    <w:rPr>
      <w:rFonts w:asciiTheme="minorHAnsi" w:hAnsiTheme="minorEastAsia" w:eastAsiaTheme="minorEastAsia" w:cstheme="minorBidi"/>
      <w:sz w:val="22"/>
      <w:szCs w:val="22"/>
      <w:lang w:eastAsia="zh-CN"/>
    </w:rPr>
  </w:style>
  <w:style w:type="character" w:customStyle="1" w:styleId="27">
    <w:name w:val="标题 1 Char"/>
    <w:basedOn w:val="14"/>
    <w:link w:val="2"/>
    <w:qFormat/>
    <w:uiPriority w:val="9"/>
    <w:rPr>
      <w:rFonts w:ascii="Times New Roman" w:hAnsi="Times New Roman" w:eastAsia="宋体" w:cs="Times New Roman"/>
      <w:b/>
      <w:bCs/>
      <w:kern w:val="44"/>
      <w:sz w:val="44"/>
      <w:szCs w:val="44"/>
    </w:rPr>
  </w:style>
  <w:style w:type="character" w:customStyle="1" w:styleId="28">
    <w:name w:val="标题 2 Char"/>
    <w:basedOn w:val="14"/>
    <w:link w:val="3"/>
    <w:qFormat/>
    <w:uiPriority w:val="9"/>
    <w:rPr>
      <w:rFonts w:asciiTheme="majorHAnsi" w:hAnsiTheme="majorHAnsi" w:eastAsiaTheme="majorEastAsia" w:cstheme="majorBidi"/>
      <w:b/>
      <w:bCs/>
      <w:sz w:val="32"/>
      <w:szCs w:val="32"/>
    </w:rPr>
  </w:style>
  <w:style w:type="character" w:customStyle="1" w:styleId="29">
    <w:name w:val="标题 3 Char"/>
    <w:basedOn w:val="14"/>
    <w:link w:val="4"/>
    <w:qFormat/>
    <w:uiPriority w:val="9"/>
    <w:rPr>
      <w:rFonts w:ascii="Times New Roman" w:hAnsi="Times New Roman" w:eastAsia="宋体" w:cs="Times New Roman"/>
      <w:b/>
      <w:bCs/>
      <w:sz w:val="32"/>
      <w:szCs w:val="32"/>
    </w:rPr>
  </w:style>
  <w:style w:type="character" w:customStyle="1" w:styleId="30">
    <w:name w:val="标题 4 Char"/>
    <w:basedOn w:val="14"/>
    <w:link w:val="5"/>
    <w:qFormat/>
    <w:uiPriority w:val="9"/>
    <w:rPr>
      <w:rFonts w:asciiTheme="majorHAnsi" w:hAnsiTheme="majorHAnsi" w:eastAsiaTheme="majorEastAsia" w:cstheme="majorBidi"/>
      <w:b/>
      <w:bCs/>
      <w:sz w:val="28"/>
      <w:szCs w:val="28"/>
    </w:rPr>
  </w:style>
  <w:style w:type="character" w:customStyle="1" w:styleId="31">
    <w:name w:val="日期 Char"/>
    <w:basedOn w:val="14"/>
    <w:link w:val="6"/>
    <w:semiHidden/>
    <w:qFormat/>
    <w:uiPriority w:val="99"/>
    <w:rPr>
      <w:rFonts w:ascii="Times New Roman" w:hAnsi="Times New Roman" w:eastAsia="宋体" w:cs="Times New Roman"/>
      <w:szCs w:val="24"/>
    </w:rPr>
  </w:style>
  <w:style w:type="paragraph" w:styleId="3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2018</a:t>
            </a:r>
            <a:r>
              <a:rPr altLang="en-US"/>
              <a:t>年度本年</a:t>
            </a:r>
            <a:r>
              <a:t>收入</a:t>
            </a:r>
          </a:p>
        </c:rich>
      </c:tx>
      <c:layout/>
      <c:overlay val="0"/>
      <c:spPr>
        <a:noFill/>
        <a:ln>
          <a:noFill/>
        </a:ln>
        <a:effectLst/>
      </c:spPr>
    </c:title>
    <c:autoTitleDeleted val="0"/>
    <c:plotArea>
      <c:layout/>
      <c:pieChart>
        <c:varyColors val="1"/>
        <c:ser>
          <c:idx val="0"/>
          <c:order val="0"/>
          <c:tx>
            <c:strRef>
              <c:f>Sheet1!$B$1</c:f>
              <c:strCache>
                <c:ptCount val="1"/>
                <c:pt idx="0">
                  <c:v>本年收入</c:v>
                </c:pt>
              </c:strCache>
            </c:strRef>
          </c:tx>
          <c:spPr/>
          <c:explosion val="0"/>
          <c:dPt>
            <c:idx val="0"/>
            <c:bubble3D val="0"/>
            <c:spPr>
              <a:solidFill>
                <a:schemeClr val="accent1">
                  <a:tint val="100000"/>
                  <a:shade val="100000"/>
                  <a:hueMod val="100000"/>
                  <a:satMod val="100000"/>
                </a:schemeClr>
              </a:solidFill>
              <a:ln w="19050">
                <a:solidFill>
                  <a:schemeClr val="lt1"/>
                </a:solidFill>
              </a:ln>
              <a:effectLst/>
            </c:spPr>
          </c:dPt>
          <c:dPt>
            <c:idx val="1"/>
            <c:bubble3D val="0"/>
            <c:spPr>
              <a:solidFill>
                <a:schemeClr val="accent2">
                  <a:tint val="100000"/>
                  <a:shade val="100000"/>
                  <a:hueMod val="100000"/>
                  <a:satMod val="100000"/>
                </a:schemeClr>
              </a:solidFill>
              <a:ln w="19050">
                <a:solidFill>
                  <a:schemeClr val="lt1"/>
                </a:solidFill>
              </a:ln>
              <a:effectLst/>
            </c:spPr>
          </c:dPt>
          <c:dPt>
            <c:idx val="2"/>
            <c:bubble3D val="0"/>
            <c:spPr>
              <a:solidFill>
                <a:schemeClr val="accent3">
                  <a:tint val="100000"/>
                  <a:shade val="100000"/>
                  <a:hueMod val="100000"/>
                  <a:satMod val="100000"/>
                </a:schemeClr>
              </a:solidFill>
              <a:ln w="19050">
                <a:solidFill>
                  <a:schemeClr val="lt1"/>
                </a:solidFill>
              </a:ln>
              <a:effectLst/>
            </c:spPr>
          </c:dPt>
          <c:dPt>
            <c:idx val="3"/>
            <c:bubble3D val="0"/>
            <c:spPr>
              <a:solidFill>
                <a:schemeClr val="accent4">
                  <a:tint val="100000"/>
                  <a:shade val="100000"/>
                  <a:hueMod val="100000"/>
                  <a:satMod val="100000"/>
                </a:schemeClr>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财政拨款收入</c:v>
                </c:pt>
                <c:pt idx="1">
                  <c:v>事业收入</c:v>
                </c:pt>
                <c:pt idx="2">
                  <c:v>经营收入</c:v>
                </c:pt>
                <c:pt idx="3">
                  <c:v>其他收入</c:v>
                </c:pt>
              </c:strCache>
            </c:strRef>
          </c:cat>
          <c:val>
            <c:numRef>
              <c:f>Sheet1!$B$2:$B$5</c:f>
              <c:numCache>
                <c:formatCode>General</c:formatCode>
                <c:ptCount val="4"/>
                <c:pt idx="0">
                  <c:v>6380.88</c:v>
                </c:pt>
                <c:pt idx="1">
                  <c:v>0</c:v>
                </c:pt>
                <c:pt idx="2">
                  <c:v>0</c:v>
                </c:pt>
                <c:pt idx="3">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2018</a:t>
            </a:r>
            <a:r>
              <a:rPr altLang="en-US"/>
              <a:t>年度本年支出</a:t>
            </a:r>
            <a:endParaRPr altLang="en-US"/>
          </a:p>
        </c:rich>
      </c:tx>
      <c:layout>
        <c:manualLayout>
          <c:xMode val="edge"/>
          <c:yMode val="edge"/>
          <c:x val="0.219642857142857"/>
          <c:y val="0.0302197802197802"/>
        </c:manualLayout>
      </c:layout>
      <c:overlay val="0"/>
      <c:spPr>
        <a:noFill/>
        <a:ln>
          <a:noFill/>
        </a:ln>
        <a:effectLst/>
      </c:spPr>
    </c:title>
    <c:autoTitleDeleted val="0"/>
    <c:plotArea>
      <c:layout/>
      <c:pieChart>
        <c:varyColors val="1"/>
        <c:ser>
          <c:idx val="0"/>
          <c:order val="0"/>
          <c:tx>
            <c:strRef>
              <c:f>Sheet1!$B$1</c:f>
              <c:strCache>
                <c:ptCount val="1"/>
                <c:pt idx="0">
                  <c:v>本年支出</c:v>
                </c:pt>
              </c:strCache>
            </c:strRef>
          </c:tx>
          <c:spPr/>
          <c:explosion val="0"/>
          <c:dPt>
            <c:idx val="0"/>
            <c:bubble3D val="0"/>
            <c:spPr>
              <a:solidFill>
                <a:schemeClr val="accent1">
                  <a:tint val="100000"/>
                  <a:shade val="100000"/>
                  <a:hueMod val="100000"/>
                  <a:satMod val="100000"/>
                </a:schemeClr>
              </a:solidFill>
              <a:ln w="19050">
                <a:solidFill>
                  <a:schemeClr val="lt1"/>
                </a:solidFill>
              </a:ln>
              <a:effectLst/>
            </c:spPr>
          </c:dPt>
          <c:dPt>
            <c:idx val="1"/>
            <c:bubble3D val="0"/>
            <c:spPr>
              <a:solidFill>
                <a:schemeClr val="accent2">
                  <a:tint val="100000"/>
                  <a:shade val="100000"/>
                  <a:hueMod val="100000"/>
                  <a:satMod val="100000"/>
                </a:schemeClr>
              </a:solidFill>
              <a:ln w="19050">
                <a:solidFill>
                  <a:schemeClr val="lt1"/>
                </a:solidFill>
              </a:ln>
              <a:effectLst/>
            </c:spPr>
          </c:dPt>
          <c:dPt>
            <c:idx val="2"/>
            <c:bubble3D val="0"/>
            <c:spPr>
              <a:solidFill>
                <a:schemeClr val="accent3">
                  <a:tint val="100000"/>
                  <a:shade val="100000"/>
                  <a:hueMod val="100000"/>
                  <a:satMod val="100000"/>
                </a:schemeClr>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a:t>
                    </a:r>
                    <a:r>
                      <a:rPr lang="en-US" altLang="zh-CN"/>
                      <a:t>8.87</a:t>
                    </a:r>
                    <a:r>
                      <a:t>%</a:t>
                    </a:r>
                  </a:p>
                </c:rich>
              </c:tx>
              <c:dLblPos val="inEnd"/>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81</a:t>
                    </a:r>
                    <a:r>
                      <a:rPr lang="en-US" altLang="zh-CN"/>
                      <a:t>.13</a:t>
                    </a:r>
                    <a:r>
                      <a:t>%</a:t>
                    </a:r>
                  </a:p>
                </c:rich>
              </c:tx>
              <c:dLblPos val="inEnd"/>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基本支出</c:v>
                </c:pt>
                <c:pt idx="1">
                  <c:v>项目支出</c:v>
                </c:pt>
                <c:pt idx="2">
                  <c:v>经营支出</c:v>
                </c:pt>
              </c:strCache>
            </c:strRef>
          </c:cat>
          <c:val>
            <c:numRef>
              <c:f>Sheet1!$B$2:$B$4</c:f>
              <c:numCache>
                <c:formatCode>General</c:formatCode>
                <c:ptCount val="3"/>
                <c:pt idx="0">
                  <c:v>1166.07</c:v>
                </c:pt>
                <c:pt idx="1" c:formatCode="0.00_ ">
                  <c:v>5014.3</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财政拨款收支情况</a:t>
            </a:r>
          </a:p>
        </c:rich>
      </c:tx>
      <c:layout>
        <c:manualLayout>
          <c:xMode val="edge"/>
          <c:yMode val="edge"/>
          <c:x val="0.333720255368543"/>
          <c:y val="0.0188048474717927"/>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本年收入</c:v>
                </c:pt>
              </c:strCache>
            </c:strRef>
          </c:tx>
          <c:spPr>
            <a:solidFill>
              <a:schemeClr val="accent1">
                <a:tint val="100000"/>
                <a:shade val="100000"/>
                <a:hueMod val="100000"/>
                <a:satMod val="100000"/>
              </a:schemeClr>
            </a:solidFill>
            <a:ln>
              <a:noFill/>
            </a:ln>
            <a:effectLst/>
          </c:spPr>
          <c:invertIfNegative val="0"/>
          <c:dLbls>
            <c:delete val="1"/>
          </c:dLbls>
          <c:cat>
            <c:strRef>
              <c:f>Sheet1!$A$2:$A$3</c:f>
              <c:strCache>
                <c:ptCount val="2"/>
                <c:pt idx="0">
                  <c:v>一般公共预算财政拨款</c:v>
                </c:pt>
                <c:pt idx="1">
                  <c:v>政府性基金预算财政拨款</c:v>
                </c:pt>
              </c:strCache>
            </c:strRef>
          </c:cat>
          <c:val>
            <c:numRef>
              <c:f>Sheet1!$B$2:$B$3</c:f>
              <c:numCache>
                <c:formatCode>General</c:formatCode>
                <c:ptCount val="2"/>
                <c:pt idx="0">
                  <c:v>3781.32</c:v>
                </c:pt>
                <c:pt idx="1">
                  <c:v>2599.57</c:v>
                </c:pt>
              </c:numCache>
            </c:numRef>
          </c:val>
        </c:ser>
        <c:ser>
          <c:idx val="1"/>
          <c:order val="1"/>
          <c:tx>
            <c:strRef>
              <c:f>Sheet1!$C$1</c:f>
              <c:strCache>
                <c:ptCount val="1"/>
                <c:pt idx="0">
                  <c:v>本年支出</c:v>
                </c:pt>
              </c:strCache>
            </c:strRef>
          </c:tx>
          <c:spPr>
            <a:solidFill>
              <a:schemeClr val="accent2">
                <a:tint val="100000"/>
                <a:shade val="100000"/>
                <a:hueMod val="100000"/>
                <a:satMod val="100000"/>
              </a:schemeClr>
            </a:solidFill>
            <a:ln>
              <a:noFill/>
            </a:ln>
            <a:effectLst/>
          </c:spPr>
          <c:invertIfNegative val="0"/>
          <c:dLbls>
            <c:delete val="1"/>
          </c:dLbls>
          <c:cat>
            <c:strRef>
              <c:f>Sheet1!$A$2:$A$3</c:f>
              <c:strCache>
                <c:ptCount val="2"/>
                <c:pt idx="0">
                  <c:v>一般公共预算财政拨款</c:v>
                </c:pt>
                <c:pt idx="1">
                  <c:v>政府性基金预算财政拨款</c:v>
                </c:pt>
              </c:strCache>
            </c:strRef>
          </c:cat>
          <c:val>
            <c:numRef>
              <c:f>Sheet1!$C$2:$C$3</c:f>
              <c:numCache>
                <c:formatCode>General</c:formatCode>
                <c:ptCount val="2"/>
                <c:pt idx="0">
                  <c:v>3199.13</c:v>
                </c:pt>
                <c:pt idx="1">
                  <c:v>2981.24</c:v>
                </c:pt>
              </c:numCache>
            </c:numRef>
          </c:val>
        </c:ser>
        <c:dLbls>
          <c:showLegendKey val="0"/>
          <c:showVal val="0"/>
          <c:showCatName val="0"/>
          <c:showSerName val="0"/>
          <c:showPercent val="0"/>
          <c:showBubbleSize val="0"/>
        </c:dLbls>
        <c:gapWidth val="219"/>
        <c:overlap val="-27"/>
        <c:axId val="657404648"/>
        <c:axId val="464561887"/>
      </c:barChart>
      <c:catAx>
        <c:axId val="65740464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4561887"/>
        <c:crosses val="autoZero"/>
        <c:auto val="1"/>
        <c:lblAlgn val="ctr"/>
        <c:lblOffset val="100"/>
        <c:noMultiLvlLbl val="0"/>
      </c:catAx>
      <c:valAx>
        <c:axId val="4645618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7404648"/>
        <c:crosses val="autoZero"/>
        <c:crossBetween val="between"/>
      </c:valAx>
      <c:spPr>
        <a:noFill/>
        <a:ln>
          <a:noFill/>
        </a:ln>
        <a:effectLst/>
      </c:spPr>
    </c:plotArea>
    <c:legend>
      <c:legendPos val="b"/>
      <c:layout>
        <c:manualLayout>
          <c:xMode val="edge"/>
          <c:yMode val="edge"/>
          <c:x val="0.351"/>
          <c:y val="0.939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财政拨款收支预决算对比表</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年初预算数</c:v>
                </c:pt>
              </c:strCache>
            </c:strRef>
          </c:tx>
          <c:spPr>
            <a:solidFill>
              <a:schemeClr val="accent1">
                <a:tint val="100000"/>
                <a:shade val="100000"/>
                <a:hueMod val="100000"/>
                <a:satMod val="100000"/>
              </a:schemeClr>
            </a:solidFill>
            <a:ln>
              <a:noFill/>
            </a:ln>
            <a:effectLst/>
          </c:spPr>
          <c:invertIfNegative val="0"/>
          <c:dLbls>
            <c:delete val="1"/>
          </c:dLbls>
          <c:cat>
            <c:strRef>
              <c:f>Sheet1!$A$2:$A$5</c:f>
              <c:strCache>
                <c:ptCount val="4"/>
                <c:pt idx="0">
                  <c:v>一般公共预算财政拨款本年收入</c:v>
                </c:pt>
                <c:pt idx="1">
                  <c:v>一般公共预算财政拨款本年支出</c:v>
                </c:pt>
                <c:pt idx="2">
                  <c:v>政府性基金预算财政拨款本年收入</c:v>
                </c:pt>
                <c:pt idx="3">
                  <c:v>政府性基金预算财政拨款本年支出</c:v>
                </c:pt>
              </c:strCache>
            </c:strRef>
          </c:cat>
          <c:val>
            <c:numRef>
              <c:f>Sheet1!$B$2:$B$5</c:f>
              <c:numCache>
                <c:formatCode>General</c:formatCode>
                <c:ptCount val="4"/>
                <c:pt idx="0">
                  <c:v>2965.05</c:v>
                </c:pt>
                <c:pt idx="1">
                  <c:v>2965.05</c:v>
                </c:pt>
                <c:pt idx="2">
                  <c:v>5000.18</c:v>
                </c:pt>
                <c:pt idx="3">
                  <c:v>5000.18</c:v>
                </c:pt>
              </c:numCache>
            </c:numRef>
          </c:val>
        </c:ser>
        <c:ser>
          <c:idx val="1"/>
          <c:order val="1"/>
          <c:tx>
            <c:strRef>
              <c:f>Sheet1!$C$1</c:f>
              <c:strCache>
                <c:ptCount val="1"/>
                <c:pt idx="0">
                  <c:v>决算数</c:v>
                </c:pt>
              </c:strCache>
            </c:strRef>
          </c:tx>
          <c:spPr>
            <a:solidFill>
              <a:schemeClr val="accent2">
                <a:tint val="100000"/>
                <a:shade val="100000"/>
                <a:hueMod val="100000"/>
                <a:satMod val="100000"/>
              </a:schemeClr>
            </a:solidFill>
            <a:ln>
              <a:noFill/>
            </a:ln>
            <a:effectLst/>
          </c:spPr>
          <c:invertIfNegative val="0"/>
          <c:dLbls>
            <c:delete val="1"/>
          </c:dLbls>
          <c:cat>
            <c:strRef>
              <c:f>Sheet1!$A$2:$A$5</c:f>
              <c:strCache>
                <c:ptCount val="4"/>
                <c:pt idx="0">
                  <c:v>一般公共预算财政拨款本年收入</c:v>
                </c:pt>
                <c:pt idx="1">
                  <c:v>一般公共预算财政拨款本年支出</c:v>
                </c:pt>
                <c:pt idx="2">
                  <c:v>政府性基金预算财政拨款本年收入</c:v>
                </c:pt>
                <c:pt idx="3">
                  <c:v>政府性基金预算财政拨款本年支出</c:v>
                </c:pt>
              </c:strCache>
            </c:strRef>
          </c:cat>
          <c:val>
            <c:numRef>
              <c:f>Sheet1!$C$2:$C$5</c:f>
              <c:numCache>
                <c:formatCode>General</c:formatCode>
                <c:ptCount val="4"/>
                <c:pt idx="0">
                  <c:v>3781.32</c:v>
                </c:pt>
                <c:pt idx="1">
                  <c:v>3199.13</c:v>
                </c:pt>
                <c:pt idx="2">
                  <c:v>2599.57</c:v>
                </c:pt>
                <c:pt idx="3">
                  <c:v>2981.24</c:v>
                </c:pt>
              </c:numCache>
            </c:numRef>
          </c:val>
        </c:ser>
        <c:dLbls>
          <c:showLegendKey val="0"/>
          <c:showVal val="0"/>
          <c:showCatName val="0"/>
          <c:showSerName val="0"/>
          <c:showPercent val="0"/>
          <c:showBubbleSize val="0"/>
        </c:dLbls>
        <c:gapWidth val="219"/>
        <c:overlap val="-27"/>
        <c:axId val="885246883"/>
        <c:axId val="543353654"/>
      </c:barChart>
      <c:catAx>
        <c:axId val="88524688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3353654"/>
        <c:crosses val="autoZero"/>
        <c:auto val="1"/>
        <c:lblAlgn val="ctr"/>
        <c:lblOffset val="100"/>
        <c:noMultiLvlLbl val="0"/>
      </c:catAx>
      <c:valAx>
        <c:axId val="54335365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524688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ln w="28575" cmpd="sng">
                <a:noFill/>
                <a:prstDash val="solid"/>
              </a:ln>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2018年度财政拨款支出</c:v>
                </c:pt>
              </c:strCache>
            </c:strRef>
          </c:tx>
          <c:spPr/>
          <c:explosion val="0"/>
          <c:dPt>
            <c:idx val="0"/>
            <c:bubble3D val="0"/>
            <c:spPr>
              <a:solidFill>
                <a:schemeClr val="accent1">
                  <a:tint val="100000"/>
                  <a:shade val="100000"/>
                  <a:hueMod val="100000"/>
                  <a:satMod val="100000"/>
                </a:schemeClr>
              </a:solidFill>
              <a:ln w="19050">
                <a:solidFill>
                  <a:schemeClr val="lt1"/>
                </a:solidFill>
              </a:ln>
              <a:effectLst/>
            </c:spPr>
          </c:dPt>
          <c:dPt>
            <c:idx val="1"/>
            <c:bubble3D val="0"/>
            <c:spPr>
              <a:solidFill>
                <a:schemeClr val="accent2">
                  <a:tint val="100000"/>
                  <a:shade val="100000"/>
                  <a:hueMod val="100000"/>
                  <a:satMod val="100000"/>
                </a:schemeClr>
              </a:solidFill>
              <a:ln w="19050">
                <a:solidFill>
                  <a:schemeClr val="lt1"/>
                </a:solidFill>
              </a:ln>
              <a:effectLst/>
            </c:spPr>
          </c:dPt>
          <c:dPt>
            <c:idx val="2"/>
            <c:bubble3D val="0"/>
            <c:spPr>
              <a:solidFill>
                <a:schemeClr val="accent3">
                  <a:tint val="100000"/>
                  <a:shade val="100000"/>
                  <a:hueMod val="100000"/>
                  <a:satMod val="100000"/>
                </a:schemeClr>
              </a:solidFill>
              <a:ln w="19050">
                <a:solidFill>
                  <a:schemeClr val="lt1"/>
                </a:solidFill>
              </a:ln>
              <a:effectLst/>
            </c:spPr>
          </c:dPt>
          <c:dPt>
            <c:idx val="3"/>
            <c:bubble3D val="0"/>
            <c:spPr>
              <a:solidFill>
                <a:schemeClr val="accent4">
                  <a:tint val="100000"/>
                  <a:shade val="100000"/>
                  <a:hueMod val="100000"/>
                  <a:satMod val="100000"/>
                </a:schemeClr>
              </a:solidFill>
              <a:ln w="19050">
                <a:solidFill>
                  <a:schemeClr val="lt1"/>
                </a:solidFill>
              </a:ln>
              <a:effectLst/>
            </c:spPr>
          </c:dPt>
          <c:dPt>
            <c:idx val="4"/>
            <c:bubble3D val="0"/>
            <c:spPr>
              <a:solidFill>
                <a:schemeClr val="accent5">
                  <a:tint val="100000"/>
                  <a:shade val="100000"/>
                  <a:hueMod val="100000"/>
                  <a:satMod val="100000"/>
                </a:schemeClr>
              </a:solidFill>
              <a:ln w="19050">
                <a:solidFill>
                  <a:schemeClr val="lt1"/>
                </a:solidFill>
              </a:ln>
              <a:effectLst/>
            </c:spPr>
          </c:dPt>
          <c:dPt>
            <c:idx val="5"/>
            <c:bubble3D val="0"/>
            <c:spPr>
              <a:solidFill>
                <a:schemeClr val="accent6">
                  <a:tint val="100000"/>
                  <a:shade val="100000"/>
                  <a:hueMod val="100000"/>
                  <a:satMod val="100000"/>
                </a:schemeClr>
              </a:solidFill>
              <a:ln w="19050">
                <a:solidFill>
                  <a:schemeClr val="lt1"/>
                </a:solidFill>
              </a:ln>
              <a:effectLst/>
            </c:spPr>
          </c:dPt>
          <c:dPt>
            <c:idx val="6"/>
            <c:bubble3D val="0"/>
            <c:spPr>
              <a:solidFill>
                <a:schemeClr val="accent1">
                  <a:lumMod val="60000"/>
                  <a:tint val="100000"/>
                  <a:shade val="100000"/>
                  <a:hueMod val="100000"/>
                  <a:satMod val="100000"/>
                </a:schemeClr>
              </a:solidFill>
              <a:ln w="19050">
                <a:solidFill>
                  <a:schemeClr val="lt1"/>
                </a:solidFill>
              </a:ln>
              <a:effectLst/>
            </c:spPr>
          </c:dPt>
          <c:dLbls>
            <c:dLbl>
              <c:idx val="0"/>
              <c:layout>
                <c:manualLayout>
                  <c:x val="0.0130705594762712"/>
                  <c:y val="0.0795449890773335"/>
                </c:manualLayout>
              </c:layout>
              <c:tx>
                <c:rich>
                  <a:bodyPr rot="0" spcFirstLastPara="0" vertOverflow="ellipsis" vert="horz" wrap="square" lIns="38100" tIns="19050" rIns="38100" bIns="19050" anchor="ctr" anchorCtr="1"/>
                  <a:lstStyle/>
                  <a:p>
                    <a:pPr defTabSz="914400">
                      <a:defRPr lang="zh-CN" sz="900" b="0" i="0" u="none" strike="noStrike" kern="1200" baseline="0">
                        <a:ln w="28575" cmpd="sng">
                          <a:noFill/>
                          <a:prstDash val="solid"/>
                        </a:ln>
                        <a:solidFill>
                          <a:schemeClr val="tx1"/>
                        </a:solidFill>
                        <a:latin typeface="+mn-lt"/>
                        <a:ea typeface="+mn-ea"/>
                        <a:cs typeface="+mn-cs"/>
                      </a:defRPr>
                    </a:pPr>
                    <a:r>
                      <a:t>0</a:t>
                    </a:r>
                    <a:r>
                      <a:rPr lang="en-US" altLang="zh-CN"/>
                      <a:t>.38</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0609657315485293"/>
                  <c:y val="0.1220054583439"/>
                </c:manualLayout>
              </c:layout>
              <c:tx>
                <c:rich>
                  <a:bodyPr rot="0" spcFirstLastPara="0" vertOverflow="ellipsis" vert="horz" wrap="square" lIns="38100" tIns="19050" rIns="38100" bIns="19050" anchor="ctr" anchorCtr="1"/>
                  <a:lstStyle/>
                  <a:p>
                    <a:pPr defTabSz="914400">
                      <a:defRPr lang="zh-CN" sz="900" b="0" i="0" u="none" strike="noStrike" kern="1200" baseline="0">
                        <a:ln w="28575" cmpd="sng">
                          <a:noFill/>
                          <a:prstDash val="solid"/>
                        </a:ln>
                        <a:solidFill>
                          <a:schemeClr val="tx1"/>
                        </a:solidFill>
                        <a:latin typeface="+mn-lt"/>
                        <a:ea typeface="+mn-ea"/>
                        <a:cs typeface="+mn-cs"/>
                      </a:defRPr>
                    </a:pPr>
                    <a:r>
                      <a:rPr lang="en-US" altLang="zh-CN"/>
                      <a:t>0.93</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0198164029520717"/>
                  <c:y val="0.0418260889323477"/>
                </c:manualLayout>
              </c:layout>
              <c:tx>
                <c:rich>
                  <a:bodyPr rot="0" spcFirstLastPara="0" vertOverflow="ellipsis" vert="horz" wrap="square" lIns="38100" tIns="19050" rIns="38100" bIns="19050" anchor="ctr" anchorCtr="1"/>
                  <a:lstStyle/>
                  <a:p>
                    <a:pPr defTabSz="914400">
                      <a:defRPr lang="zh-CN" sz="900" b="0" i="0" u="none" strike="noStrike" kern="1200" baseline="0">
                        <a:ln w="28575" cmpd="sng">
                          <a:noFill/>
                          <a:prstDash val="solid"/>
                        </a:ln>
                        <a:solidFill>
                          <a:schemeClr val="tx1"/>
                        </a:solidFill>
                        <a:latin typeface="+mn-lt"/>
                        <a:ea typeface="+mn-ea"/>
                        <a:cs typeface="+mn-cs"/>
                      </a:defRPr>
                    </a:pPr>
                    <a:r>
                      <a:t>0</a:t>
                    </a:r>
                    <a:r>
                      <a:rPr lang="en-US" altLang="zh-CN"/>
                      <a:t>.02</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298340601076383"/>
                  <c:y val="0.182950146287321"/>
                </c:manualLayout>
              </c:layout>
              <c:tx>
                <c:rich>
                  <a:bodyPr rot="0" spcFirstLastPara="0" vertOverflow="ellipsis" vert="horz" wrap="square" lIns="38100" tIns="19050" rIns="38100" bIns="19050" anchor="ctr" anchorCtr="1"/>
                  <a:lstStyle/>
                  <a:p>
                    <a:pPr defTabSz="914400">
                      <a:defRPr lang="zh-CN" sz="900" b="0" i="0" u="none" strike="noStrike" kern="1200" baseline="0">
                        <a:ln w="28575" cmpd="sng">
                          <a:noFill/>
                          <a:prstDash val="solid"/>
                        </a:ln>
                        <a:solidFill>
                          <a:schemeClr val="tx1"/>
                        </a:solidFill>
                        <a:latin typeface="+mn-lt"/>
                        <a:ea typeface="+mn-ea"/>
                        <a:cs typeface="+mn-cs"/>
                      </a:defRPr>
                    </a:pPr>
                    <a:r>
                      <a:rPr lang="en-US" altLang="zh-CN"/>
                      <a:t>3.53</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tx>
                <c:rich>
                  <a:bodyPr rot="0" spcFirstLastPara="0" vertOverflow="ellipsis" vert="horz" wrap="square" lIns="38100" tIns="19050" rIns="38100" bIns="19050" anchor="ctr" anchorCtr="1"/>
                  <a:lstStyle/>
                  <a:p>
                    <a:pPr defTabSz="914400">
                      <a:defRPr lang="zh-CN" sz="900" b="0" i="0" u="none" strike="noStrike" kern="1200" baseline="0">
                        <a:ln w="28575" cmpd="sng">
                          <a:noFill/>
                          <a:prstDash val="solid"/>
                        </a:ln>
                        <a:solidFill>
                          <a:schemeClr val="tx1"/>
                        </a:solidFill>
                        <a:latin typeface="+mn-lt"/>
                        <a:ea typeface="+mn-ea"/>
                        <a:cs typeface="+mn-cs"/>
                      </a:defRPr>
                    </a:pPr>
                    <a:r>
                      <a:t>50</a:t>
                    </a:r>
                    <a:r>
                      <a:rPr lang="en-US" altLang="zh-CN"/>
                      <a:t>.39</a:t>
                    </a:r>
                    <a:r>
                      <a:t>%</a:t>
                    </a:r>
                  </a:p>
                </c:rich>
              </c:tx>
              <c:dLblPos val="inEnd"/>
              <c:showLegendKey val="0"/>
              <c:showVal val="0"/>
              <c:showCatName val="0"/>
              <c:showSerName val="0"/>
              <c:showPercent val="1"/>
              <c:showBubbleSize val="0"/>
              <c:extLst>
                <c:ext xmlns:c15="http://schemas.microsoft.com/office/drawing/2012/chart" uri="{CE6537A1-D6FC-4f65-9D91-7224C49458BB}"/>
              </c:extLst>
            </c:dLbl>
            <c:dLbl>
              <c:idx val="5"/>
              <c:layout/>
              <c:tx>
                <c:rich>
                  <a:bodyPr rot="0" spcFirstLastPara="0" vertOverflow="ellipsis" vert="horz" wrap="square" lIns="38100" tIns="19050" rIns="38100" bIns="19050" anchor="ctr" anchorCtr="1"/>
                  <a:lstStyle/>
                  <a:p>
                    <a:pPr defTabSz="914400">
                      <a:defRPr lang="zh-CN" sz="900" b="0" i="0" u="none" strike="noStrike" kern="1200" baseline="0">
                        <a:ln w="28575" cmpd="sng">
                          <a:noFill/>
                          <a:prstDash val="solid"/>
                        </a:ln>
                        <a:solidFill>
                          <a:schemeClr val="tx1"/>
                        </a:solidFill>
                        <a:latin typeface="+mn-lt"/>
                        <a:ea typeface="+mn-ea"/>
                        <a:cs typeface="+mn-cs"/>
                      </a:defRPr>
                    </a:pPr>
                    <a:r>
                      <a:t>0</a:t>
                    </a:r>
                    <a:r>
                      <a:rPr lang="en-US" altLang="zh-CN"/>
                      <a:t>.08</a:t>
                    </a:r>
                    <a:r>
                      <a:t>%</a:t>
                    </a:r>
                  </a:p>
                </c:rich>
              </c:tx>
              <c:dLblPos val="inEnd"/>
              <c:showLegendKey val="0"/>
              <c:showVal val="0"/>
              <c:showCatName val="0"/>
              <c:showSerName val="0"/>
              <c:showPercent val="1"/>
              <c:showBubbleSize val="0"/>
              <c:extLst>
                <c:ext xmlns:c15="http://schemas.microsoft.com/office/drawing/2012/chart" uri="{CE6537A1-D6FC-4f65-9D91-7224C49458BB}"/>
              </c:extLst>
            </c:dLbl>
            <c:dLbl>
              <c:idx val="6"/>
              <c:layout/>
              <c:tx>
                <c:rich>
                  <a:bodyPr rot="0" spcFirstLastPara="0" vertOverflow="ellipsis" vert="horz" wrap="square" lIns="38100" tIns="19050" rIns="38100" bIns="19050" anchor="ctr" anchorCtr="1"/>
                  <a:lstStyle/>
                  <a:p>
                    <a:pPr defTabSz="914400">
                      <a:defRPr lang="zh-CN" sz="900" b="0" i="0" u="none" strike="noStrike" kern="1200" baseline="0">
                        <a:ln w="28575" cmpd="sng">
                          <a:noFill/>
                          <a:prstDash val="solid"/>
                        </a:ln>
                        <a:solidFill>
                          <a:schemeClr val="tx1"/>
                        </a:solidFill>
                        <a:latin typeface="+mn-lt"/>
                        <a:ea typeface="+mn-ea"/>
                        <a:cs typeface="+mn-cs"/>
                      </a:defRPr>
                    </a:pPr>
                    <a:r>
                      <a:t>4</a:t>
                    </a:r>
                    <a:r>
                      <a:rPr lang="en-US" altLang="zh-CN"/>
                      <a:t>4.67</a:t>
                    </a:r>
                    <a:r>
                      <a:t>%</a:t>
                    </a:r>
                  </a:p>
                </c:rich>
              </c:tx>
              <c:dLblPos val="inEnd"/>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ln w="28575" cmpd="sng">
                      <a:noFill/>
                      <a:prstDash val="solid"/>
                    </a:ln>
                    <a:solidFill>
                      <a:schemeClr val="tx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科学技术（类）支出</c:v>
                </c:pt>
                <c:pt idx="1">
                  <c:v>社会保障和就业（类）支出</c:v>
                </c:pt>
                <c:pt idx="2">
                  <c:v>医疗卫生与计划生育支出</c:v>
                </c:pt>
                <c:pt idx="3">
                  <c:v>城乡社区支出</c:v>
                </c:pt>
                <c:pt idx="4">
                  <c:v>农林水支出</c:v>
                </c:pt>
                <c:pt idx="5">
                  <c:v>资源勘探信息等支出</c:v>
                </c:pt>
                <c:pt idx="6">
                  <c:v>其他支出</c:v>
                </c:pt>
              </c:strCache>
            </c:strRef>
          </c:cat>
          <c:val>
            <c:numRef>
              <c:f>Sheet1!$B$2:$B$8</c:f>
              <c:numCache>
                <c:formatCode>General</c:formatCode>
                <c:ptCount val="7"/>
                <c:pt idx="0">
                  <c:v>1</c:v>
                </c:pt>
                <c:pt idx="1">
                  <c:v>58.17</c:v>
                </c:pt>
                <c:pt idx="2">
                  <c:v>23.26</c:v>
                </c:pt>
                <c:pt idx="3">
                  <c:v>217.86</c:v>
                </c:pt>
                <c:pt idx="4">
                  <c:v>3114.53</c:v>
                </c:pt>
                <c:pt idx="5">
                  <c:v>4.84</c:v>
                </c:pt>
                <c:pt idx="6">
                  <c:v>2760.71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900" b="0" i="0" u="none" strike="noStrike" kern="1200" baseline="0">
                <a:ln w="28575" cmpd="sng">
                  <a:noFill/>
                  <a:prstDash val="solid"/>
                </a:ln>
                <a:solidFill>
                  <a:schemeClr val="tx1"/>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ln w="28575" cmpd="sng">
                  <a:noFill/>
                  <a:prstDash val="solid"/>
                </a:ln>
                <a:solidFill>
                  <a:schemeClr val="tx1"/>
                </a:solidFill>
                <a:latin typeface="+mn-lt"/>
                <a:ea typeface="+mn-ea"/>
                <a:cs typeface="+mn-cs"/>
              </a:defRPr>
            </a:pPr>
          </a:p>
        </c:txPr>
      </c:legendEntry>
      <c:legendEntry>
        <c:idx val="2"/>
        <c:txPr>
          <a:bodyPr rot="0" spcFirstLastPara="0" vertOverflow="ellipsis" vert="horz" wrap="square" anchor="ctr" anchorCtr="1"/>
          <a:lstStyle/>
          <a:p>
            <a:pPr>
              <a:defRPr lang="zh-CN" sz="900" b="0" i="0" u="none" strike="noStrike" kern="1200" baseline="0">
                <a:ln w="28575" cmpd="sng">
                  <a:noFill/>
                  <a:prstDash val="solid"/>
                </a:ln>
                <a:solidFill>
                  <a:schemeClr val="tx1"/>
                </a:solidFill>
                <a:latin typeface="+mn-lt"/>
                <a:ea typeface="+mn-ea"/>
                <a:cs typeface="+mn-cs"/>
              </a:defRPr>
            </a:pPr>
          </a:p>
        </c:txPr>
      </c:legendEntry>
      <c:legendEntry>
        <c:idx val="3"/>
        <c:txPr>
          <a:bodyPr rot="0" spcFirstLastPara="0" vertOverflow="ellipsis" vert="horz" wrap="square" anchor="ctr" anchorCtr="1"/>
          <a:lstStyle/>
          <a:p>
            <a:pPr>
              <a:defRPr lang="zh-CN" sz="900" b="0" i="0" u="none" strike="noStrike" kern="1200" baseline="0">
                <a:ln w="28575" cmpd="sng">
                  <a:noFill/>
                  <a:prstDash val="solid"/>
                </a:ln>
                <a:solidFill>
                  <a:schemeClr val="tx1"/>
                </a:solidFill>
                <a:latin typeface="+mn-lt"/>
                <a:ea typeface="+mn-ea"/>
                <a:cs typeface="+mn-cs"/>
              </a:defRPr>
            </a:pPr>
          </a:p>
        </c:txPr>
      </c:legendEntry>
      <c:legendEntry>
        <c:idx val="4"/>
        <c:txPr>
          <a:bodyPr rot="0" spcFirstLastPara="0" vertOverflow="ellipsis" vert="horz" wrap="square" anchor="ctr" anchorCtr="1"/>
          <a:lstStyle/>
          <a:p>
            <a:pPr>
              <a:defRPr lang="zh-CN" sz="900" b="0" i="0" u="none" strike="noStrike" kern="1200" baseline="0">
                <a:ln w="28575" cmpd="sng">
                  <a:noFill/>
                  <a:prstDash val="solid"/>
                </a:ln>
                <a:solidFill>
                  <a:schemeClr val="tx1"/>
                </a:solidFill>
                <a:latin typeface="+mn-lt"/>
                <a:ea typeface="+mn-ea"/>
                <a:cs typeface="+mn-cs"/>
              </a:defRPr>
            </a:pPr>
          </a:p>
        </c:txPr>
      </c:legendEntry>
      <c:legendEntry>
        <c:idx val="5"/>
        <c:txPr>
          <a:bodyPr rot="0" spcFirstLastPara="0" vertOverflow="ellipsis" vert="horz" wrap="square" anchor="ctr" anchorCtr="1"/>
          <a:lstStyle/>
          <a:p>
            <a:pPr>
              <a:defRPr lang="zh-CN" sz="900" b="0" i="0" u="none" strike="noStrike" kern="1200" baseline="0">
                <a:ln w="28575" cmpd="sng">
                  <a:noFill/>
                  <a:prstDash val="solid"/>
                </a:ln>
                <a:solidFill>
                  <a:schemeClr val="tx1"/>
                </a:solidFill>
                <a:latin typeface="+mn-lt"/>
                <a:ea typeface="+mn-ea"/>
                <a:cs typeface="+mn-cs"/>
              </a:defRPr>
            </a:pPr>
          </a:p>
        </c:txPr>
      </c:legendEntry>
      <c:legendEntry>
        <c:idx val="6"/>
        <c:txPr>
          <a:bodyPr rot="0" spcFirstLastPara="0" vertOverflow="ellipsis" vert="horz" wrap="square" anchor="ctr" anchorCtr="1"/>
          <a:lstStyle/>
          <a:p>
            <a:pPr>
              <a:defRPr lang="zh-CN" sz="900" b="0" i="0" u="none" strike="noStrike" kern="1200" baseline="0">
                <a:ln w="28575" cmpd="sng">
                  <a:noFill/>
                  <a:prstDash val="solid"/>
                </a:ln>
                <a:solidFill>
                  <a:schemeClr val="tx1"/>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ln w="28575" cmpd="sng">
                <a:noFill/>
                <a:prstDash val="solid"/>
              </a:ln>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ln w="28575" cmpd="sng">
            <a:noFill/>
            <a:prstDash val="solid"/>
          </a:ln>
          <a:solidFill>
            <a:schemeClr val="tx1"/>
          </a:solidFill>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CoverPageProperties xmlns="http://schemas.microsoft.com/office/2006/coverPageProps">
  <PublishDate>2017</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1D59DA58-3CA2-4856-9A51-CD581AE1A76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1657</Words>
  <Characters>9446</Characters>
  <Lines>78</Lines>
  <Paragraphs>22</Paragraphs>
  <TotalTime>18</TotalTime>
  <ScaleCrop>false</ScaleCrop>
  <LinksUpToDate>false</LinksUpToDate>
  <CharactersWithSpaces>11081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2019-11-12T08:25:00Z</cp:lastPrinted>
  <dcterms:modified xsi:type="dcterms:W3CDTF">2021-05-31T06:10:23Z</dcterms:modified>
  <dc:subject>石家庄市xxx部门</dc:subject>
  <dc:title>2017年度部门决算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07F8C357C9AA4531B2F580A82A532781</vt:lpwstr>
  </property>
</Properties>
</file>