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ind w:firstLine="1920" w:firstLineChars="200"/>
        <w:jc w:val="center"/>
        <w:rPr>
          <w:rFonts w:ascii="黑体" w:eastAsia="黑体"/>
          <w:color w:val="F79646" w:themeColor="accent6"/>
          <w:sz w:val="96"/>
          <w:szCs w:val="96"/>
          <w14:textFill>
            <w14:solidFill>
              <w14:schemeClr w14:val="accent6"/>
            </w14:solidFill>
          </w14:textFill>
        </w:rPr>
        <w:sectPr>
          <w:pgSz w:w="11906" w:h="16838"/>
          <w:pgMar w:top="2041" w:right="1531" w:bottom="2041" w:left="1531" w:header="851" w:footer="992" w:gutter="0"/>
          <w:cols w:space="0" w:num="1"/>
          <w:titlePg/>
          <w:docGrid w:type="lines" w:linePitch="312" w:charSpace="0"/>
        </w:sectPr>
      </w:pPr>
      <w:r>
        <w:rPr>
          <w:sz w:val="96"/>
        </w:rPr>
        <mc:AlternateContent>
          <mc:Choice Requires="wps">
            <w:drawing>
              <wp:anchor distT="0" distB="0" distL="114300" distR="114300" simplePos="0" relativeHeight="251666432" behindDoc="0" locked="0" layoutInCell="1" allowOverlap="1">
                <wp:simplePos x="0" y="0"/>
                <wp:positionH relativeFrom="column">
                  <wp:posOffset>698500</wp:posOffset>
                </wp:positionH>
                <wp:positionV relativeFrom="paragraph">
                  <wp:posOffset>7749540</wp:posOffset>
                </wp:positionV>
                <wp:extent cx="4086225" cy="742950"/>
                <wp:effectExtent l="0" t="0" r="0" b="0"/>
                <wp:wrapNone/>
                <wp:docPr id="8" name="文本框 8"/>
                <wp:cNvGraphicFramePr/>
                <a:graphic xmlns:a="http://schemas.openxmlformats.org/drawingml/2006/main">
                  <a:graphicData uri="http://schemas.microsoft.com/office/word/2010/wordprocessingShape">
                    <wps:wsp>
                      <wps:cNvSpPr txBox="1"/>
                      <wps:spPr>
                        <a:xfrm>
                          <a:off x="1670685" y="9045575"/>
                          <a:ext cx="40862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hint="eastAsia" w:ascii="楷体_GB2312" w:hAnsi="楷体_GB2312" w:eastAsia="楷体_GB2312" w:cs="楷体_GB2312"/>
                                <w:color w:val="000000" w:themeColor="text1"/>
                                <w:kern w:val="0"/>
                                <w:sz w:val="44"/>
                                <w:szCs w:val="44"/>
                                <w14:textFill>
                                  <w14:solidFill>
                                    <w14:schemeClr w14:val="tx1"/>
                                  </w14:solidFill>
                                </w14:textFill>
                              </w:rPr>
                              <w:t>二〇一九年十一月</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pt;margin-top:610.2pt;height:58.5pt;width:321.75pt;z-index:251666432;mso-width-relative:page;mso-height-relative:page;" filled="f" stroked="f" coordsize="21600,21600" o:gfxdata="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ZcdLzdAAAADQEAAA8AAAAAAAAAAQAgAAAAIgAAAGRycy9kb3ducmV2LnhtbFBL&#10;AQIUABQAAAAIAIdO4kDDjGpYKgIAACQEAAAOAAAAAAAAAAEAIAAAACwBAABkcnMvZTJvRG9jLnht&#10;bFBLBQYAAAAABgAGAFkBAADIBQAAAAA=&#10;">
                <v:fill on="f" focussize="0,0"/>
                <v:stroke on="f" weight="0.5pt"/>
                <v:imagedata o:title=""/>
                <o:lock v:ext="edit" aspectratio="f"/>
                <v:textbox>
                  <w:txbxContent>
                    <w:p>
                      <w:pPr>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hint="eastAsia" w:ascii="楷体_GB2312" w:hAnsi="楷体_GB2312" w:eastAsia="楷体_GB2312" w:cs="楷体_GB2312"/>
                          <w:color w:val="000000" w:themeColor="text1"/>
                          <w:kern w:val="0"/>
                          <w:sz w:val="44"/>
                          <w:szCs w:val="44"/>
                          <w14:textFill>
                            <w14:solidFill>
                              <w14:schemeClr w14:val="tx1"/>
                            </w14:solidFill>
                          </w14:textFill>
                        </w:rPr>
                        <w:t>二〇一九年十一月</w:t>
                      </w:r>
                    </w:p>
                    <w:p/>
                  </w:txbxContent>
                </v:textbox>
              </v:shape>
            </w:pict>
          </mc:Fallback>
        </mc:AlternateContent>
      </w:r>
      <w:r>
        <w:rPr>
          <w:color w:val="F79646" w:themeColor="accent6"/>
          <w:sz w:val="96"/>
          <w14:textFill>
            <w14:solidFill>
              <w14:schemeClr w14:val="accent6"/>
            </w14:solidFill>
          </w14:textFill>
        </w:rPr>
        <mc:AlternateContent>
          <mc:Choice Requires="wps">
            <w:drawing>
              <wp:anchor distT="0" distB="0" distL="114300" distR="114300" simplePos="0" relativeHeight="251665408" behindDoc="0" locked="0" layoutInCell="1" allowOverlap="1">
                <wp:simplePos x="0" y="0"/>
                <wp:positionH relativeFrom="column">
                  <wp:posOffset>1441450</wp:posOffset>
                </wp:positionH>
                <wp:positionV relativeFrom="paragraph">
                  <wp:posOffset>3401695</wp:posOffset>
                </wp:positionV>
                <wp:extent cx="4591050" cy="0"/>
                <wp:effectExtent l="0" t="0" r="0" b="0"/>
                <wp:wrapNone/>
                <wp:docPr id="6" name="直接连接符 6"/>
                <wp:cNvGraphicFramePr/>
                <a:graphic xmlns:a="http://schemas.openxmlformats.org/drawingml/2006/main">
                  <a:graphicData uri="http://schemas.microsoft.com/office/word/2010/wordprocessingShape">
                    <wps:wsp>
                      <wps:cNvCnPr/>
                      <wps:spPr>
                        <a:xfrm>
                          <a:off x="2413635" y="4697730"/>
                          <a:ext cx="4591050"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3.5pt;margin-top:267.85pt;height:0pt;width:361.5pt;z-index:251665408;mso-width-relative:page;mso-height-relative:page;" filled="f" stroked="t" coordsize="21600,21600" o:gfxdata="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wM7pnWAAAACwEAAA8AAAAAAAAAAQAgAAAAIgAAAGRy&#10;cy9kb3ducmV2LnhtbFBLAQIUABQAAAAIAIdO4kDjLQSxzgEAAFgDAAAOAAAAAAAAAAEAIAAAACUB&#10;AABkcnMvZTJvRG9jLnhtbFBLBQYAAAAABgAGAFkBAABlBQAAAAA=&#10;">
                <v:fill on="f" focussize="0,0"/>
                <v:stroke color="#FFC000 [3204]" joinstyle="round"/>
                <v:imagedata o:title=""/>
                <o:lock v:ext="edit" aspectratio="f"/>
              </v:line>
            </w:pict>
          </mc:Fallback>
        </mc:AlternateContent>
      </w:r>
      <w:r>
        <w:rPr>
          <w:color w:val="F79646" w:themeColor="accent6"/>
          <w:sz w:val="96"/>
          <w14:textFill>
            <w14:solidFill>
              <w14:schemeClr w14:val="accent6"/>
            </w14:solidFill>
          </w14:textFill>
        </w:rPr>
        <mc:AlternateContent>
          <mc:Choice Requires="wps">
            <w:drawing>
              <wp:anchor distT="0" distB="0" distL="114300" distR="114300" simplePos="0" relativeHeight="251664384" behindDoc="0" locked="0" layoutInCell="1" allowOverlap="1">
                <wp:simplePos x="0" y="0"/>
                <wp:positionH relativeFrom="column">
                  <wp:posOffset>-396875</wp:posOffset>
                </wp:positionH>
                <wp:positionV relativeFrom="paragraph">
                  <wp:posOffset>3382645</wp:posOffset>
                </wp:positionV>
                <wp:extent cx="361950" cy="0"/>
                <wp:effectExtent l="0" t="0" r="0" b="0"/>
                <wp:wrapNone/>
                <wp:docPr id="5" name="直接连接符 5"/>
                <wp:cNvGraphicFramePr/>
                <a:graphic xmlns:a="http://schemas.openxmlformats.org/drawingml/2006/main">
                  <a:graphicData uri="http://schemas.microsoft.com/office/word/2010/wordprocessingShape">
                    <wps:wsp>
                      <wps:cNvCnPr/>
                      <wps:spPr>
                        <a:xfrm>
                          <a:off x="575310" y="4678680"/>
                          <a:ext cx="361950"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25pt;margin-top:266.35pt;height:0pt;width:28.5pt;z-index:251664384;mso-width-relative:page;mso-height-relative:page;" filled="f" stroked="t" coordsize="21600,21600" o:gfxdata="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4cWJ1QAAAAoBAAAPAAAAAAAAAAEAIAAAACIAAABkcnMvZG93&#10;bnJldi54bWxQSwECFAAUAAAACACHTuJAS75vF8oBAABWAwAADgAAAAAAAAABACAAAAAkAQAAZHJz&#10;L2Uyb0RvYy54bWxQSwUGAAAAAAYABgBZAQAAYAUAAAAA&#10;">
                <v:fill on="f" focussize="0,0"/>
                <v:stroke color="#FFC000 [3204]" joinstyle="round"/>
                <v:imagedata o:title=""/>
                <o:lock v:ext="edit" aspectratio="f"/>
              </v:line>
            </w:pict>
          </mc:Fallback>
        </mc:AlternateContent>
      </w:r>
      <w:r>
        <w:rPr>
          <w:color w:val="F79646" w:themeColor="accent6"/>
          <w:sz w:val="96"/>
          <w14:textFill>
            <w14:solidFill>
              <w14:schemeClr w14:val="accent6"/>
            </w14:solidFill>
          </w14:textFill>
        </w:rPr>
        <mc:AlternateContent>
          <mc:Choice Requires="wps">
            <w:drawing>
              <wp:anchor distT="0" distB="0" distL="114300" distR="114300" simplePos="0" relativeHeight="251663360" behindDoc="0" locked="0" layoutInCell="1" allowOverlap="1">
                <wp:simplePos x="0" y="0"/>
                <wp:positionH relativeFrom="column">
                  <wp:posOffset>1440815</wp:posOffset>
                </wp:positionH>
                <wp:positionV relativeFrom="paragraph">
                  <wp:posOffset>3354070</wp:posOffset>
                </wp:positionV>
                <wp:extent cx="4925060" cy="828040"/>
                <wp:effectExtent l="0" t="0" r="0" b="0"/>
                <wp:wrapNone/>
                <wp:docPr id="3" name="文本框 3"/>
                <wp:cNvGraphicFramePr/>
                <a:graphic xmlns:a="http://schemas.openxmlformats.org/drawingml/2006/main">
                  <a:graphicData uri="http://schemas.microsoft.com/office/word/2010/wordprocessingShape">
                    <wps:wsp>
                      <wps:cNvSpPr txBox="1"/>
                      <wps:spPr>
                        <a:xfrm>
                          <a:off x="3404235" y="4563745"/>
                          <a:ext cx="4925060" cy="828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思源黑体 HW Bold" w:hAnsi="思源黑体 HW Bold" w:eastAsia="思源黑体 HW Bold"/>
                                <w:color w:val="000000" w:themeColor="text1"/>
                                <w:kern w:val="24"/>
                                <w:sz w:val="92"/>
                                <w:szCs w:val="92"/>
                                <w14:textFill>
                                  <w14:solidFill>
                                    <w14:schemeClr w14:val="tx1"/>
                                  </w14:solidFill>
                                </w14:textFill>
                              </w:rPr>
                              <w:t>部门决算公开文本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3.45pt;margin-top:264.1pt;height:65.2pt;width:387.8pt;z-index:251663360;mso-width-relative:page;mso-height-relative:page;" filled="f" stroked="f" coordsize="21600,21600" o:gfxdata="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JN86NsAAAAMAQAADwAAAAAAAAABACAAAAAiAAAAZHJzL2Rvd25yZXYueG1s&#10;UEsBAhQAFAAAAAgAh07iQERVPiQuAgAAJAQAAA4AAAAAAAAAAQAgAAAAKgEAAGRycy9lMm9Eb2Mu&#10;eG1sUEsFBgAAAAAGAAYAWQEAAMoFAAAAAA==&#10;">
                <v:fill on="f" focussize="0,0"/>
                <v:stroke on="f" weight="0.5pt"/>
                <v:imagedata o:title=""/>
                <o:lock v:ext="edit" aspectratio="f"/>
                <v:textbox>
                  <w:txbxContent>
                    <w:p>
                      <w:r>
                        <w:rPr>
                          <w:rFonts w:hint="eastAsia" w:ascii="思源黑体 HW Bold" w:hAnsi="思源黑体 HW Bold" w:eastAsia="思源黑体 HW Bold"/>
                          <w:color w:val="000000" w:themeColor="text1"/>
                          <w:kern w:val="24"/>
                          <w:sz w:val="92"/>
                          <w:szCs w:val="92"/>
                          <w14:textFill>
                            <w14:solidFill>
                              <w14:schemeClr w14:val="tx1"/>
                            </w14:solidFill>
                          </w14:textFill>
                        </w:rPr>
                        <w:t>部门决算公开文本</w:t>
                      </w:r>
                    </w:p>
                  </w:txbxContent>
                </v:textbox>
              </v:shape>
            </w:pict>
          </mc:Fallback>
        </mc:AlternateContent>
      </w:r>
      <w:r>
        <w:rPr>
          <w:color w:val="F79646" w:themeColor="accent6"/>
          <w:sz w:val="96"/>
          <w14:textFill>
            <w14:solidFill>
              <w14:schemeClr w14:val="accent6"/>
            </w14:solidFill>
          </w14:textFill>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3105785</wp:posOffset>
                </wp:positionV>
                <wp:extent cx="1304925" cy="1294765"/>
                <wp:effectExtent l="12700" t="12700" r="15875" b="26035"/>
                <wp:wrapNone/>
                <wp:docPr id="2" name="椭圆 2"/>
                <wp:cNvGraphicFramePr/>
                <a:graphic xmlns:a="http://schemas.openxmlformats.org/drawingml/2006/main">
                  <a:graphicData uri="http://schemas.microsoft.com/office/word/2010/wordprocessingShape">
                    <wps:wsp>
                      <wps:cNvSpPr/>
                      <wps:spPr>
                        <a:xfrm>
                          <a:off x="1284605" y="3973195"/>
                          <a:ext cx="1304925" cy="1294765"/>
                        </a:xfrm>
                        <a:prstGeom prst="ellipse">
                          <a:avLst/>
                        </a:prstGeom>
                        <a:solidFill>
                          <a:srgbClr val="00206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360" w:lineRule="auto"/>
                              <w:jc w:val="center"/>
                              <w:rPr>
                                <w:rFonts w:ascii="Yu Gothic UI Semibold" w:hAnsi="Yu Gothic UI Semibold" w:cstheme="minorBidi"/>
                                <w:color w:val="FFFFFF" w:themeColor="background1"/>
                                <w:kern w:val="24"/>
                                <w:sz w:val="44"/>
                                <w:szCs w:val="44"/>
                                <w14:textFill>
                                  <w14:solidFill>
                                    <w14:schemeClr w14:val="bg1"/>
                                  </w14:solidFill>
                                </w14:textFill>
                              </w:rPr>
                            </w:pPr>
                            <w:r>
                              <w:rPr>
                                <w:rFonts w:hint="eastAsia" w:ascii="Yu Gothic UI Semibold" w:hAnsi="Yu Gothic UI Semibold" w:cstheme="minorBidi"/>
                                <w:color w:val="FFFFFF" w:themeColor="background1"/>
                                <w:kern w:val="24"/>
                                <w:sz w:val="44"/>
                                <w:szCs w:val="44"/>
                                <w14:textFill>
                                  <w14:solidFill>
                                    <w14:schemeClr w14:val="bg1"/>
                                  </w14:solidFill>
                                </w14:textFill>
                              </w:rPr>
                              <w:t>2018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7pt;margin-top:244.55pt;height:101.95pt;width:102.75pt;z-index:251663360;v-text-anchor:middle;mso-width-relative:page;mso-height-relative:page;" fillcolor="#002060" filled="t" stroked="t" coordsize="21600,21600" o:gfxdata="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TdpvC2gAAAAoBAAAPAAAAAAAAAAEAIAAAACIAAABkcnMvZG93bnJldi54bWxQSwEC&#10;FAAUAAAACACHTuJAZMFyD2QCAACqBAAADgAAAAAAAAABACAAAAApAQAAZHJzL2Uyb0RvYy54bWxQ&#10;SwUGAAAAAAYABgBZAQAA/wUAAAAA&#10;">
                <v:fill on="t" focussize="0,0"/>
                <v:stroke weight="2pt" color="#1F497D [3215]" joinstyle="round"/>
                <v:imagedata o:title=""/>
                <o:lock v:ext="edit" aspectratio="f"/>
                <v:textbox>
                  <w:txbxContent>
                    <w:p>
                      <w:pPr>
                        <w:spacing w:after="0" w:line="360" w:lineRule="auto"/>
                        <w:jc w:val="center"/>
                        <w:rPr>
                          <w:rFonts w:ascii="Yu Gothic UI Semibold" w:hAnsi="Yu Gothic UI Semibold" w:cstheme="minorBidi"/>
                          <w:color w:val="FFFFFF" w:themeColor="background1"/>
                          <w:kern w:val="24"/>
                          <w:sz w:val="44"/>
                          <w:szCs w:val="44"/>
                          <w14:textFill>
                            <w14:solidFill>
                              <w14:schemeClr w14:val="bg1"/>
                            </w14:solidFill>
                          </w14:textFill>
                        </w:rPr>
                      </w:pPr>
                      <w:r>
                        <w:rPr>
                          <w:rFonts w:hint="eastAsia" w:ascii="Yu Gothic UI Semibold" w:hAnsi="Yu Gothic UI Semibold" w:cstheme="minorBidi"/>
                          <w:color w:val="FFFFFF" w:themeColor="background1"/>
                          <w:kern w:val="24"/>
                          <w:sz w:val="44"/>
                          <w:szCs w:val="44"/>
                          <w14:textFill>
                            <w14:solidFill>
                              <w14:schemeClr w14:val="bg1"/>
                            </w14:solidFill>
                          </w14:textFill>
                        </w:rPr>
                        <w:t>2018</w:t>
                      </w:r>
                    </w:p>
                  </w:txbxContent>
                </v:textbox>
              </v:shape>
            </w:pict>
          </mc:Fallback>
        </mc:AlternateContent>
      </w:r>
    </w:p>
    <w:p>
      <w:pPr>
        <w:widowControl/>
        <w:spacing w:line="1200" w:lineRule="exact"/>
        <w:ind w:firstLine="1920" w:firstLineChars="200"/>
        <w:jc w:val="center"/>
        <w:rPr>
          <w:rFonts w:ascii="黑体" w:eastAsia="黑体"/>
          <w:color w:val="000000"/>
          <w:sz w:val="96"/>
          <w:szCs w:val="96"/>
        </w:rPr>
      </w:pPr>
    </w:p>
    <w:p>
      <w:pPr>
        <w:widowControl/>
        <w:spacing w:line="1200" w:lineRule="exact"/>
        <w:ind w:firstLine="1920" w:firstLineChars="200"/>
        <w:jc w:val="center"/>
        <w:rPr>
          <w:rFonts w:ascii="黑体" w:eastAsia="黑体"/>
          <w:color w:val="000000"/>
          <w:sz w:val="96"/>
          <w:szCs w:val="96"/>
        </w:rPr>
      </w:pPr>
    </w:p>
    <w:p>
      <w:pPr>
        <w:spacing w:after="0" w:line="240" w:lineRule="auto"/>
        <w:rPr>
          <w:rFonts w:ascii="黑体" w:hAnsi="黑体" w:eastAsia="黑体" w:cs="黑体"/>
          <w:b/>
          <w:bCs/>
          <w:sz w:val="72"/>
          <w:szCs w:val="96"/>
        </w:rPr>
      </w:pPr>
      <w:r>
        <w:rPr>
          <w:rFonts w:hint="eastAsia" w:ascii="黑体" w:hAnsi="黑体" w:eastAsia="黑体" w:cs="黑体"/>
          <w:b/>
          <w:bCs/>
          <w:sz w:val="72"/>
          <w:szCs w:val="96"/>
        </w:rPr>
        <w:t>2018年度部门决算公开文本</w:t>
      </w:r>
    </w:p>
    <w:p>
      <w:pPr>
        <w:widowControl/>
        <w:ind w:firstLine="1440" w:firstLineChars="200"/>
        <w:jc w:val="center"/>
        <w:rPr>
          <w:rFonts w:ascii="黑体" w:eastAsia="黑体"/>
          <w:color w:val="002060"/>
          <w:sz w:val="72"/>
          <w:szCs w:val="72"/>
        </w:rPr>
      </w:pPr>
    </w:p>
    <w:p>
      <w:pPr>
        <w:widowControl/>
        <w:ind w:firstLine="1446" w:firstLineChars="200"/>
        <w:jc w:val="center"/>
        <w:rPr>
          <w:rFonts w:ascii="黑体" w:eastAsia="黑体"/>
          <w:b/>
          <w:sz w:val="72"/>
          <w:szCs w:val="72"/>
        </w:rPr>
      </w:pPr>
    </w:p>
    <w:p>
      <w:pPr>
        <w:widowControl/>
        <w:ind w:firstLine="1446" w:firstLineChars="200"/>
        <w:jc w:val="center"/>
        <w:rPr>
          <w:rFonts w:ascii="黑体" w:eastAsia="黑体"/>
          <w:b/>
          <w:sz w:val="72"/>
          <w:szCs w:val="72"/>
        </w:rPr>
      </w:pPr>
    </w:p>
    <w:p>
      <w:pPr>
        <w:widowControl/>
        <w:ind w:firstLine="1446" w:firstLineChars="200"/>
        <w:jc w:val="center"/>
        <w:rPr>
          <w:rFonts w:ascii="黑体" w:eastAsia="黑体"/>
          <w:b/>
          <w:sz w:val="72"/>
          <w:szCs w:val="72"/>
        </w:rPr>
      </w:pPr>
    </w:p>
    <w:p>
      <w:pPr>
        <w:widowControl/>
        <w:ind w:firstLine="1446" w:firstLineChars="200"/>
        <w:jc w:val="center"/>
        <w:rPr>
          <w:rFonts w:ascii="黑体" w:eastAsia="黑体"/>
          <w:b/>
          <w:sz w:val="72"/>
          <w:szCs w:val="72"/>
        </w:rPr>
      </w:pPr>
    </w:p>
    <w:p>
      <w:pPr>
        <w:widowControl/>
        <w:ind w:firstLine="1446" w:firstLineChars="200"/>
        <w:jc w:val="center"/>
        <w:rPr>
          <w:rFonts w:ascii="黑体" w:eastAsia="黑体"/>
          <w:b/>
          <w:sz w:val="72"/>
          <w:szCs w:val="72"/>
        </w:rPr>
      </w:pPr>
    </w:p>
    <w:p>
      <w:pPr>
        <w:widowControl/>
        <w:ind w:firstLine="1446" w:firstLineChars="200"/>
        <w:jc w:val="center"/>
        <w:rPr>
          <w:rFonts w:ascii="黑体" w:eastAsia="黑体"/>
          <w:b/>
          <w:sz w:val="72"/>
          <w:szCs w:val="72"/>
        </w:rPr>
      </w:pPr>
    </w:p>
    <w:p>
      <w:pPr>
        <w:snapToGrid w:val="0"/>
        <w:spacing w:after="0" w:line="240" w:lineRule="auto"/>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ascii="楷体_GB2312" w:hAnsi="楷体_GB2312" w:eastAsia="楷体_GB2312" w:cs="楷体_GB2312"/>
          <w:color w:val="000000" w:themeColor="text1"/>
          <w:kern w:val="0"/>
          <w:sz w:val="44"/>
          <w:szCs w:val="44"/>
          <w14:textFill>
            <w14:solidFill>
              <w14:schemeClr w14:val="tx1"/>
            </w14:solidFill>
          </w14:textFill>
        </w:rPr>
        <w:t>廊坊市</w:t>
      </w:r>
      <w:r>
        <w:rPr>
          <w:rFonts w:hint="eastAsia" w:ascii="楷体_GB2312" w:hAnsi="楷体_GB2312" w:eastAsia="楷体_GB2312" w:cs="楷体_GB2312"/>
          <w:color w:val="000000" w:themeColor="text1"/>
          <w:kern w:val="0"/>
          <w:sz w:val="44"/>
          <w:szCs w:val="44"/>
          <w14:textFill>
            <w14:solidFill>
              <w14:schemeClr w14:val="tx1"/>
            </w14:solidFill>
          </w14:textFill>
        </w:rPr>
        <w:t>大城县人力资源和社会保障局</w:t>
      </w:r>
    </w:p>
    <w:p>
      <w:pPr>
        <w:snapToGrid w:val="0"/>
        <w:spacing w:after="0" w:line="240" w:lineRule="auto"/>
        <w:jc w:val="center"/>
        <w:rPr>
          <w:rFonts w:ascii="楷体_GB2312" w:hAnsi="楷体_GB2312" w:eastAsia="楷体_GB2312" w:cs="楷体_GB2312"/>
          <w:color w:val="000000" w:themeColor="text1"/>
          <w:kern w:val="0"/>
          <w:sz w:val="44"/>
          <w:szCs w:val="44"/>
          <w14:textFill>
            <w14:solidFill>
              <w14:schemeClr w14:val="tx1"/>
            </w14:solidFill>
          </w14:textFill>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textFill>
            <w14:solidFill>
              <w14:schemeClr w14:val="tx1"/>
            </w14:solidFill>
          </w14:textFill>
        </w:rPr>
        <w:t>二〇一九年十一月</w:t>
      </w:r>
    </w:p>
    <w:p>
      <w:pPr>
        <w:spacing w:before="624" w:beforeLines="200" w:after="0" w:line="1000" w:lineRule="exact"/>
        <w:ind w:firstLine="960" w:firstLineChars="200"/>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第一部分</w:t>
      </w:r>
      <w:r>
        <w:rPr>
          <w:rFonts w:hint="eastAsia" w:eastAsia="黑体"/>
          <w:sz w:val="32"/>
          <w:szCs w:val="32"/>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大城县人力资源和社会保障局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rPr>
        <w:t xml:space="preserve">   </w:t>
      </w:r>
      <w:r>
        <w:rPr>
          <w:rFonts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ind w:firstLine="420" w:firstLineChars="200"/>
      </w:pPr>
      <w:r>
        <w:br w:type="page"/>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widowControl/>
        <w:jc w:val="both"/>
        <w:rPr>
          <w:color w:val="000000"/>
          <w:sz w:val="96"/>
          <w:szCs w:val="96"/>
        </w:rPr>
      </w:pPr>
      <w:r>
        <w:rPr>
          <w:rFonts w:hint="eastAsia" w:ascii="黑体" w:eastAsia="黑体"/>
          <w:color w:val="000000"/>
          <w:sz w:val="96"/>
          <w:szCs w:val="96"/>
        </w:rPr>
        <w:t>第一部分  部门概况</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hd w:val="clear" w:color="auto" w:fill="FFFFFF"/>
        <w:spacing w:line="58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一）贯彻落实国家、省、市有关人力资源和社会保障的政策法规、实施办法；拟订全县人力资源和社会保障事业发展规划、政策办法并组织监督实施；负责全县人力资源和社会保障的宣传和舆情研究工作；负责人力资源和社会保障政策的咨询服务。</w:t>
      </w:r>
    </w:p>
    <w:p>
      <w:pPr>
        <w:widowControl/>
        <w:shd w:val="clear" w:color="auto" w:fill="FFFFFF"/>
        <w:spacing w:line="58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（二）拟订全县人力资源市场发展规划和人力资源流动办法，建立统一规范的人力资源市场，促进人力资源合理流动、有效配置；拟订机构改革人员定岗和分流措施并组织实施。</w:t>
      </w:r>
    </w:p>
    <w:p>
      <w:pPr>
        <w:widowControl/>
        <w:shd w:val="clear" w:color="auto" w:fill="FFFFFF"/>
        <w:spacing w:line="58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三）负责促进就业工作，拟订统筹城乡的就业发展规划和政策，完善公共就业服务体系；拟订就业援助制度，完善职业资格制度，统筹建立面向城乡劳动者的职业培训制度；牵头拟订高校毕业生就业措施，负责中专以上毕业生的就业工作；会同有关部门拟订高技能人才、农村实用人才培养和激励办法。</w:t>
      </w:r>
    </w:p>
    <w:p>
      <w:pPr>
        <w:widowControl/>
        <w:shd w:val="clear" w:color="auto" w:fill="FFFFFF"/>
        <w:spacing w:line="58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四）统筹建立覆盖城乡的社会保障体系。执行养老、失业、医疗、工伤、生育等社会保险各项法律法规政策及相关政策；拟定城乡社会保险及补充保险政策和标准，组织实施统一的社会保险关系转续办法和基金统筹办法，负责对全县社会保险基金收缴、支付、管理工作实施行政监督；负责对社会保险经办机构的管理；负责组织申报工伤、职业病伤残等级鉴定和劳动能力鉴定工作。</w:t>
      </w:r>
    </w:p>
    <w:p>
      <w:pPr>
        <w:widowControl/>
        <w:shd w:val="clear" w:color="auto" w:fill="FFFFFF"/>
        <w:spacing w:line="58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（五）负责就业、失业、社会保险基金预测预警和信息引导，拟订应对预案，实施预防、调节和控制，保持就业形势稳定和社会保险基金总体收支平衡。负责全县人力资源和社会保障统计工作。</w:t>
      </w:r>
    </w:p>
    <w:p>
      <w:pPr>
        <w:widowControl/>
        <w:shd w:val="clear" w:color="auto" w:fill="FFFFFF"/>
        <w:spacing w:line="58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（六）贯彻执行省、市机关企事业单位人员工资收入分配政策和正常增长制度，会同有关部门拟定事业单位绩效工资政策；落实机关企事业单位人员福利和离退休政策。</w:t>
      </w:r>
    </w:p>
    <w:p>
      <w:pPr>
        <w:widowControl/>
        <w:shd w:val="clear" w:color="auto" w:fill="FFFFFF"/>
        <w:spacing w:line="58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七）会同有关部门拟定人才工作总体目标，参与人才管理工作；拟定全县事业单位人事制度改革总体方案，组织实施事业单位职员和机关工勤人员管理的政策规定；负责全县人事考试工作；负责专业技术人员管理和继续教育工作，综合管理全县职称工作；组织指导全县机关、企事业单位工人技术培训、考核、定级和技术职务评聘工作；负责高层次专业技术人才选拔和培养，综合管理引进国（境）外专家、留学人员来本县工作或定居工作。</w:t>
      </w:r>
    </w:p>
    <w:p>
      <w:pPr>
        <w:widowControl/>
        <w:shd w:val="clear" w:color="auto" w:fill="FFFFFF"/>
        <w:spacing w:line="58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（八）负责军队转业干部安置、教育培训工作和自主择业转业干部的管理工作。</w:t>
      </w:r>
    </w:p>
    <w:p>
      <w:pPr>
        <w:widowControl/>
        <w:shd w:val="clear" w:color="auto" w:fill="FFFFFF"/>
        <w:spacing w:line="58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（九）综合管理国家公务员，指导和协调全县实施国家公务员制度工作；制定国家公务员培训规划并组织实施。</w:t>
      </w:r>
    </w:p>
    <w:p>
      <w:pPr>
        <w:widowControl/>
        <w:shd w:val="clear" w:color="auto" w:fill="FFFFFF"/>
        <w:spacing w:line="58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（十）落实农民工工作的综合性政策和规定，协调解决重点难点问题，维护农民工合法权益。</w:t>
      </w:r>
    </w:p>
    <w:p>
      <w:pPr>
        <w:widowControl/>
        <w:shd w:val="clear" w:color="auto" w:fill="FFFFFF"/>
        <w:spacing w:line="58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十一）监督检查人力资源和社会保障法律、法规执行情况，依法行使国家劳动和社会保障监督检查职权；贯彻执行劳动、人事争议调解仲裁制度和劳动关系政策，完善劳动关系协调机制；组织实施劳动监察，协调劳动者维权工作，依法查处重大案件。</w:t>
      </w:r>
    </w:p>
    <w:p>
      <w:pPr>
        <w:pStyle w:val="2"/>
        <w:spacing w:before="0" w:after="0" w:line="600" w:lineRule="exact"/>
        <w:ind w:firstLine="643" w:firstLineChars="200"/>
        <w:jc w:val="left"/>
        <w:rPr>
          <w:rFonts w:ascii="黑体" w:eastAsia="黑体" w:cs="黑体"/>
          <w:b w:val="0"/>
          <w:bCs w:val="0"/>
          <w:kern w:val="0"/>
          <w:sz w:val="32"/>
          <w:szCs w:val="32"/>
        </w:rPr>
      </w:pPr>
      <w:r>
        <w:rPr>
          <w:rFonts w:hint="eastAsia" w:ascii="仿宋_GB2312" w:eastAsia="仿宋_GB2312" w:cs="仿宋_GB2312"/>
          <w:color w:val="000000"/>
          <w:kern w:val="0"/>
          <w:sz w:val="32"/>
          <w:szCs w:val="32"/>
        </w:rPr>
        <w:t>（十二）承办县政府交办的其他事项。</w:t>
      </w:r>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年度本部门决算汇编范围的独立核算单位（以下简称“单位”）共1个，具体情况如下：</w:t>
      </w:r>
    </w:p>
    <w:tbl>
      <w:tblPr>
        <w:tblStyle w:val="12"/>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839"/>
        <w:gridCol w:w="3990"/>
        <w:gridCol w:w="2086"/>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839"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990" w:type="dxa"/>
            <w:vAlign w:val="center"/>
          </w:tcPr>
          <w:p>
            <w:pPr>
              <w:spacing w:after="0" w:line="560" w:lineRule="exact"/>
              <w:ind w:firstLine="1405" w:firstLineChars="500"/>
              <w:jc w:val="both"/>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086"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after="0" w:line="560" w:lineRule="exact"/>
              <w:ind w:firstLine="562" w:firstLineChars="200"/>
              <w:jc w:val="both"/>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839" w:type="dxa"/>
            <w:vAlign w:val="center"/>
          </w:tcPr>
          <w:p>
            <w:pPr>
              <w:spacing w:after="0" w:line="560" w:lineRule="exact"/>
              <w:ind w:firstLine="280" w:firstLineChars="100"/>
              <w:jc w:val="both"/>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990" w:type="dxa"/>
            <w:vAlign w:val="center"/>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大城县人力资源和社会保障局</w:t>
            </w:r>
          </w:p>
        </w:tc>
        <w:tc>
          <w:tcPr>
            <w:tcW w:w="2086" w:type="dxa"/>
            <w:vAlign w:val="center"/>
          </w:tcPr>
          <w:p>
            <w:pPr>
              <w:spacing w:after="0" w:line="560" w:lineRule="exact"/>
              <w:ind w:firstLine="560" w:firstLineChars="200"/>
              <w:jc w:val="both"/>
              <w:rPr>
                <w:rFonts w:ascii="仿宋_GB2312" w:eastAsia="仿宋_GB2312" w:cs="ArialUnicodeMS"/>
                <w:kern w:val="0"/>
                <w:sz w:val="28"/>
                <w:szCs w:val="28"/>
              </w:rPr>
            </w:pPr>
            <w:r>
              <w:rPr>
                <w:rFonts w:hint="eastAsia" w:ascii="仿宋_GB2312" w:eastAsia="仿宋_GB2312" w:cs="ArialUnicodeMS"/>
                <w:kern w:val="0"/>
                <w:sz w:val="28"/>
                <w:szCs w:val="28"/>
              </w:rPr>
              <w:t>行政</w:t>
            </w:r>
          </w:p>
        </w:tc>
        <w:tc>
          <w:tcPr>
            <w:tcW w:w="2665" w:type="dxa"/>
            <w:vAlign w:val="center"/>
          </w:tcPr>
          <w:p>
            <w:pPr>
              <w:spacing w:after="0" w:line="560" w:lineRule="exact"/>
              <w:ind w:firstLine="560" w:firstLineChars="200"/>
              <w:jc w:val="both"/>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bl>
    <w:p>
      <w:pPr>
        <w:widowControl/>
        <w:spacing w:line="560" w:lineRule="exact"/>
        <w:ind w:firstLine="1040" w:firstLineChars="200"/>
        <w:jc w:val="center"/>
        <w:rPr>
          <w:rFonts w:ascii="黑体" w:eastAsia="黑体" w:cs="MS-UIGothic,Bold"/>
          <w:bCs/>
          <w:kern w:val="0"/>
          <w:sz w:val="52"/>
          <w:szCs w:val="52"/>
        </w:rPr>
        <w:sectPr>
          <w:headerReference r:id="rId3" w:type="default"/>
          <w:pgSz w:w="11906" w:h="16838"/>
          <w:pgMar w:top="2098" w:right="1474" w:bottom="1984" w:left="1588" w:header="851" w:footer="992" w:gutter="0"/>
          <w:cols w:space="720" w:num="1"/>
          <w:docGrid w:type="lines" w:linePitch="312" w:charSpace="0"/>
        </w:sectPr>
      </w:pPr>
    </w:p>
    <w:p>
      <w:pPr>
        <w:widowControl/>
        <w:spacing w:line="1200" w:lineRule="exact"/>
        <w:ind w:firstLine="1440" w:firstLineChars="200"/>
        <w:jc w:val="center"/>
        <w:rPr>
          <w:rFonts w:ascii="黑体" w:eastAsia="黑体"/>
          <w:color w:val="000000"/>
          <w:sz w:val="72"/>
          <w:szCs w:val="96"/>
        </w:rPr>
      </w:pPr>
    </w:p>
    <w:p>
      <w:pPr>
        <w:widowControl/>
        <w:spacing w:line="1200" w:lineRule="exact"/>
        <w:ind w:firstLine="1440" w:firstLineChars="200"/>
        <w:jc w:val="center"/>
        <w:rPr>
          <w:rFonts w:ascii="黑体" w:eastAsia="黑体"/>
          <w:color w:val="000000"/>
          <w:sz w:val="72"/>
          <w:szCs w:val="96"/>
        </w:rPr>
      </w:pPr>
    </w:p>
    <w:p>
      <w:pPr>
        <w:widowControl/>
        <w:spacing w:line="1200" w:lineRule="exact"/>
        <w:ind w:firstLine="1440" w:firstLineChars="200"/>
        <w:jc w:val="center"/>
        <w:rPr>
          <w:rFonts w:ascii="黑体" w:eastAsia="黑体"/>
          <w:color w:val="000000"/>
          <w:sz w:val="72"/>
          <w:szCs w:val="96"/>
        </w:rPr>
      </w:pPr>
    </w:p>
    <w:p>
      <w:pPr>
        <w:widowControl/>
        <w:spacing w:after="0" w:line="240" w:lineRule="auto"/>
        <w:jc w:val="center"/>
        <w:rPr>
          <w:rFonts w:hint="eastAsia" w:ascii="黑体" w:hAnsi="黑体" w:eastAsia="黑体" w:cs="黑体"/>
          <w:color w:val="000000" w:themeColor="text1"/>
          <w:sz w:val="72"/>
          <w:szCs w:val="72"/>
          <w14:textFill>
            <w14:solidFill>
              <w14:schemeClr w14:val="tx1"/>
            </w14:solidFill>
          </w14:textFill>
        </w:rPr>
      </w:pPr>
      <w:r>
        <w:rPr>
          <w:rFonts w:hint="eastAsia" w:ascii="黑体" w:hAnsi="黑体" w:eastAsia="黑体" w:cs="黑体"/>
          <w:color w:val="000000" w:themeColor="text1"/>
          <w:sz w:val="72"/>
          <w:szCs w:val="72"/>
          <w14:textFill>
            <w14:solidFill>
              <w14:schemeClr w14:val="tx1"/>
            </w14:solidFill>
          </w14:textFill>
        </w:rPr>
        <w:t>第二部分</w:t>
      </w:r>
    </w:p>
    <w:p>
      <w:pPr>
        <w:widowControl/>
        <w:spacing w:after="0" w:line="240" w:lineRule="auto"/>
        <w:jc w:val="center"/>
        <w:rPr>
          <w:rFonts w:hint="eastAsia" w:ascii="黑体" w:hAnsi="黑体" w:eastAsia="黑体" w:cs="黑体"/>
          <w:color w:val="000000" w:themeColor="text1"/>
          <w:sz w:val="72"/>
          <w:szCs w:val="72"/>
          <w14:textFill>
            <w14:solidFill>
              <w14:schemeClr w14:val="tx1"/>
            </w14:solidFill>
          </w14:textFill>
        </w:rPr>
      </w:pPr>
    </w:p>
    <w:p>
      <w:pPr>
        <w:widowControl/>
        <w:spacing w:after="0" w:line="240" w:lineRule="auto"/>
        <w:jc w:val="center"/>
        <w:rPr>
          <w:rFonts w:ascii="黑体" w:hAnsi="黑体" w:eastAsia="黑体" w:cs="黑体"/>
          <w:color w:val="000000" w:themeColor="text1"/>
          <w:sz w:val="72"/>
          <w:szCs w:val="72"/>
          <w14:textFill>
            <w14:solidFill>
              <w14:schemeClr w14:val="tx1"/>
            </w14:solidFill>
          </w14:textFill>
        </w:rPr>
      </w:pPr>
      <w:r>
        <w:rPr>
          <w:rFonts w:hint="eastAsia" w:ascii="黑体" w:hAnsi="黑体" w:eastAsia="黑体" w:cs="黑体"/>
          <w:color w:val="000000" w:themeColor="text1"/>
          <w:sz w:val="72"/>
          <w:szCs w:val="72"/>
          <w14:textFill>
            <w14:solidFill>
              <w14:schemeClr w14:val="tx1"/>
            </w14:solidFill>
          </w14:textFill>
        </w:rPr>
        <w:t>2018年度部门决算报表</w:t>
      </w:r>
    </w:p>
    <w:p>
      <w:pPr>
        <w:widowControl/>
        <w:tabs>
          <w:tab w:val="left" w:pos="398"/>
        </w:tabs>
        <w:spacing w:line="560" w:lineRule="exact"/>
        <w:ind w:firstLine="1040" w:firstLineChars="200"/>
        <w:jc w:val="left"/>
        <w:rPr>
          <w:rFonts w:ascii="黑体" w:eastAsia="黑体" w:cs="MS-UIGothic,Bold"/>
          <w:bCs/>
          <w:kern w:val="0"/>
          <w:sz w:val="52"/>
          <w:szCs w:val="52"/>
        </w:rPr>
      </w:pPr>
      <w:r>
        <w:rPr>
          <w:rFonts w:hint="eastAsia" w:ascii="黑体" w:eastAsia="黑体" w:cs="MS-UIGothic,Bold"/>
          <w:bCs/>
          <w:kern w:val="0"/>
          <w:sz w:val="52"/>
          <w:szCs w:val="52"/>
        </w:rPr>
        <w:tab/>
      </w:r>
    </w:p>
    <w:p>
      <w:pPr>
        <w:widowControl/>
        <w:spacing w:line="560" w:lineRule="exact"/>
        <w:ind w:firstLine="1040" w:firstLineChars="200"/>
        <w:jc w:val="center"/>
        <w:rPr>
          <w:rFonts w:ascii="黑体" w:eastAsia="黑体" w:cs="MS-UIGothic,Bold"/>
          <w:bCs/>
          <w:kern w:val="0"/>
          <w:sz w:val="52"/>
          <w:szCs w:val="52"/>
        </w:rPr>
      </w:pPr>
    </w:p>
    <w:p>
      <w:pPr>
        <w:ind w:firstLine="420" w:firstLineChars="200"/>
        <w:rPr>
          <w:rFonts w:ascii="宋体" w:cs="ArialUnicodeMS"/>
          <w:color w:val="000000"/>
          <w:kern w:val="0"/>
        </w:rPr>
      </w:pPr>
    </w:p>
    <w:p>
      <w:pPr>
        <w:ind w:firstLine="420" w:firstLineChars="200"/>
        <w:rPr>
          <w:rFonts w:ascii="宋体" w:cs="ArialUnicodeMS"/>
          <w:color w:val="000000"/>
          <w:kern w:val="0"/>
        </w:rPr>
      </w:pPr>
    </w:p>
    <w:p>
      <w:pPr>
        <w:ind w:firstLine="420" w:firstLineChars="200"/>
        <w:rPr>
          <w:rFonts w:ascii="宋体" w:cs="ArialUnicodeMS"/>
          <w:color w:val="000000"/>
          <w:kern w:val="0"/>
        </w:rPr>
      </w:pPr>
    </w:p>
    <w:p>
      <w:pPr>
        <w:ind w:firstLine="420" w:firstLineChars="200"/>
        <w:rPr>
          <w:rFonts w:ascii="宋体" w:cs="ArialUnicodeMS"/>
          <w:color w:val="000000"/>
          <w:kern w:val="0"/>
        </w:rPr>
      </w:pPr>
    </w:p>
    <w:p>
      <w:pPr>
        <w:ind w:firstLine="420" w:firstLineChars="200"/>
        <w:rPr>
          <w:rFonts w:ascii="宋体" w:cs="ArialUnicodeMS"/>
          <w:color w:val="000000"/>
          <w:kern w:val="0"/>
        </w:rPr>
      </w:pPr>
    </w:p>
    <w:p>
      <w:pPr>
        <w:ind w:firstLine="420" w:firstLineChars="200"/>
        <w:rPr>
          <w:rFonts w:ascii="宋体" w:cs="ArialUnicodeMS"/>
          <w:color w:val="000000"/>
          <w:kern w:val="0"/>
        </w:rPr>
      </w:pPr>
    </w:p>
    <w:p>
      <w:pPr>
        <w:ind w:firstLine="420" w:firstLineChars="200"/>
        <w:rPr>
          <w:rFonts w:ascii="宋体" w:cs="ArialUnicodeMS"/>
          <w:color w:val="000000"/>
          <w:kern w:val="0"/>
        </w:rPr>
      </w:pPr>
    </w:p>
    <w:p>
      <w:pPr>
        <w:widowControl/>
        <w:spacing w:after="0" w:line="560" w:lineRule="exact"/>
        <w:ind w:firstLine="562" w:firstLineChars="200"/>
        <w:jc w:val="left"/>
        <w:rPr>
          <w:rFonts w:ascii="仿宋_GB2312" w:eastAsia="仿宋_GB2312"/>
          <w:b/>
          <w:sz w:val="28"/>
          <w:szCs w:val="28"/>
          <w:highlight w:val="yellow"/>
        </w:rPr>
      </w:pPr>
    </w:p>
    <w:p>
      <w:pPr>
        <w:widowControl/>
        <w:spacing w:after="0" w:line="240" w:lineRule="auto"/>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第三部分</w:t>
      </w:r>
    </w:p>
    <w:p>
      <w:pPr>
        <w:widowControl/>
        <w:spacing w:after="0" w:line="240" w:lineRule="auto"/>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部门决算情况说明</w:t>
      </w:r>
    </w:p>
    <w:p>
      <w:pPr>
        <w:ind w:firstLine="420" w:firstLineChars="200"/>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numPr>
          <w:ilvl w:val="0"/>
          <w:numId w:val="0"/>
        </w:numPr>
        <w:spacing w:before="0" w:after="0" w:line="580" w:lineRule="exact"/>
        <w:ind w:leftChars="200" w:firstLine="320" w:firstLineChars="100"/>
        <w:rPr>
          <w:rFonts w:ascii="黑体" w:eastAsia="黑体"/>
          <w:b w:val="0"/>
          <w:bCs w:val="0"/>
        </w:rPr>
      </w:pPr>
      <w:r>
        <w:rPr>
          <w:rFonts w:hint="eastAsia" w:ascii="黑体" w:eastAsia="黑体"/>
          <w:b w:val="0"/>
          <w:bCs w:val="0"/>
          <w:lang w:eastAsia="zh-CN"/>
        </w:rPr>
        <w:t>一、</w:t>
      </w:r>
      <w:r>
        <w:rPr>
          <w:rFonts w:hint="eastAsia" w:ascii="黑体" w:eastAsia="黑体"/>
          <w:b w:val="0"/>
          <w:bCs w:val="0"/>
        </w:rPr>
        <w:t>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ascii="仿宋_GB2312" w:eastAsia="仿宋_GB2312" w:cs="DengXian-Regular"/>
          <w:sz w:val="32"/>
          <w:szCs w:val="32"/>
        </w:rPr>
        <w:t>44592.35</w:t>
      </w:r>
      <w:r>
        <w:rPr>
          <w:rFonts w:hint="eastAsia" w:ascii="仿宋_GB2312" w:eastAsia="仿宋_GB2312" w:cs="DengXian-Regular"/>
          <w:sz w:val="32"/>
          <w:szCs w:val="32"/>
        </w:rPr>
        <w:t>万元。与2017年度决算相比，收支各增加</w:t>
      </w:r>
      <w:r>
        <w:rPr>
          <w:rFonts w:ascii="仿宋_GB2312" w:eastAsia="仿宋_GB2312" w:cs="DengXian-Regular"/>
          <w:sz w:val="32"/>
          <w:szCs w:val="32"/>
        </w:rPr>
        <w:t>6296.91</w:t>
      </w:r>
      <w:r>
        <w:rPr>
          <w:rFonts w:hint="eastAsia" w:ascii="仿宋_GB2312" w:eastAsia="仿宋_GB2312" w:cs="DengXian-Regular"/>
          <w:sz w:val="32"/>
          <w:szCs w:val="32"/>
        </w:rPr>
        <w:t>万元，增长1</w:t>
      </w:r>
      <w:r>
        <w:rPr>
          <w:rFonts w:ascii="仿宋_GB2312" w:eastAsia="仿宋_GB2312" w:cs="DengXian-Regular"/>
          <w:sz w:val="32"/>
          <w:szCs w:val="32"/>
        </w:rPr>
        <w:t>6.44</w:t>
      </w:r>
      <w:r>
        <w:rPr>
          <w:rFonts w:hint="eastAsia" w:ascii="仿宋_GB2312" w:eastAsia="仿宋_GB2312" w:cs="DengXian-Regular"/>
          <w:sz w:val="32"/>
          <w:szCs w:val="32"/>
        </w:rPr>
        <w:t>%，主要原因是社保基金及就业创业补贴资金的增加。</w:t>
      </w:r>
    </w:p>
    <w:p>
      <w:pPr>
        <w:pStyle w:val="3"/>
        <w:numPr>
          <w:ilvl w:val="0"/>
          <w:numId w:val="0"/>
        </w:numPr>
        <w:spacing w:before="0" w:after="0" w:line="580" w:lineRule="exact"/>
        <w:ind w:leftChars="200" w:firstLine="320" w:firstLineChars="100"/>
        <w:rPr>
          <w:rFonts w:ascii="黑体" w:eastAsia="黑体"/>
          <w:b w:val="0"/>
          <w:bCs w:val="0"/>
        </w:rPr>
      </w:pPr>
      <w:r>
        <w:rPr>
          <w:rFonts w:hint="eastAsia" w:ascii="黑体" w:eastAsia="黑体"/>
          <w:b w:val="0"/>
          <w:bCs w:val="0"/>
          <w:lang w:eastAsia="zh-CN"/>
        </w:rPr>
        <w:t>二、</w:t>
      </w:r>
      <w:r>
        <w:rPr>
          <w:rFonts w:hint="eastAsia" w:ascii="黑体" w:eastAsia="黑体"/>
          <w:b w:val="0"/>
          <w:bCs w:val="0"/>
        </w:rPr>
        <w:t>收入决算情况说明</w:t>
      </w:r>
    </w:p>
    <w:p>
      <w:pPr>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rPr>
        <w:t>本部门2018年度本年收入合计43439.77万元，其中：财政拨款收入43438.77万元，占99.99%；事业收入0万元，占0%；经营收入0万元，占0%；其他收入1.01万元，占0.01%。如图所示</w:t>
      </w:r>
      <w:r>
        <w:rPr>
          <w:rFonts w:hint="eastAsia" w:ascii="仿宋_GB2312" w:eastAsia="仿宋_GB2312" w:cs="DengXian-Regular"/>
          <w:sz w:val="32"/>
          <w:szCs w:val="32"/>
          <w:lang w:val="en-US" w:eastAsia="zh-CN"/>
        </w:rPr>
        <w:t>:</w:t>
      </w:r>
    </w:p>
    <w:p>
      <w:pPr>
        <w:ind w:firstLine="640" w:firstLineChars="200"/>
        <w:jc w:val="center"/>
        <w:rPr>
          <w:rFonts w:ascii="黑体" w:eastAsia="黑体" w:cs="Arial"/>
          <w:sz w:val="32"/>
          <w:szCs w:val="32"/>
        </w:rPr>
      </w:pPr>
      <w:r>
        <w:rPr>
          <w:rFonts w:hint="eastAsia" w:ascii="黑体" w:eastAsia="黑体" w:cs="Arial"/>
          <w:sz w:val="32"/>
          <w:szCs w:val="32"/>
        </w:rPr>
        <w:drawing>
          <wp:inline distT="0" distB="0" distL="114300" distR="114300">
            <wp:extent cx="2366010" cy="2068195"/>
            <wp:effectExtent l="0" t="0" r="0" b="0"/>
            <wp:docPr id="1" name="图表 1"/>
            <wp:cNvGraphicFramePr/>
            <a:graphic xmlns:a="http://schemas.openxmlformats.org/drawingml/2006/main">
              <a:graphicData uri="http://schemas.openxmlformats.org/drawingml/2006/picture">
                <pic:pic xmlns:pic="http://schemas.openxmlformats.org/drawingml/2006/picture">
                  <pic:nvPicPr>
                    <pic:cNvPr id="1" name="图表 1"/>
                    <pic:cNvPicPr/>
                  </pic:nvPicPr>
                  <pic:blipFill>
                    <a:blip r:embed="rId5"/>
                    <a:stretch>
                      <a:fillRect/>
                    </a:stretch>
                  </pic:blipFill>
                  <pic:spPr>
                    <a:xfrm>
                      <a:off x="0" y="0"/>
                      <a:ext cx="2366010" cy="2068195"/>
                    </a:xfrm>
                    <a:prstGeom prst="rect">
                      <a:avLst/>
                    </a:prstGeom>
                    <a:ln w="9525" cap="flat" cmpd="sng">
                      <a:solidFill>
                        <a:srgbClr val="000000"/>
                      </a:solidFill>
                      <a:prstDash val="solid"/>
                      <a:miter/>
                    </a:ln>
                  </pic:spPr>
                </pic:pic>
              </a:graphicData>
            </a:graphic>
          </wp:inline>
        </w:drawing>
      </w:r>
    </w:p>
    <w:p>
      <w:pPr>
        <w:adjustRightInd w:val="0"/>
        <w:snapToGrid w:val="0"/>
        <w:spacing w:line="584" w:lineRule="exact"/>
        <w:ind w:firstLine="480" w:firstLineChars="200"/>
        <w:jc w:val="center"/>
        <w:rPr>
          <w:rFonts w:eastAsia="仿宋_GB2312"/>
          <w:sz w:val="24"/>
        </w:rPr>
      </w:pPr>
      <w:r>
        <w:rPr>
          <w:rFonts w:eastAsia="仿宋_GB2312"/>
          <w:sz w:val="24"/>
        </w:rPr>
        <w:t>图1：收入决算结构饼状图</w:t>
      </w:r>
    </w:p>
    <w:p>
      <w:pPr>
        <w:ind w:firstLine="640" w:firstLineChars="200"/>
        <w:jc w:val="center"/>
        <w:rPr>
          <w:rFonts w:ascii="黑体" w:eastAsia="黑体" w:cs="Arial"/>
          <w:sz w:val="32"/>
          <w:szCs w:val="32"/>
        </w:rPr>
      </w:pPr>
    </w:p>
    <w:p>
      <w:pPr>
        <w:pStyle w:val="3"/>
        <w:numPr>
          <w:ilvl w:val="0"/>
          <w:numId w:val="0"/>
        </w:numPr>
        <w:spacing w:before="0" w:after="0" w:line="580" w:lineRule="exact"/>
        <w:ind w:firstLine="640" w:firstLineChars="200"/>
        <w:rPr>
          <w:rFonts w:ascii="黑体" w:eastAsia="黑体"/>
          <w:b w:val="0"/>
          <w:bCs w:val="0"/>
        </w:rPr>
      </w:pPr>
      <w:r>
        <w:rPr>
          <w:rFonts w:hint="eastAsia" w:ascii="黑体" w:eastAsia="黑体"/>
          <w:b w:val="0"/>
          <w:bCs w:val="0"/>
          <w:lang w:eastAsia="zh-CN"/>
        </w:rPr>
        <w:t>三、</w:t>
      </w:r>
      <w:r>
        <w:rPr>
          <w:rFonts w:hint="eastAsia" w:ascii="黑体" w:eastAsia="黑体"/>
          <w:b w:val="0"/>
          <w:bCs w:val="0"/>
        </w:rPr>
        <w:t>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本部门2018年度本年支出合计41907.66万元，其中：基本支出</w:t>
      </w:r>
      <w:r>
        <w:rPr>
          <w:rFonts w:ascii="仿宋_GB2312" w:eastAsia="仿宋_GB2312" w:cs="DengXian-Regular"/>
          <w:sz w:val="32"/>
          <w:szCs w:val="32"/>
        </w:rPr>
        <w:t>7875.48</w:t>
      </w:r>
      <w:r>
        <w:rPr>
          <w:rFonts w:hint="eastAsia" w:ascii="仿宋_GB2312" w:eastAsia="仿宋_GB2312" w:cs="DengXian-Regular"/>
          <w:sz w:val="32"/>
          <w:szCs w:val="32"/>
        </w:rPr>
        <w:t>万元，占</w:t>
      </w:r>
      <w:r>
        <w:rPr>
          <w:rFonts w:ascii="仿宋_GB2312" w:eastAsia="仿宋_GB2312" w:cs="DengXian-Regular"/>
          <w:sz w:val="32"/>
          <w:szCs w:val="32"/>
        </w:rPr>
        <w:t>18.79</w:t>
      </w:r>
      <w:r>
        <w:rPr>
          <w:rFonts w:hint="eastAsia" w:ascii="仿宋_GB2312" w:eastAsia="仿宋_GB2312" w:cs="DengXian-Regular"/>
          <w:sz w:val="32"/>
          <w:szCs w:val="32"/>
        </w:rPr>
        <w:t>%；项目支出</w:t>
      </w:r>
      <w:r>
        <w:rPr>
          <w:rFonts w:ascii="仿宋_GB2312" w:eastAsia="仿宋_GB2312" w:cs="DengXian-Regular"/>
          <w:sz w:val="32"/>
          <w:szCs w:val="32"/>
        </w:rPr>
        <w:t>34032.18</w:t>
      </w:r>
      <w:r>
        <w:rPr>
          <w:rFonts w:hint="eastAsia" w:ascii="仿宋_GB2312" w:eastAsia="仿宋_GB2312" w:cs="DengXian-Regular"/>
          <w:sz w:val="32"/>
          <w:szCs w:val="32"/>
        </w:rPr>
        <w:t>万元，占</w:t>
      </w:r>
      <w:r>
        <w:rPr>
          <w:rFonts w:ascii="仿宋_GB2312" w:eastAsia="仿宋_GB2312" w:cs="DengXian-Regular"/>
          <w:sz w:val="32"/>
          <w:szCs w:val="32"/>
        </w:rPr>
        <w:t>81.21</w:t>
      </w:r>
      <w:r>
        <w:rPr>
          <w:rFonts w:hint="eastAsia" w:ascii="仿宋_GB2312" w:eastAsia="仿宋_GB2312" w:cs="DengXian-Regular"/>
          <w:sz w:val="32"/>
          <w:szCs w:val="32"/>
        </w:rPr>
        <w:t>%；经营支出0万元，占0%。如图所示：</w:t>
      </w:r>
    </w:p>
    <w:p>
      <w:pPr>
        <w:pStyle w:val="22"/>
        <w:ind w:left="1270"/>
      </w:pPr>
      <w:r>
        <w:rPr>
          <w:rFonts w:hint="eastAsia" w:ascii="仿宋_GB2312" w:eastAsia="仿宋_GB2312" w:cs="DengXian-Regular"/>
          <w:sz w:val="32"/>
          <w:szCs w:val="32"/>
        </w:rPr>
        <w:drawing>
          <wp:anchor distT="0" distB="0" distL="114300" distR="114300" simplePos="0" relativeHeight="251659264" behindDoc="0" locked="0" layoutInCell="1" allowOverlap="1">
            <wp:simplePos x="0" y="0"/>
            <wp:positionH relativeFrom="column">
              <wp:posOffset>1234440</wp:posOffset>
            </wp:positionH>
            <wp:positionV relativeFrom="paragraph">
              <wp:posOffset>83185</wp:posOffset>
            </wp:positionV>
            <wp:extent cx="3070860" cy="2124710"/>
            <wp:effectExtent l="0" t="0" r="0" b="0"/>
            <wp:wrapSquare wrapText="bothSides"/>
            <wp:docPr id="4" name="图表 9"/>
            <wp:cNvGraphicFramePr/>
            <a:graphic xmlns:a="http://schemas.openxmlformats.org/drawingml/2006/main">
              <a:graphicData uri="http://schemas.openxmlformats.org/drawingml/2006/picture">
                <pic:pic xmlns:pic="http://schemas.openxmlformats.org/drawingml/2006/picture">
                  <pic:nvPicPr>
                    <pic:cNvPr id="4" name="图表 9"/>
                    <pic:cNvPicPr/>
                  </pic:nvPicPr>
                  <pic:blipFill>
                    <a:blip r:embed="rId6"/>
                    <a:stretch>
                      <a:fillRect/>
                    </a:stretch>
                  </pic:blipFill>
                  <pic:spPr>
                    <a:xfrm>
                      <a:off x="0" y="0"/>
                      <a:ext cx="3070860" cy="2124710"/>
                    </a:xfrm>
                    <a:prstGeom prst="rect">
                      <a:avLst/>
                    </a:prstGeom>
                    <a:ln w="9525" cap="flat" cmpd="sng">
                      <a:solidFill>
                        <a:srgbClr val="000000"/>
                      </a:solidFill>
                      <a:prstDash val="solid"/>
                      <a:miter/>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28"/>
          <w:szCs w:val="28"/>
        </w:rPr>
      </w:pPr>
    </w:p>
    <w:p>
      <w:pPr>
        <w:adjustRightInd w:val="0"/>
        <w:snapToGrid w:val="0"/>
        <w:spacing w:after="0" w:line="580" w:lineRule="exact"/>
        <w:ind w:firstLine="480" w:firstLineChars="200"/>
        <w:jc w:val="center"/>
        <w:rPr>
          <w:rFonts w:ascii="黑体" w:eastAsia="黑体"/>
          <w:sz w:val="24"/>
        </w:rPr>
      </w:pPr>
      <w:r>
        <w:rPr>
          <w:rFonts w:hint="eastAsia" w:ascii="仿宋_GB2312" w:eastAsia="仿宋_GB2312" w:cs="DengXian-Regular"/>
          <w:sz w:val="24"/>
        </w:rPr>
        <w:t>如图所示</w:t>
      </w:r>
      <w:r>
        <w:rPr>
          <w:rFonts w:eastAsia="仿宋_GB2312"/>
          <w:sz w:val="24"/>
        </w:rPr>
        <w:t>图2：支出决算结构饼状</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line="580" w:lineRule="exact"/>
        <w:ind w:firstLine="640" w:firstLineChars="200"/>
        <w:rPr>
          <w:rFonts w:ascii="楷体_GB2312" w:eastAsia="楷体_GB2312" w:cs="DengXian-Bold"/>
          <w:b/>
          <w:bCs/>
          <w:sz w:val="32"/>
          <w:szCs w:val="32"/>
        </w:rPr>
      </w:pPr>
      <w:r>
        <w:rPr>
          <w:rFonts w:hint="eastAsia" w:eastAsia="仿宋_GB2312"/>
          <w:sz w:val="32"/>
          <w:szCs w:val="32"/>
        </w:rPr>
        <w:drawing>
          <wp:anchor distT="0" distB="0" distL="114300" distR="114300" simplePos="0" relativeHeight="251660288" behindDoc="0" locked="0" layoutInCell="1" allowOverlap="1">
            <wp:simplePos x="0" y="0"/>
            <wp:positionH relativeFrom="column">
              <wp:posOffset>1040765</wp:posOffset>
            </wp:positionH>
            <wp:positionV relativeFrom="paragraph">
              <wp:posOffset>2127885</wp:posOffset>
            </wp:positionV>
            <wp:extent cx="3270885" cy="1602105"/>
            <wp:effectExtent l="9525" t="9525" r="15240" b="26670"/>
            <wp:wrapSquare wrapText="bothSides"/>
            <wp:docPr id="7" name="图表 10"/>
            <wp:cNvGraphicFramePr/>
            <a:graphic xmlns:a="http://schemas.openxmlformats.org/drawingml/2006/main">
              <a:graphicData uri="http://schemas.openxmlformats.org/drawingml/2006/picture">
                <pic:pic xmlns:pic="http://schemas.openxmlformats.org/drawingml/2006/picture">
                  <pic:nvPicPr>
                    <pic:cNvPr id="7" name="图表 10"/>
                    <pic:cNvPicPr/>
                  </pic:nvPicPr>
                  <pic:blipFill>
                    <a:blip r:embed="rId7"/>
                    <a:stretch>
                      <a:fillRect/>
                    </a:stretch>
                  </pic:blipFill>
                  <pic:spPr>
                    <a:xfrm>
                      <a:off x="0" y="0"/>
                      <a:ext cx="3270885" cy="1602105"/>
                    </a:xfrm>
                    <a:prstGeom prst="rect">
                      <a:avLst/>
                    </a:prstGeom>
                    <a:ln w="9525" cap="flat" cmpd="sng">
                      <a:solidFill>
                        <a:srgbClr val="000000"/>
                      </a:solidFill>
                      <a:prstDash val="solid"/>
                      <a:miter/>
                    </a:ln>
                  </pic:spPr>
                </pic:pic>
              </a:graphicData>
            </a:graphic>
          </wp:anchor>
        </w:drawing>
      </w:r>
      <w:r>
        <w:rPr>
          <w:rFonts w:hint="eastAsia" w:ascii="仿宋_GB2312" w:eastAsia="仿宋_GB2312" w:cs="DengXian-Regular"/>
          <w:sz w:val="32"/>
          <w:szCs w:val="32"/>
        </w:rPr>
        <w:t>本部门2019年度形成的财政拨款收支均为一般公共预算财政拨款，其中本年收入43438.77万元,比2017年度增加5179.76万元，增长13.54%，主要是社保基金及就业创业补贴的增加；本年支出419</w:t>
      </w:r>
      <w:r>
        <w:rPr>
          <w:rFonts w:ascii="仿宋_GB2312" w:eastAsia="仿宋_GB2312" w:cs="DengXian-Regular"/>
          <w:sz w:val="32"/>
          <w:szCs w:val="32"/>
        </w:rPr>
        <w:t>02.63</w:t>
      </w:r>
      <w:r>
        <w:rPr>
          <w:rFonts w:hint="eastAsia" w:ascii="仿宋_GB2312" w:eastAsia="仿宋_GB2312" w:cs="DengXian-Regular"/>
          <w:sz w:val="32"/>
          <w:szCs w:val="32"/>
        </w:rPr>
        <w:t>万元，增加4757.35万元，增长11.41%，主要是社保基金及就业创业补贴的增加。如图所示：</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jc w:val="center"/>
        <w:rPr>
          <w:rFonts w:eastAsia="仿宋_GB2312"/>
          <w:sz w:val="32"/>
          <w:szCs w:val="32"/>
        </w:rPr>
      </w:pPr>
    </w:p>
    <w:p>
      <w:pPr>
        <w:adjustRightInd w:val="0"/>
        <w:snapToGrid w:val="0"/>
        <w:spacing w:after="0" w:line="580" w:lineRule="exact"/>
        <w:ind w:firstLine="640" w:firstLineChars="200"/>
        <w:jc w:val="center"/>
        <w:rPr>
          <w:rFonts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2880" w:firstLineChars="1200"/>
        <w:jc w:val="both"/>
        <w:rPr>
          <w:rFonts w:eastAsia="仿宋_GB2312"/>
          <w:sz w:val="32"/>
          <w:szCs w:val="32"/>
        </w:rPr>
      </w:pPr>
      <w:r>
        <w:rPr>
          <w:rFonts w:hint="eastAsia" w:eastAsia="仿宋_GB2312"/>
          <w:sz w:val="24"/>
        </w:rPr>
        <w:t>图3：财政拨款收支情况</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43438.77万元，完成年初预算的99.99%,比年初预算减少1145.24万元，决算数小于预算数主要是使用上年结转资金；本年支出41902.63万元，完成年初预算的96.46%,比年初预算减少2681.37万元，决算数小于预算数主要是年末结转结余资金。如图所示：</w:t>
      </w: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highlight w:val="yellow"/>
        </w:rPr>
        <w:drawing>
          <wp:anchor distT="0" distB="0" distL="114300" distR="114300" simplePos="0" relativeHeight="251661312" behindDoc="0" locked="0" layoutInCell="1" allowOverlap="1">
            <wp:simplePos x="0" y="0"/>
            <wp:positionH relativeFrom="column">
              <wp:posOffset>1525270</wp:posOffset>
            </wp:positionH>
            <wp:positionV relativeFrom="paragraph">
              <wp:posOffset>254635</wp:posOffset>
            </wp:positionV>
            <wp:extent cx="2841625" cy="2572385"/>
            <wp:effectExtent l="0" t="0" r="0" b="0"/>
            <wp:wrapSquare wrapText="bothSides"/>
            <wp:docPr id="10" name="图表 12"/>
            <wp:cNvGraphicFramePr/>
            <a:graphic xmlns:a="http://schemas.openxmlformats.org/drawingml/2006/main">
              <a:graphicData uri="http://schemas.openxmlformats.org/drawingml/2006/picture">
                <pic:pic xmlns:pic="http://schemas.openxmlformats.org/drawingml/2006/picture">
                  <pic:nvPicPr>
                    <pic:cNvPr id="10" name="图表 12"/>
                    <pic:cNvPicPr/>
                  </pic:nvPicPr>
                  <pic:blipFill>
                    <a:blip r:embed="rId8"/>
                    <a:stretch>
                      <a:fillRect/>
                    </a:stretch>
                  </pic:blipFill>
                  <pic:spPr>
                    <a:xfrm>
                      <a:off x="0" y="0"/>
                      <a:ext cx="2841625" cy="2572385"/>
                    </a:xfrm>
                    <a:prstGeom prst="rect">
                      <a:avLst/>
                    </a:prstGeom>
                    <a:ln w="9525" cap="flat" cmpd="sng">
                      <a:solidFill>
                        <a:srgbClr val="000000"/>
                      </a:solidFill>
                      <a:prstDash val="solid"/>
                      <a:miter/>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eastAsia="仿宋_GB2312"/>
          <w:sz w:val="32"/>
          <w:szCs w:val="32"/>
        </w:rPr>
      </w:pPr>
    </w:p>
    <w:p>
      <w:pPr>
        <w:adjustRightInd w:val="0"/>
        <w:snapToGrid w:val="0"/>
        <w:spacing w:after="0" w:line="580" w:lineRule="exact"/>
        <w:ind w:firstLine="480" w:firstLineChars="200"/>
        <w:jc w:val="center"/>
        <w:rPr>
          <w:rFonts w:ascii="仿宋_GB2312" w:eastAsia="仿宋_GB2312" w:cs="DengXian-Regular"/>
          <w:sz w:val="24"/>
          <w:highlight w:val="yellow"/>
        </w:rPr>
      </w:pPr>
      <w:r>
        <w:rPr>
          <w:rFonts w:hint="eastAsia" w:eastAsia="仿宋_GB2312"/>
          <w:sz w:val="24"/>
        </w:rPr>
        <w:t>图4：财政拨款收支预决算对比情况</w:t>
      </w:r>
    </w:p>
    <w:p>
      <w:pPr>
        <w:numPr>
          <w:ilvl w:val="0"/>
          <w:numId w:val="0"/>
        </w:numPr>
        <w:tabs>
          <w:tab w:val="left" w:pos="0"/>
        </w:tabs>
        <w:adjustRightInd w:val="0"/>
        <w:snapToGrid w:val="0"/>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lang w:eastAsia="zh-CN"/>
        </w:rPr>
        <w:t>（三）</w:t>
      </w: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年度财政拨款支出41902.63万元，主要用于以下方面：一般公共服务（类）支出1454.37万元，占3.47%；社会保障和就业（类）支出 20063.5万元，占47.88%；医疗卫生与计划生育（类）支出20055.26万元，占47.86%;农林水（类）支出328.54万元，占0.78%。资源勘探信息等（类）支出</w:t>
      </w:r>
      <w:r>
        <w:rPr>
          <w:rFonts w:ascii="仿宋_GB2312" w:eastAsia="仿宋_GB2312" w:cs="DengXian-Regular"/>
          <w:sz w:val="32"/>
          <w:szCs w:val="32"/>
        </w:rPr>
        <w:t>0.96万元，占</w:t>
      </w:r>
      <w:r>
        <w:rPr>
          <w:rFonts w:hint="eastAsia" w:ascii="仿宋_GB2312" w:eastAsia="仿宋_GB2312" w:cs="DengXian-Regular"/>
          <w:sz w:val="32"/>
          <w:szCs w:val="32"/>
        </w:rPr>
        <w:t>0.01%。</w:t>
      </w:r>
    </w:p>
    <w:p>
      <w:pPr>
        <w:adjustRightInd w:val="0"/>
        <w:snapToGrid w:val="0"/>
        <w:spacing w:after="0" w:line="580" w:lineRule="exact"/>
        <w:ind w:firstLine="640" w:firstLineChars="200"/>
        <w:jc w:val="center"/>
        <w:rPr>
          <w:rFonts w:eastAsia="仿宋_GB2312"/>
          <w:sz w:val="32"/>
          <w:szCs w:val="32"/>
        </w:rPr>
      </w:pPr>
    </w:p>
    <w:p>
      <w:pPr>
        <w:adjustRightInd w:val="0"/>
        <w:snapToGrid w:val="0"/>
        <w:spacing w:after="0" w:line="580" w:lineRule="exact"/>
        <w:ind w:firstLine="640" w:firstLineChars="200"/>
        <w:jc w:val="center"/>
        <w:rPr>
          <w:rFonts w:eastAsia="仿宋_GB2312"/>
          <w:sz w:val="32"/>
          <w:szCs w:val="32"/>
        </w:rPr>
      </w:pPr>
      <w:r>
        <w:rPr>
          <w:rFonts w:hint="eastAsia" w:eastAsia="仿宋_GB2312"/>
          <w:sz w:val="32"/>
          <w:szCs w:val="32"/>
        </w:rPr>
        <w:drawing>
          <wp:anchor distT="0" distB="0" distL="114300" distR="114300" simplePos="0" relativeHeight="251662336" behindDoc="0" locked="0" layoutInCell="1" allowOverlap="1">
            <wp:simplePos x="0" y="0"/>
            <wp:positionH relativeFrom="column">
              <wp:posOffset>1326515</wp:posOffset>
            </wp:positionH>
            <wp:positionV relativeFrom="paragraph">
              <wp:posOffset>29845</wp:posOffset>
            </wp:positionV>
            <wp:extent cx="3118485" cy="2524125"/>
            <wp:effectExtent l="0" t="0" r="0" b="0"/>
            <wp:wrapSquare wrapText="bothSides"/>
            <wp:docPr id="13" name="图表 13"/>
            <wp:cNvGraphicFramePr/>
            <a:graphic xmlns:a="http://schemas.openxmlformats.org/drawingml/2006/main">
              <a:graphicData uri="http://schemas.openxmlformats.org/drawingml/2006/picture">
                <pic:pic xmlns:pic="http://schemas.openxmlformats.org/drawingml/2006/picture">
                  <pic:nvPicPr>
                    <pic:cNvPr id="13" name="图表 13"/>
                    <pic:cNvPicPr/>
                  </pic:nvPicPr>
                  <pic:blipFill>
                    <a:blip r:embed="rId9"/>
                    <a:stretch>
                      <a:fillRect/>
                    </a:stretch>
                  </pic:blipFill>
                  <pic:spPr>
                    <a:xfrm>
                      <a:off x="0" y="0"/>
                      <a:ext cx="3118484" cy="2524125"/>
                    </a:xfrm>
                    <a:prstGeom prst="rect">
                      <a:avLst/>
                    </a:prstGeom>
                    <a:ln w="9525" cap="flat" cmpd="sng">
                      <a:solidFill>
                        <a:srgbClr val="000000"/>
                      </a:solidFill>
                      <a:prstDash val="solid"/>
                      <a:miter/>
                    </a:ln>
                  </pic:spPr>
                </pic:pic>
              </a:graphicData>
            </a:graphic>
          </wp:anchor>
        </w:drawing>
      </w:r>
    </w:p>
    <w:p>
      <w:pPr>
        <w:adjustRightInd w:val="0"/>
        <w:snapToGrid w:val="0"/>
        <w:spacing w:after="0" w:line="580" w:lineRule="exact"/>
        <w:ind w:firstLine="640" w:firstLineChars="200"/>
        <w:jc w:val="center"/>
        <w:rPr>
          <w:rFonts w:eastAsia="仿宋_GB2312"/>
          <w:sz w:val="32"/>
          <w:szCs w:val="32"/>
        </w:rPr>
      </w:pPr>
    </w:p>
    <w:p>
      <w:pPr>
        <w:adjustRightInd w:val="0"/>
        <w:snapToGrid w:val="0"/>
        <w:spacing w:after="0" w:line="580" w:lineRule="exact"/>
        <w:ind w:firstLine="640" w:firstLineChars="200"/>
        <w:jc w:val="center"/>
        <w:rPr>
          <w:rFonts w:eastAsia="仿宋_GB2312"/>
          <w:sz w:val="32"/>
          <w:szCs w:val="32"/>
        </w:rPr>
      </w:pPr>
    </w:p>
    <w:p>
      <w:pPr>
        <w:adjustRightInd w:val="0"/>
        <w:snapToGrid w:val="0"/>
        <w:spacing w:after="0" w:line="580" w:lineRule="exact"/>
        <w:ind w:firstLine="640" w:firstLineChars="200"/>
        <w:jc w:val="center"/>
        <w:rPr>
          <w:rFonts w:eastAsia="仿宋_GB2312"/>
          <w:sz w:val="32"/>
          <w:szCs w:val="32"/>
        </w:rPr>
      </w:pPr>
    </w:p>
    <w:p>
      <w:pPr>
        <w:adjustRightInd w:val="0"/>
        <w:snapToGrid w:val="0"/>
        <w:spacing w:after="0" w:line="580" w:lineRule="exact"/>
        <w:ind w:firstLine="640" w:firstLineChars="200"/>
        <w:jc w:val="center"/>
        <w:rPr>
          <w:rFonts w:eastAsia="仿宋_GB2312"/>
          <w:sz w:val="32"/>
          <w:szCs w:val="32"/>
        </w:rPr>
      </w:pPr>
    </w:p>
    <w:p>
      <w:pPr>
        <w:adjustRightInd w:val="0"/>
        <w:snapToGrid w:val="0"/>
        <w:spacing w:after="0" w:line="580" w:lineRule="exact"/>
        <w:ind w:firstLine="640" w:firstLineChars="200"/>
        <w:jc w:val="center"/>
        <w:rPr>
          <w:rFonts w:eastAsia="仿宋_GB2312"/>
          <w:sz w:val="32"/>
          <w:szCs w:val="32"/>
        </w:rPr>
      </w:pPr>
    </w:p>
    <w:p>
      <w:pPr>
        <w:adjustRightInd w:val="0"/>
        <w:snapToGrid w:val="0"/>
        <w:spacing w:after="0" w:line="580" w:lineRule="exact"/>
        <w:ind w:firstLine="640" w:firstLineChars="200"/>
        <w:jc w:val="center"/>
        <w:rPr>
          <w:rFonts w:eastAsia="仿宋_GB2312"/>
          <w:sz w:val="32"/>
          <w:szCs w:val="32"/>
        </w:rPr>
      </w:pPr>
    </w:p>
    <w:p>
      <w:pPr>
        <w:adjustRightInd w:val="0"/>
        <w:snapToGrid w:val="0"/>
        <w:spacing w:after="0" w:line="580" w:lineRule="exact"/>
        <w:ind w:firstLine="480" w:firstLineChars="200"/>
        <w:jc w:val="center"/>
        <w:rPr>
          <w:rFonts w:ascii="楷体_GB2312" w:eastAsia="楷体_GB2312" w:cs="DengXian-Bold"/>
          <w:b/>
          <w:bCs/>
          <w:sz w:val="24"/>
        </w:rPr>
      </w:pPr>
      <w:r>
        <w:rPr>
          <w:rFonts w:hint="eastAsia" w:eastAsia="仿宋_GB2312"/>
          <w:sz w:val="24"/>
        </w:rPr>
        <w:t>图5：财政拨款支出决算结构（按功能分类）</w:t>
      </w:r>
    </w:p>
    <w:p>
      <w:pPr>
        <w:adjustRightInd w:val="0"/>
        <w:snapToGrid w:val="0"/>
        <w:spacing w:after="0" w:line="580" w:lineRule="exact"/>
        <w:ind w:firstLine="643" w:firstLineChars="200"/>
        <w:rPr>
          <w:rFonts w:ascii="楷体_GB2312" w:eastAsia="楷体_GB2312" w:cs="DengXian-Bold"/>
          <w:b/>
          <w:bCs/>
          <w:sz w:val="32"/>
          <w:szCs w:val="32"/>
        </w:rPr>
      </w:pPr>
    </w:p>
    <w:p>
      <w:pPr>
        <w:adjustRightInd w:val="0"/>
        <w:snapToGrid w:val="0"/>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年度一般公共预算财政拨款基本支出7875.49万元，其中：人员经费 7796.82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78.67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numPr>
          <w:ilvl w:val="0"/>
          <w:numId w:val="0"/>
        </w:numPr>
        <w:spacing w:before="0" w:after="0" w:line="580" w:lineRule="exact"/>
        <w:ind w:firstLine="640" w:firstLineChars="200"/>
        <w:rPr>
          <w:rFonts w:ascii="黑体" w:eastAsia="黑体"/>
          <w:b w:val="0"/>
          <w:bCs w:val="0"/>
        </w:rPr>
      </w:pPr>
      <w:r>
        <w:rPr>
          <w:rFonts w:hint="eastAsia" w:ascii="黑体" w:eastAsia="黑体"/>
          <w:b w:val="0"/>
          <w:bCs w:val="0"/>
          <w:lang w:eastAsia="zh-CN"/>
        </w:rPr>
        <w:t>五、</w:t>
      </w:r>
      <w:r>
        <w:rPr>
          <w:rFonts w:hint="eastAsia" w:ascii="黑体" w:eastAsia="黑体"/>
          <w:b w:val="0"/>
          <w:bCs w:val="0"/>
        </w:rPr>
        <w:t>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7.33</w:t>
      </w:r>
      <w:r>
        <w:rPr>
          <w:rFonts w:eastAsia="仿宋_GB2312"/>
          <w:sz w:val="32"/>
          <w:szCs w:val="32"/>
        </w:rPr>
        <w:t>万元，</w:t>
      </w:r>
      <w:r>
        <w:rPr>
          <w:rFonts w:hint="eastAsia" w:ascii="仿宋_GB2312" w:eastAsia="仿宋_GB2312" w:cs="DengXian-Regular"/>
          <w:sz w:val="32"/>
          <w:szCs w:val="32"/>
        </w:rPr>
        <w:t>完成预算的100%,较预算增加0万元，</w:t>
      </w:r>
      <w:r>
        <w:rPr>
          <w:rFonts w:eastAsia="仿宋_GB2312"/>
          <w:sz w:val="32"/>
          <w:szCs w:val="32"/>
        </w:rPr>
        <w:t>主要</w:t>
      </w:r>
      <w:r>
        <w:rPr>
          <w:rFonts w:hint="eastAsia" w:eastAsia="仿宋_GB2312"/>
          <w:sz w:val="32"/>
          <w:szCs w:val="32"/>
        </w:rPr>
        <w:t>原因</w:t>
      </w:r>
      <w:r>
        <w:rPr>
          <w:rFonts w:eastAsia="仿宋_GB2312"/>
          <w:sz w:val="32"/>
          <w:szCs w:val="32"/>
        </w:rPr>
        <w:t>是</w:t>
      </w:r>
      <w:r>
        <w:rPr>
          <w:rFonts w:hint="eastAsia" w:eastAsia="仿宋_GB2312"/>
          <w:sz w:val="32"/>
          <w:szCs w:val="32"/>
        </w:rPr>
        <w:t>厉行节约</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0.7</w:t>
      </w:r>
      <w:r>
        <w:rPr>
          <w:rFonts w:eastAsia="仿宋_GB2312"/>
          <w:sz w:val="32"/>
          <w:szCs w:val="32"/>
        </w:rPr>
        <w:t>万元，降低</w:t>
      </w:r>
      <w:r>
        <w:rPr>
          <w:rFonts w:hint="eastAsia" w:eastAsia="仿宋_GB2312"/>
          <w:sz w:val="32"/>
          <w:szCs w:val="32"/>
        </w:rPr>
        <w:t>8.69</w:t>
      </w:r>
      <w:r>
        <w:rPr>
          <w:rFonts w:eastAsia="仿宋_GB2312"/>
          <w:sz w:val="32"/>
          <w:szCs w:val="32"/>
        </w:rPr>
        <w:t>%，主要</w:t>
      </w:r>
      <w:r>
        <w:rPr>
          <w:rFonts w:hint="eastAsia" w:eastAsia="仿宋_GB2312"/>
          <w:sz w:val="32"/>
          <w:szCs w:val="32"/>
        </w:rPr>
        <w:t>原因</w:t>
      </w:r>
      <w:r>
        <w:rPr>
          <w:rFonts w:eastAsia="仿宋_GB2312"/>
          <w:sz w:val="32"/>
          <w:szCs w:val="32"/>
        </w:rPr>
        <w:t>是</w:t>
      </w:r>
      <w:r>
        <w:rPr>
          <w:rFonts w:hint="eastAsia" w:eastAsia="仿宋_GB2312"/>
          <w:sz w:val="32"/>
          <w:szCs w:val="32"/>
        </w:rPr>
        <w:t>厉行节约</w:t>
      </w:r>
      <w:r>
        <w:rPr>
          <w:rFonts w:eastAsia="仿宋_GB2312"/>
          <w:sz w:val="32"/>
          <w:szCs w:val="32"/>
        </w:rPr>
        <w:t>。具体情况如下：</w:t>
      </w:r>
    </w:p>
    <w:p>
      <w:pPr>
        <w:numPr>
          <w:ilvl w:val="0"/>
          <w:numId w:val="1"/>
        </w:numPr>
        <w:adjustRightInd w:val="0"/>
        <w:snapToGrid w:val="0"/>
        <w:spacing w:line="584" w:lineRule="exact"/>
        <w:ind w:firstLine="643" w:firstLineChars="200"/>
        <w:rPr>
          <w:rFonts w:eastAsia="楷体_GB2312"/>
          <w:b/>
          <w:bCs/>
          <w:sz w:val="32"/>
          <w:szCs w:val="32"/>
        </w:rPr>
      </w:pPr>
      <w:r>
        <w:rPr>
          <w:rFonts w:eastAsia="楷体_GB2312"/>
          <w:b/>
          <w:bCs/>
          <w:sz w:val="32"/>
          <w:szCs w:val="32"/>
        </w:rPr>
        <w:t>因公出国（境）费支出</w:t>
      </w:r>
      <w:r>
        <w:rPr>
          <w:rFonts w:hint="eastAsia" w:eastAsia="楷体_GB2312"/>
          <w:b/>
          <w:bCs/>
          <w:sz w:val="32"/>
          <w:szCs w:val="32"/>
        </w:rPr>
        <w:t>0</w:t>
      </w:r>
      <w:r>
        <w:rPr>
          <w:rFonts w:eastAsia="楷体_GB2312"/>
          <w:b/>
          <w:bCs/>
          <w:sz w:val="32"/>
          <w:szCs w:val="32"/>
        </w:rPr>
        <w:t>万元。</w:t>
      </w:r>
    </w:p>
    <w:p>
      <w:pPr>
        <w:adjustRightInd w:val="0"/>
        <w:snapToGrid w:val="0"/>
        <w:spacing w:line="584" w:lineRule="exact"/>
        <w:ind w:firstLine="640" w:firstLineChars="200"/>
        <w:rPr>
          <w:rFonts w:hint="default" w:eastAsia="仿宋_GB2312"/>
          <w:b/>
          <w:bCs/>
          <w:sz w:val="32"/>
          <w:szCs w:val="32"/>
          <w:lang w:val="en-US" w:eastAsia="zh-CN"/>
        </w:rPr>
      </w:pP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无本单位组织的出国（境）团组。</w:t>
      </w:r>
      <w:r>
        <w:rPr>
          <w:rFonts w:hint="eastAsia" w:ascii="仿宋_GB2312" w:hAnsi="Times New Roman" w:eastAsia="仿宋_GB2312" w:cs="DengXian-Regular"/>
          <w:sz w:val="32"/>
          <w:szCs w:val="32"/>
        </w:rPr>
        <w:t>因公出国（境）费支出较预算增加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lang w:eastAsia="zh-CN"/>
        </w:rPr>
        <w:t>未发生因公出国</w:t>
      </w:r>
      <w:r>
        <w:rPr>
          <w:rFonts w:hint="eastAsia" w:ascii="仿宋_GB2312" w:hAnsi="Times New Roman" w:eastAsia="仿宋_GB2312" w:cs="DengXian-Regular"/>
          <w:sz w:val="32"/>
          <w:szCs w:val="32"/>
        </w:rPr>
        <w:t>（境）费支出</w:t>
      </w:r>
      <w:r>
        <w:rPr>
          <w:rFonts w:hint="eastAsia" w:ascii="仿宋_GB2312" w:eastAsia="仿宋_GB2312" w:cs="DengXian-Regular"/>
          <w:sz w:val="32"/>
          <w:szCs w:val="32"/>
          <w:lang w:eastAsia="zh-CN"/>
        </w:rPr>
        <w:t>，与</w:t>
      </w:r>
      <w:r>
        <w:rPr>
          <w:rFonts w:hint="eastAsia" w:ascii="仿宋_GB2312" w:eastAsia="仿宋_GB2312" w:cs="DengXian-Regular"/>
          <w:sz w:val="32"/>
          <w:szCs w:val="32"/>
          <w:lang w:val="en-US" w:eastAsia="zh-CN"/>
        </w:rPr>
        <w:t>2017年度决算支出持平。</w:t>
      </w:r>
    </w:p>
    <w:p>
      <w:pPr>
        <w:numPr>
          <w:ilvl w:val="0"/>
          <w:numId w:val="1"/>
        </w:numPr>
        <w:adjustRightInd w:val="0"/>
        <w:snapToGrid w:val="0"/>
        <w:spacing w:line="584" w:lineRule="exact"/>
        <w:ind w:firstLine="643" w:firstLineChars="200"/>
        <w:rPr>
          <w:rFonts w:eastAsia="楷体_GB2312"/>
          <w:b/>
          <w:bCs/>
          <w:sz w:val="32"/>
          <w:szCs w:val="32"/>
        </w:rPr>
      </w:pPr>
      <w:r>
        <w:rPr>
          <w:rFonts w:hint="eastAsia" w:ascii="楷体_GB2312" w:eastAsia="楷体_GB2312" w:cs="DengXian-Bold"/>
          <w:b/>
          <w:bCs/>
          <w:sz w:val="32"/>
          <w:szCs w:val="32"/>
        </w:rPr>
        <w:t>公务用车购置及运行维护费支出6.69万元。</w:t>
      </w:r>
      <w:r>
        <w:rPr>
          <w:rFonts w:hint="eastAsia" w:ascii="仿宋_GB2312" w:eastAsia="仿宋_GB2312" w:cs="DengXian-Regular"/>
          <w:sz w:val="32"/>
          <w:szCs w:val="32"/>
        </w:rPr>
        <w:t>本部门2018年度公务用车购置及运行维护费较预算减少0万元，降低0%,主要是厉行节约；较上年</w:t>
      </w:r>
      <w:r>
        <w:rPr>
          <w:rFonts w:hint="eastAsia" w:eastAsia="仿宋_GB2312"/>
          <w:sz w:val="32"/>
          <w:szCs w:val="32"/>
        </w:rPr>
        <w:t>增加0.02</w:t>
      </w:r>
      <w:r>
        <w:rPr>
          <w:rFonts w:hint="eastAsia" w:ascii="仿宋_GB2312" w:eastAsia="仿宋_GB2312" w:cs="DengXian-Regular"/>
          <w:sz w:val="32"/>
          <w:szCs w:val="32"/>
        </w:rPr>
        <w:t>万元，</w:t>
      </w:r>
      <w:r>
        <w:rPr>
          <w:rFonts w:eastAsia="仿宋_GB2312"/>
          <w:sz w:val="32"/>
          <w:szCs w:val="32"/>
        </w:rPr>
        <w:t>增长</w:t>
      </w:r>
      <w:r>
        <w:rPr>
          <w:rFonts w:hint="eastAsia" w:eastAsia="仿宋_GB2312"/>
          <w:sz w:val="32"/>
          <w:szCs w:val="32"/>
        </w:rPr>
        <w:t>0.28</w:t>
      </w:r>
      <w:r>
        <w:rPr>
          <w:rFonts w:hint="eastAsia" w:ascii="仿宋_GB2312" w:eastAsia="仿宋_GB2312" w:cs="DengXian-Regular"/>
          <w:sz w:val="32"/>
          <w:szCs w:val="32"/>
        </w:rPr>
        <w:t>%,主要是</w:t>
      </w:r>
      <w:r>
        <w:rPr>
          <w:rFonts w:hint="eastAsia" w:eastAsia="仿宋_GB2312"/>
          <w:sz w:val="32"/>
          <w:szCs w:val="32"/>
        </w:rPr>
        <w:t>车辆使用时间过长，需要维护</w:t>
      </w:r>
      <w:r>
        <w:rPr>
          <w:rFonts w:hint="eastAsia" w:ascii="仿宋_GB2312" w:eastAsia="仿宋_GB2312" w:cs="DengXian-Regular"/>
          <w:sz w:val="32"/>
          <w:szCs w:val="32"/>
        </w:rPr>
        <w:t>。</w:t>
      </w:r>
    </w:p>
    <w:p>
      <w:pPr>
        <w:adjustRightInd w:val="0"/>
        <w:snapToGrid w:val="0"/>
        <w:spacing w:line="584" w:lineRule="exact"/>
        <w:ind w:firstLine="643" w:firstLineChars="200"/>
        <w:rPr>
          <w:rFonts w:eastAsia="仿宋_GB2312"/>
          <w:b/>
          <w:bCs/>
          <w:sz w:val="32"/>
          <w:szCs w:val="32"/>
        </w:rPr>
      </w:pP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本部门2018年度公务用车购置量0辆，发生“公务用车购置”经费支出0万元。公务用车购置费支出较预算增加0万元，增长0%,主要是不需要；较上年增加</w:t>
      </w:r>
      <w:r>
        <w:rPr>
          <w:rFonts w:hint="eastAsia" w:eastAsia="仿宋_GB2312"/>
          <w:sz w:val="32"/>
          <w:szCs w:val="32"/>
        </w:rPr>
        <w:t>0</w:t>
      </w:r>
      <w:r>
        <w:rPr>
          <w:rFonts w:hint="eastAsia" w:ascii="仿宋_GB2312" w:eastAsia="仿宋_GB2312" w:cs="DengXian-Regular"/>
          <w:sz w:val="32"/>
          <w:szCs w:val="32"/>
        </w:rPr>
        <w:t>万元，增长0%,主要是</w:t>
      </w:r>
      <w:r>
        <w:rPr>
          <w:rFonts w:hint="eastAsia" w:eastAsia="仿宋_GB2312"/>
          <w:sz w:val="32"/>
          <w:szCs w:val="32"/>
        </w:rPr>
        <w:t>无购买需要</w:t>
      </w:r>
      <w:r>
        <w:rPr>
          <w:rFonts w:eastAsia="仿宋_GB2312"/>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本部门2019年度单位公务用车保有量2辆。公车运行维护费支出较预算增加0万元，增长0%,主要是厉行节约；较上年增加0.02万元，增长0.28%，主要是</w:t>
      </w:r>
      <w:r>
        <w:rPr>
          <w:rFonts w:hint="eastAsia" w:eastAsia="仿宋_GB2312"/>
          <w:sz w:val="32"/>
          <w:szCs w:val="32"/>
        </w:rPr>
        <w:t>车辆使用时间过长，需要维护</w:t>
      </w:r>
      <w:r>
        <w:rPr>
          <w:rFonts w:hint="eastAsia" w:ascii="仿宋_GB2312" w:eastAsia="仿宋_GB2312" w:cs="DengXian-Regular"/>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（三）</w:t>
      </w:r>
      <w:r>
        <w:rPr>
          <w:rFonts w:hint="eastAsia" w:ascii="楷体_GB2312" w:eastAsia="楷体_GB2312" w:cs="DengXian-Bold"/>
          <w:b/>
          <w:bCs/>
          <w:sz w:val="32"/>
          <w:szCs w:val="32"/>
        </w:rPr>
        <w:t>公务接待费支出x万元。</w:t>
      </w:r>
      <w:r>
        <w:rPr>
          <w:rFonts w:hint="eastAsia" w:ascii="仿宋_GB2312" w:eastAsia="仿宋_GB2312" w:cs="DengXian-Regular"/>
          <w:sz w:val="32"/>
          <w:szCs w:val="32"/>
        </w:rPr>
        <w:t>本部门2019年度公务接待共5批次、61人次。公务接待费支出较预算减少0万元，降低0%,主要是</w:t>
      </w:r>
      <w:r>
        <w:rPr>
          <w:rFonts w:hint="eastAsia" w:ascii="仿宋_GB2312" w:eastAsia="仿宋_GB2312" w:cs="DengXian-Regular"/>
          <w:sz w:val="32"/>
          <w:szCs w:val="32"/>
          <w:lang w:eastAsia="zh-CN"/>
        </w:rPr>
        <w:t>较年初预算无增减变化</w:t>
      </w:r>
      <w:r>
        <w:rPr>
          <w:rFonts w:hint="eastAsia" w:ascii="仿宋_GB2312" w:eastAsia="仿宋_GB2312" w:cs="DengXian-Regular"/>
          <w:sz w:val="32"/>
          <w:szCs w:val="32"/>
        </w:rPr>
        <w:t>；较上年度减少</w:t>
      </w:r>
      <w:r>
        <w:rPr>
          <w:rFonts w:hint="eastAsia" w:eastAsia="仿宋_GB2312"/>
          <w:sz w:val="32"/>
          <w:szCs w:val="32"/>
        </w:rPr>
        <w:t>0.72</w:t>
      </w:r>
      <w:r>
        <w:rPr>
          <w:rFonts w:hint="eastAsia" w:ascii="仿宋_GB2312" w:eastAsia="仿宋_GB2312" w:cs="DengXian-Regular"/>
          <w:sz w:val="32"/>
          <w:szCs w:val="32"/>
        </w:rPr>
        <w:t>万元，降低</w:t>
      </w:r>
      <w:r>
        <w:rPr>
          <w:rFonts w:hint="eastAsia" w:eastAsia="仿宋_GB2312"/>
          <w:sz w:val="32"/>
          <w:szCs w:val="32"/>
        </w:rPr>
        <w:t>66.07</w:t>
      </w:r>
      <w:r>
        <w:rPr>
          <w:rFonts w:hint="eastAsia" w:ascii="仿宋_GB2312" w:eastAsia="仿宋_GB2312" w:cs="DengXian-Regular"/>
          <w:sz w:val="32"/>
          <w:szCs w:val="32"/>
        </w:rPr>
        <w:t>%,主要是</w:t>
      </w:r>
      <w:r>
        <w:rPr>
          <w:rFonts w:hint="eastAsia" w:eastAsia="仿宋_GB2312"/>
          <w:sz w:val="32"/>
          <w:szCs w:val="32"/>
        </w:rPr>
        <w:t>厉行节约</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numPr>
          <w:ilvl w:val="0"/>
          <w:numId w:val="2"/>
        </w:num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预算绩效管理工作开展情况。</w:t>
      </w:r>
    </w:p>
    <w:p>
      <w:pPr>
        <w:numPr>
          <w:ilvl w:val="0"/>
          <w:numId w:val="0"/>
        </w:numPr>
        <w:tabs>
          <w:tab w:val="left" w:pos="0"/>
        </w:tabs>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 xml:space="preserve"> 我单位为加强预算科学化精细化管理合理制定事前绩效评估合理预算安排，严格按照预算管理办法合理使用资金。</w:t>
      </w:r>
    </w:p>
    <w:p>
      <w:pPr>
        <w:numPr>
          <w:ilvl w:val="0"/>
          <w:numId w:val="2"/>
        </w:num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项目绩效自评结果。</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仿宋_GB2312"/>
          <w:bCs/>
          <w:sz w:val="32"/>
          <w:szCs w:val="32"/>
        </w:rPr>
        <w:t>2018年大城县人力资源和社会保障局已完成工作开展的总体绩效目标，绩效评价全部为优。</w:t>
      </w:r>
    </w:p>
    <w:p>
      <w:pPr>
        <w:numPr>
          <w:ilvl w:val="0"/>
          <w:numId w:val="2"/>
        </w:numPr>
        <w:adjustRightInd w:val="0"/>
        <w:snapToGrid w:val="0"/>
        <w:spacing w:after="0" w:line="580" w:lineRule="exact"/>
        <w:ind w:firstLine="640" w:firstLineChars="200"/>
        <w:rPr>
          <w:rFonts w:ascii="仿宋_GB2312" w:eastAsia="仿宋_GB2312" w:cs="DengXian-Regular"/>
          <w:sz w:val="32"/>
          <w:szCs w:val="32"/>
          <w:u w:val="single"/>
        </w:rPr>
      </w:pPr>
      <w:r>
        <w:rPr>
          <w:rFonts w:hint="eastAsia" w:ascii="仿宋_GB2312" w:eastAsia="仿宋_GB2312" w:cs="DengXian-Regular"/>
          <w:sz w:val="32"/>
          <w:szCs w:val="32"/>
        </w:rPr>
        <w:t>重点项目绩效评价结果。</w:t>
      </w:r>
    </w:p>
    <w:p>
      <w:pPr>
        <w:ind w:firstLine="640" w:firstLineChars="200"/>
        <w:jc w:val="left"/>
        <w:rPr>
          <w:rFonts w:ascii="仿宋_GB2312" w:eastAsia="仿宋_GB2312" w:cs="仿宋_GB2312"/>
          <w:b/>
          <w:sz w:val="30"/>
          <w:szCs w:val="30"/>
        </w:rPr>
      </w:pPr>
      <w:r>
        <w:rPr>
          <w:rFonts w:hint="eastAsia" w:ascii="仿宋_GB2312" w:eastAsia="仿宋_GB2312" w:cs="仿宋_GB2312"/>
          <w:bCs/>
          <w:sz w:val="32"/>
          <w:szCs w:val="32"/>
        </w:rPr>
        <w:t>促进就业人员再就业，健全公共就业服务体系，全面拓展基本医疗、基本养老保险等各类保险的覆盖面和</w:t>
      </w:r>
      <w:r>
        <w:rPr>
          <w:rFonts w:hint="eastAsia" w:ascii="仿宋_GB2312" w:eastAsia="仿宋_GB2312" w:cs="仿宋_GB2312"/>
          <w:sz w:val="30"/>
          <w:szCs w:val="30"/>
        </w:rPr>
        <w:t>落实社会保险待遇、完善机关事业单位和公务员管理事务等。</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本部门2018年度机关运行经费支出7</w:t>
      </w:r>
      <w:r>
        <w:rPr>
          <w:rFonts w:hint="eastAsia" w:ascii="仿宋_GB2312" w:eastAsia="仿宋_GB2312" w:cs="DengXian-Regular"/>
          <w:sz w:val="32"/>
          <w:szCs w:val="32"/>
          <w:lang w:val="en-US" w:eastAsia="zh-CN"/>
        </w:rPr>
        <w:t>8.67</w:t>
      </w:r>
      <w:r>
        <w:rPr>
          <w:rFonts w:hint="eastAsia" w:ascii="仿宋_GB2312" w:eastAsia="仿宋_GB2312" w:cs="DengXian-Regular"/>
          <w:sz w:val="32"/>
          <w:szCs w:val="32"/>
        </w:rPr>
        <w:t>万元，</w:t>
      </w:r>
      <w:r>
        <w:rPr>
          <w:rFonts w:eastAsia="仿宋_GB2312"/>
          <w:sz w:val="32"/>
          <w:szCs w:val="32"/>
        </w:rPr>
        <w:t>较201</w:t>
      </w:r>
      <w:r>
        <w:rPr>
          <w:rFonts w:hint="eastAsia" w:eastAsia="仿宋_GB2312"/>
          <w:sz w:val="32"/>
          <w:szCs w:val="32"/>
          <w:lang w:val="en-US" w:eastAsia="zh-CN"/>
        </w:rPr>
        <w:t>8</w:t>
      </w:r>
      <w:r>
        <w:rPr>
          <w:rFonts w:eastAsia="仿宋_GB2312"/>
          <w:sz w:val="32"/>
          <w:szCs w:val="32"/>
        </w:rPr>
        <w:t>年度</w:t>
      </w:r>
      <w:r>
        <w:rPr>
          <w:rFonts w:hint="eastAsia" w:eastAsia="仿宋_GB2312"/>
          <w:sz w:val="32"/>
          <w:szCs w:val="32"/>
          <w:lang w:eastAsia="zh-CN"/>
        </w:rPr>
        <w:t>年初预</w:t>
      </w:r>
      <w:r>
        <w:rPr>
          <w:rFonts w:eastAsia="仿宋_GB2312"/>
          <w:sz w:val="32"/>
          <w:szCs w:val="32"/>
        </w:rPr>
        <w:t>算</w:t>
      </w:r>
      <w:r>
        <w:rPr>
          <w:rFonts w:hint="eastAsia" w:eastAsia="仿宋_GB2312"/>
          <w:sz w:val="32"/>
          <w:szCs w:val="32"/>
          <w:lang w:eastAsia="zh-CN"/>
        </w:rPr>
        <w:t>减少</w:t>
      </w:r>
      <w:r>
        <w:rPr>
          <w:rFonts w:hint="eastAsia" w:eastAsia="仿宋_GB2312"/>
          <w:sz w:val="32"/>
          <w:szCs w:val="32"/>
          <w:lang w:val="en-US" w:eastAsia="zh-CN"/>
        </w:rPr>
        <w:t>45.15</w:t>
      </w:r>
      <w:r>
        <w:rPr>
          <w:rFonts w:eastAsia="仿宋_GB2312"/>
          <w:sz w:val="32"/>
          <w:szCs w:val="32"/>
        </w:rPr>
        <w:t>万元</w:t>
      </w:r>
      <w:r>
        <w:rPr>
          <w:rFonts w:hint="eastAsia" w:eastAsia="仿宋_GB2312"/>
          <w:sz w:val="32"/>
          <w:szCs w:val="32"/>
          <w:lang w:eastAsia="zh-CN"/>
        </w:rPr>
        <w:t>，主要是压缩经费，节省支出，</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16.52</w:t>
      </w:r>
      <w:r>
        <w:rPr>
          <w:rFonts w:eastAsia="仿宋_GB2312"/>
          <w:sz w:val="32"/>
          <w:szCs w:val="32"/>
        </w:rPr>
        <w:t>万元，增长</w:t>
      </w:r>
      <w:r>
        <w:rPr>
          <w:rFonts w:hint="eastAsia" w:eastAsia="仿宋_GB2312"/>
          <w:sz w:val="32"/>
          <w:szCs w:val="32"/>
          <w:lang w:val="en-US" w:eastAsia="zh-CN"/>
        </w:rPr>
        <w:t>26.58</w:t>
      </w:r>
      <w:r>
        <w:rPr>
          <w:rFonts w:eastAsia="仿宋_GB2312"/>
          <w:sz w:val="32"/>
          <w:szCs w:val="32"/>
        </w:rPr>
        <w:t>%，主要</w:t>
      </w:r>
      <w:r>
        <w:rPr>
          <w:rFonts w:hint="eastAsia" w:eastAsia="仿宋_GB2312"/>
          <w:sz w:val="32"/>
          <w:szCs w:val="32"/>
        </w:rPr>
        <w:t>原因</w:t>
      </w:r>
      <w:r>
        <w:rPr>
          <w:rFonts w:eastAsia="仿宋_GB2312"/>
          <w:sz w:val="32"/>
          <w:szCs w:val="32"/>
        </w:rPr>
        <w:t>是</w:t>
      </w:r>
      <w:r>
        <w:rPr>
          <w:rFonts w:hint="eastAsia" w:eastAsia="仿宋_GB2312"/>
          <w:sz w:val="32"/>
          <w:szCs w:val="32"/>
        </w:rPr>
        <w:t>业务量增加</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bookmarkStart w:id="0" w:name="_GoBack"/>
      <w:bookmarkEnd w:id="0"/>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本部门2018年度政府采购支出总额11.58万元，从采购类型来看，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11.58</w:t>
      </w:r>
      <w:r>
        <w:rPr>
          <w:rFonts w:ascii="仿宋_GB2312" w:eastAsia="仿宋_GB2312" w:cs="仿宋_GB2312"/>
          <w:color w:val="000000"/>
          <w:kern w:val="0"/>
          <w:sz w:val="32"/>
          <w:szCs w:val="32"/>
        </w:rPr>
        <w:t xml:space="preserve"> 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万元、政府采购服务支出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w:t>
      </w:r>
      <w:r>
        <w:rPr>
          <w:rFonts w:ascii="仿宋_GB2312" w:hAnsi="仿宋_GB2312" w:eastAsia="仿宋_GB2312" w:cs="仿宋_GB2312"/>
          <w:color w:val="000000"/>
          <w:kern w:val="0"/>
          <w:sz w:val="32"/>
          <w:szCs w:val="32"/>
        </w:rPr>
        <w:t>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截至2018年12月31日，本部门共有车辆2辆，与上年同等。其中，机要通信用车2辆，应急保障用车0辆，执法执勤用车0辆，特种专业技术用车0辆，离退休干部用车0辆，其他用车0辆；单位价值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万元以上通用设备0台（套），比上年增加（减少）0套，单位价值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万元以上专用设备0台（套），比上年增加（减少）0套。</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1、本部门2018年度政府性基金预算财政拨款收入支出、国有资本经营预算财政拨款支出无收支及结转结余情况，故政府性基金预算财政拨款收入支出决算表、国有资本经营预算财政拨款支出决算表以空表列示。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2018" w:left="1588" w:header="851" w:footer="992" w:gutter="0"/>
          <w:cols w:space="720" w:num="1"/>
          <w:docGrid w:type="lines" w:linePitch="312" w:charSpace="0"/>
        </w:sectPr>
      </w:pPr>
    </w:p>
    <w:p>
      <w:pPr>
        <w:widowControl/>
        <w:spacing w:line="1200" w:lineRule="exact"/>
        <w:ind w:firstLine="1920" w:firstLineChars="200"/>
        <w:jc w:val="center"/>
        <w:rPr>
          <w:rFonts w:ascii="黑体" w:eastAsia="黑体"/>
          <w:color w:val="000000"/>
          <w:sz w:val="96"/>
          <w:szCs w:val="96"/>
        </w:rPr>
      </w:pPr>
    </w:p>
    <w:p>
      <w:pPr>
        <w:widowControl/>
        <w:spacing w:line="1200" w:lineRule="exact"/>
        <w:jc w:val="both"/>
        <w:rPr>
          <w:rFonts w:ascii="黑体" w:eastAsia="黑体"/>
          <w:color w:val="000000"/>
          <w:sz w:val="96"/>
          <w:szCs w:val="96"/>
        </w:rPr>
      </w:pPr>
    </w:p>
    <w:p>
      <w:pPr>
        <w:widowControl/>
        <w:spacing w:line="1200" w:lineRule="exact"/>
        <w:jc w:val="both"/>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ind w:firstLine="420" w:firstLineChars="200"/>
        <w:jc w:val="left"/>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思源黑体 HW Bold">
    <w:altName w:val="黑体"/>
    <w:panose1 w:val="00000000000000000000"/>
    <w:charset w:val="86"/>
    <w:family w:val="swiss"/>
    <w:pitch w:val="default"/>
    <w:sig w:usb0="00000000" w:usb1="00000000" w:usb2="00000016" w:usb3="00000000" w:csb0="002E0107" w:csb1="00000000"/>
  </w:font>
  <w:font w:name="Yu Gothic UI Semibold">
    <w:altName w:val="Meiryo"/>
    <w:panose1 w:val="00000000000000000000"/>
    <w:charset w:val="80"/>
    <w:family w:val="swiss"/>
    <w:pitch w:val="default"/>
    <w:sig w:usb0="00000000" w:usb1="00000000" w:usb2="00000016" w:usb3="00000000" w:csb0="2002009F" w:csb1="00000000"/>
  </w:font>
  <w:font w:name="仿宋_GB2312">
    <w:altName w:val="仿宋"/>
    <w:panose1 w:val="02010609030101010101"/>
    <w:charset w:val="86"/>
    <w:family w:val="modern"/>
    <w:pitch w:val="default"/>
    <w:sig w:usb0="00000000" w:usb1="00000000" w:usb2="00000000" w:usb3="00000000" w:csb0="00000000"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Meiryo">
    <w:panose1 w:val="020B0604030504040204"/>
    <w:charset w:val="80"/>
    <w:family w:val="auto"/>
    <w:pitch w:val="default"/>
    <w:sig w:usb0="E10102FF" w:usb1="EAC7FFFF" w:usb2="00010012" w:usb3="00000000" w:csb0="6002009F" w:csb1="DFD7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8F13"/>
    <w:multiLevelType w:val="singleLevel"/>
    <w:tmpl w:val="0B078F13"/>
    <w:lvl w:ilvl="0" w:tentative="0">
      <w:start w:val="1"/>
      <w:numFmt w:val="chineseCounting"/>
      <w:suff w:val="nothing"/>
      <w:lvlText w:val="（%1）"/>
      <w:lvlJc w:val="left"/>
      <w:pPr>
        <w:tabs>
          <w:tab w:val="left" w:pos="0"/>
        </w:tabs>
        <w:ind w:left="0" w:firstLine="0"/>
      </w:pPr>
      <w:rPr>
        <w:rFonts w:hint="eastAsia"/>
      </w:rPr>
    </w:lvl>
  </w:abstractNum>
  <w:abstractNum w:abstractNumId="1">
    <w:nsid w:val="2CC17AEA"/>
    <w:multiLevelType w:val="singleLevel"/>
    <w:tmpl w:val="2CC17AEA"/>
    <w:lvl w:ilvl="0" w:tentative="0">
      <w:start w:val="1"/>
      <w:numFmt w:val="chineseCounting"/>
      <w:suff w:val="nothing"/>
      <w:lvlText w:val="（%1）"/>
      <w:lvlJc w:val="left"/>
      <w:pPr>
        <w:tabs>
          <w:tab w:val="left" w:pos="0"/>
        </w:tabs>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compatSetting w:name="compatibilityMode" w:uri="http://schemas.microsoft.com/office/word" w:val="14"/>
  </w:compat>
  <w:rsids>
    <w:rsidRoot w:val="002F410E"/>
    <w:rsid w:val="00086EDC"/>
    <w:rsid w:val="002C48FA"/>
    <w:rsid w:val="002F410E"/>
    <w:rsid w:val="00613BD3"/>
    <w:rsid w:val="00BA11C8"/>
    <w:rsid w:val="00C863D3"/>
    <w:rsid w:val="00D64DBC"/>
    <w:rsid w:val="00DD6477"/>
    <w:rsid w:val="00E34ED5"/>
    <w:rsid w:val="02C97C86"/>
    <w:rsid w:val="0B62690A"/>
    <w:rsid w:val="0B8179FA"/>
    <w:rsid w:val="10FC3E6C"/>
    <w:rsid w:val="22EB14F8"/>
    <w:rsid w:val="261E485A"/>
    <w:rsid w:val="28D976CD"/>
    <w:rsid w:val="2C2A75E8"/>
    <w:rsid w:val="2CEB3250"/>
    <w:rsid w:val="3AAE3E34"/>
    <w:rsid w:val="3C2F2E15"/>
    <w:rsid w:val="3DAF56DA"/>
    <w:rsid w:val="444D6697"/>
    <w:rsid w:val="44E56EBA"/>
    <w:rsid w:val="4FC31D4B"/>
    <w:rsid w:val="57E4302F"/>
    <w:rsid w:val="5A4B7CA1"/>
    <w:rsid w:val="61915416"/>
    <w:rsid w:val="7C0B3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Calibri" w:hAnsi="Calibri" w:cs="Arial"/>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spacing w:before="280" w:after="290" w:line="377" w:lineRule="auto"/>
      <w:outlineLvl w:val="3"/>
    </w:pPr>
    <w:rPr>
      <w:rFonts w:ascii="Calibri" w:hAnsi="Calibri" w:cs="Arial"/>
      <w:b/>
      <w:bCs/>
      <w:sz w:val="28"/>
      <w:szCs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Date"/>
    <w:basedOn w:val="1"/>
    <w:next w:val="1"/>
    <w:qFormat/>
    <w:uiPriority w:val="0"/>
    <w:pPr>
      <w:ind w:left="2500" w:leftChars="25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mbria" w:hAnsi="Cambria" w:eastAsia="黑体"/>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qFormat/>
    <w:uiPriority w:val="0"/>
    <w:pPr>
      <w:widowControl/>
      <w:spacing w:after="200" w:line="276" w:lineRule="auto"/>
      <w:jc w:val="left"/>
    </w:pPr>
    <w:rPr>
      <w:rFonts w:ascii="Calibri" w:hAnsi="Calibri" w:cs="Arial"/>
      <w:i/>
      <w:iCs/>
      <w:color w:val="F0A22E"/>
      <w:spacing w:val="15"/>
      <w:kern w:val="0"/>
      <w:sz w:val="24"/>
    </w:rPr>
  </w:style>
  <w:style w:type="paragraph" w:styleId="11">
    <w:name w:val="Title"/>
    <w:basedOn w:val="1"/>
    <w:next w:val="1"/>
    <w:qFormat/>
    <w:uiPriority w:val="0"/>
    <w:pPr>
      <w:widowControl/>
      <w:pBdr>
        <w:bottom w:val="single" w:color="F0A22E" w:sz="8" w:space="4"/>
      </w:pBdr>
      <w:spacing w:after="300"/>
      <w:contextualSpacing/>
      <w:jc w:val="left"/>
    </w:pPr>
    <w:rPr>
      <w:rFonts w:ascii="Calibri" w:hAnsi="Calibri" w:cs="Arial"/>
      <w:color w:val="3A2C23"/>
      <w:spacing w:val="5"/>
      <w:kern w:val="28"/>
      <w:sz w:val="52"/>
      <w:szCs w:val="52"/>
    </w:rPr>
  </w:style>
  <w:style w:type="paragraph" w:customStyle="1" w:styleId="14">
    <w:name w:val="无间隔1"/>
    <w:qFormat/>
    <w:uiPriority w:val="0"/>
    <w:pPr>
      <w:spacing w:after="160" w:line="480" w:lineRule="auto"/>
    </w:pPr>
    <w:rPr>
      <w:rFonts w:ascii="Cambria" w:hAnsi="Cambria" w:eastAsia="黑体" w:cs="Times New Roman"/>
      <w:sz w:val="22"/>
      <w:szCs w:val="22"/>
      <w:lang w:val="en-US" w:eastAsia="zh-CN" w:bidi="ar-SA"/>
    </w:rPr>
  </w:style>
  <w:style w:type="character" w:customStyle="1" w:styleId="15">
    <w:name w:val="Style1"/>
    <w:basedOn w:val="13"/>
    <w:qFormat/>
    <w:uiPriority w:val="0"/>
    <w:rPr>
      <w:rFonts w:ascii="Cambria" w:hAnsi="Cambria" w:eastAsia="黑体" w:cs="Times New Roman"/>
      <w:sz w:val="22"/>
      <w:szCs w:val="22"/>
      <w:lang w:eastAsia="zh-CN"/>
    </w:rPr>
  </w:style>
  <w:style w:type="character" w:customStyle="1" w:styleId="16">
    <w:name w:val="Style2"/>
    <w:basedOn w:val="13"/>
    <w:qFormat/>
    <w:uiPriority w:val="0"/>
    <w:rPr>
      <w:rFonts w:ascii="Cambria" w:hAnsi="Cambria" w:eastAsia="黑体" w:cs="Times New Roman"/>
      <w:sz w:val="22"/>
      <w:szCs w:val="22"/>
      <w:lang w:eastAsia="zh-CN"/>
    </w:rPr>
  </w:style>
  <w:style w:type="character" w:customStyle="1" w:styleId="17">
    <w:name w:val="Style3"/>
    <w:basedOn w:val="13"/>
    <w:qFormat/>
    <w:uiPriority w:val="0"/>
    <w:rPr>
      <w:rFonts w:ascii="Cambria" w:hAnsi="Cambria" w:eastAsia="黑体" w:cs="Times New Roman"/>
      <w:szCs w:val="22"/>
      <w:lang w:eastAsia="zh-CN"/>
    </w:rPr>
  </w:style>
  <w:style w:type="character" w:customStyle="1" w:styleId="18">
    <w:name w:val="Style4"/>
    <w:basedOn w:val="13"/>
    <w:qFormat/>
    <w:uiPriority w:val="0"/>
    <w:rPr>
      <w:rFonts w:ascii="Cambria" w:hAnsi="Cambria" w:eastAsia="黑体" w:cs="Times New Roman"/>
      <w:szCs w:val="22"/>
      <w:lang w:eastAsia="zh-CN"/>
    </w:rPr>
  </w:style>
  <w:style w:type="character" w:customStyle="1" w:styleId="19">
    <w:name w:val="Style5"/>
    <w:basedOn w:val="13"/>
    <w:qFormat/>
    <w:uiPriority w:val="0"/>
    <w:rPr>
      <w:rFonts w:ascii="Cambria" w:hAnsi="Cambria" w:eastAsia="黑体" w:cs="Times New Roman"/>
      <w:sz w:val="22"/>
      <w:szCs w:val="22"/>
      <w:lang w:eastAsia="zh-CN"/>
    </w:rPr>
  </w:style>
  <w:style w:type="paragraph" w:customStyle="1" w:styleId="20">
    <w:name w:val="列出段落1"/>
    <w:basedOn w:val="1"/>
    <w:qFormat/>
    <w:uiPriority w:val="0"/>
    <w:pPr>
      <w:ind w:firstLine="200" w:firstLineChars="200"/>
    </w:pPr>
  </w:style>
  <w:style w:type="paragraph" w:customStyle="1" w:styleId="21">
    <w:name w:val="Table Paragraph"/>
    <w:basedOn w:val="1"/>
    <w:qFormat/>
    <w:uiPriority w:val="0"/>
    <w:pPr>
      <w:spacing w:before="13" w:line="244" w:lineRule="exact"/>
      <w:jc w:val="right"/>
    </w:pPr>
    <w:rPr>
      <w:rFonts w:ascii="宋体" w:cs="宋体"/>
      <w:lang w:val="zh-CN" w:bidi="zh-CN"/>
    </w:rPr>
  </w:style>
  <w:style w:type="paragraph" w:styleId="2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schemeClr val="tx2"/>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853</Words>
  <Characters>4865</Characters>
  <Lines>40</Lines>
  <Paragraphs>11</Paragraphs>
  <TotalTime>23</TotalTime>
  <ScaleCrop>false</ScaleCrop>
  <LinksUpToDate>false</LinksUpToDate>
  <CharactersWithSpaces>5707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2019-11-13T03:34:00Z</cp:lastPrinted>
  <dcterms:modified xsi:type="dcterms:W3CDTF">2021-05-31T02:33:11Z</dcterms:modified>
  <dc:subject>石家庄市xxx部门</dc:subject>
  <dc:title>2017年度部门决算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A697CE356F9D41B2BB89DC58348E9B01</vt:lpwstr>
  </property>
</Properties>
</file>