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ectPr>
          <w:headerReference w:type="default" r:id="rId2"/>
          <w:headerReference w:type="even" r:id="rId3"/>
          <w:headerReference w:type="first" r:id="rId4"/>
          <w:pgSz w:w="11906" w:h="16838"/>
          <w:pgMar w:top="0" w:right="0" w:bottom="0" w:left="0" w:header="851" w:footer="992" w:gutter="0"/>
          <w:titlePg/>
          <w:docGrid w:type="lines" w:linePitch="312" w:charSpace="0"/>
        </w:sectPr>
      </w:pPr>
      <w:r>
        <mc:AlternateContent>
          <mc:Choice Requires="wps">
            <w:drawing>
              <wp:anchor distT="0" distB="0" distL="114298" distR="114298" simplePos="0" relativeHeight="41" behindDoc="0" locked="0" layoutInCell="1" hidden="0" allowOverlap="1">
                <wp:simplePos x="0" y="0"/>
                <wp:positionH relativeFrom="column">
                  <wp:posOffset>1349375</wp:posOffset>
                </wp:positionH>
                <wp:positionV relativeFrom="paragraph">
                  <wp:posOffset>8808085</wp:posOffset>
                </wp:positionV>
                <wp:extent cx="5132705" cy="487680"/>
                <wp:effectExtent l="0" t="0" r="0" b="0"/>
                <wp:wrapNone/>
                <wp:docPr id="1" name="文本框"/>
                <wp:cNvGraphicFramePr>
                  <a:graphicFrameLocks noChangeAspect="0"/>
                </wp:cNvGraphicFramePr>
                <a:graphic>
                  <a:graphicData uri="http://schemas.microsoft.com/office/word/2010/wordprocessingShape">
                    <wps:wsp>
                      <wps:cNvSpPr/>
                      <wps:spPr>
                        <a:xfrm rot="0">
                          <a:off x="0" y="0"/>
                          <a:ext cx="5132705" cy="487680"/>
                        </a:xfrm>
                        <a:prstGeom prst="rect"/>
                        <a:noFill/>
                        <a:ln w="9525" cmpd="sng" cap="flat">
                          <a:noFill/>
                          <a:prstDash val="solid"/>
                          <a:miter/>
                        </a:ln>
                      </wps:spPr>
                      <wps:txbx id="2">
                        <w:txbxContent>
                          <w:p>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shape type="#_x0000_t202" id="文本框 3" o:spid="_x0000_s3" filled="f" stroked="f" style="position:absolute;margin-left:106.25pt;margin-top:693.55pt;width:404.15pt;height:38.40002pt;z-index:41;mso-position-horizontal:absolute;mso-position-vertical:absolute;mso-wrap-distance-left:8.999863pt;mso-wrap-distance-right:8.999863pt;mso-wrap-style:square;">
                <v:stroke color="#000000"/>
                <v:textbox id="848" inset="2.54mm,1.27mm,2.54mm,1.27mm" o:insetmode="custom" style="layout-flow:horizontal;v-text-anchor:top;mso-fit-shape-to-text:t;">
                  <w:txbxContent>
                    <w:p>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v:textbox>
              </v:shape>
            </w:pict>
          </mc:Fallback>
        </mc:AlternateContent>
      </w:r>
      <w:r>
        <mc:AlternateContent>
          <mc:Choice Requires="wps">
            <w:drawing>
              <wp:anchor distT="0" distB="0" distL="114298" distR="114298" simplePos="0" relativeHeight="35"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4"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5">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6" o:spid="_x0000_s6" fillcolor="#FFFFFF" stroked="f" style="position:absolute;margin-left:53.5pt;margin-top:232.45pt;width:121.950005pt;height:121.950005pt;z-index:35;mso-position-horizontal:absolute;mso-position-vertical:absolute;mso-wrap-distance-left:8.999863pt;mso-wrap-distance-right:8.999863pt;mso-wrap-style:square;">
                <v:stroke color="#000000"/>
                <v:textbox id="859"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45" behindDoc="0" locked="0" layoutInCell="1" hidden="0" allowOverlap="1">
                <wp:simplePos x="0" y="0"/>
                <wp:positionH relativeFrom="column">
                  <wp:posOffset>426720</wp:posOffset>
                </wp:positionH>
                <wp:positionV relativeFrom="paragraph">
                  <wp:posOffset>3260725</wp:posOffset>
                </wp:positionV>
                <wp:extent cx="2040254" cy="883920"/>
                <wp:effectExtent l="0" t="0" r="0" b="0"/>
                <wp:wrapNone/>
                <wp:docPr id="7" name="矩形"/>
                <wp:cNvGraphicFramePr>
                  <a:graphicFrameLocks noChangeAspect="0"/>
                </wp:cNvGraphicFramePr>
                <a:graphic>
                  <a:graphicData uri="http://schemas.microsoft.com/office/word/2010/wordprocessingShape">
                    <wps:wsp>
                      <wps:cNvSpPr/>
                      <wps:spPr>
                        <a:xfrm rot="0">
                          <a:off x="0" y="0"/>
                          <a:ext cx="2040254" cy="883920"/>
                        </a:xfrm>
                        <a:prstGeom prst="rect"/>
                        <a:noFill/>
                        <a:ln w="9525" cmpd="sng" cap="flat">
                          <a:noFill/>
                          <a:prstDash val="solid"/>
                          <a:miter/>
                        </a:ln>
                      </wps:spPr>
                      <wps:txbx id="8">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9" o:spid="_x0000_s9" filled="f" stroked="f" style="position:absolute;margin-left:33.6pt;margin-top:256.75pt;width:160.65pt;height:69.600006pt;z-index:45;mso-position-horizontal:absolute;mso-position-vertical:absolute;mso-wrap-distance-left:8.999863pt;mso-wrap-distance-right:8.999863pt;mso-wrap-style:square;">
                <v:stroke color="#000000"/>
                <v:textbox id="860"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mc:Fallback>
        </mc:AlternateContent>
      </w:r>
      <w:r>
        <mc:AlternateContent>
          <mc:Choice Requires="wps">
            <w:drawing>
              <wp:anchor distT="0" distB="0" distL="114298" distR="114298" simplePos="0" relativeHeight="43"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10"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11">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12" o:spid="_x0000_s12" fillcolor="#1F2959" stroked="f" style="position:absolute;margin-left:62.200005pt;margin-top:242.75pt;width:103.45pt;height:103.45pt;z-index:43;mso-position-horizontal:absolute;mso-position-vertical:absolute;mso-wrap-distance-left:8.999863pt;mso-wrap-distance-right:8.999863pt;mso-wrap-style:square;">
                <v:stroke color="#000000"/>
                <v:textbox id="861"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37" behindDoc="0" locked="0" layoutInCell="1" hidden="0" allowOverlap="1">
                <wp:simplePos x="0" y="0"/>
                <wp:positionH relativeFrom="column">
                  <wp:posOffset>15875</wp:posOffset>
                </wp:positionH>
                <wp:positionV relativeFrom="paragraph">
                  <wp:posOffset>10435590</wp:posOffset>
                </wp:positionV>
                <wp:extent cx="7559675" cy="272415"/>
                <wp:effectExtent l="0" t="0" r="0" b="0"/>
                <wp:wrapNone/>
                <wp:docPr id="13" name="组合"/>
                <wp:cNvGraphicFramePr>
                  <a:graphicFrameLocks noChangeAspect="0"/>
                </wp:cNvGraphicFramePr>
                <a:graphic>
                  <a:graphicData uri="http://schemas.microsoft.com/office/word/2010/wordprocessingGroup">
                    <wpg:wgp>
                      <wpg:cNvPr id="14" name="组合 14"/>
                      <wpg:cNvGrpSpPr/>
                      <wpg:grpSpPr>
                        <a:xfrm rot="0">
                          <a:off x="0" y="0"/>
                          <a:ext cx="7559675" cy="272415"/>
                          <a:chOff x="0" y="0"/>
                          <a:chExt cx="7559675" cy="272415"/>
                        </a:xfrm>
                        <a:prstGeom prst="rect"/>
                        <a:solidFill>
                          <a:srgbClr val="FFFFFF"/>
                        </a:solidFill>
                        <a:ln w="9525" cmpd="sng" cap="flat">
                          <a:solidFill>
                            <a:srgbClr val="000000"/>
                          </a:solidFill>
                          <a:prstDash val="solid"/>
                          <a:miter/>
                        </a:ln>
                      </wpg:grpSpPr>
                      <wps:wsp>
                        <wps:cNvPr id="15" name="矩形 15"/>
                        <wps:cNvSpPr/>
                        <wps:spPr>
                          <a:xfrm rot="0">
                            <a:off x="0" y="0"/>
                            <a:ext cx="714375" cy="271780"/>
                          </a:xfrm>
                          <a:prstGeom prst="rect"/>
                          <a:solidFill>
                            <a:srgbClr val="FDBC11"/>
                          </a:solidFill>
                          <a:ln w="9525" cmpd="sng" cap="flat">
                            <a:noFill/>
                            <a:prstDash val="solid"/>
                            <a:miter/>
                          </a:ln>
                        </wps:spPr>
                        <wps:bodyPr vert="horz" wrap="square" lIns="91440" tIns="45720" rIns="91440" bIns="45720" anchor="ctr" anchorCtr="0" upright="1">
                          <a:noAutofit/>
                        </wps:bodyPr>
                      </wps:wsp>
                      <wps:wsp>
                        <wps:cNvPr id="16" name="矩形 16"/>
                        <wps:cNvSpPr/>
                        <wps:spPr>
                          <a:xfrm rot="0">
                            <a:off x="714375" y="634"/>
                            <a:ext cx="6845300" cy="271780"/>
                          </a:xfrm>
                          <a:prstGeom prst="rect"/>
                          <a:solidFill>
                            <a:srgbClr val="1F2959"/>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7" o:spid="_x0000_s17" coordorigin="25,17587" coordsize="11905,429" style="position:absolute;margin-left:1.2500019pt;margin-top:821.7pt;width:595.25pt;height:21.450022pt;z-index:37;mso-position-horizontal:absolute;mso-position-vertical:absolute;mso-wrap-distance-left:8.999863pt;mso-wrap-distance-right:8.999863pt;">
                <v:rect type="#_x0000_t1" id="_s18" o:spid="_x0000_s18" style="position:absolute;left:25;top:17587;width:1125;height:428;" fillcolor="#FDBC11" stroked="f">
                  <v:stroke color="#000000"/>
                </v:rect>
                <v:rect type="#_x0000_t1" id="_s19" o:spid="_x0000_s19" style="position:absolute;left:1150;top:17588;width:10780;height:428;" fillcolor="#1F2959" stroked="f">
                  <v:stroke color="#000000"/>
                </v:rect>
              </v:group>
            </w:pict>
          </mc:Fallback>
        </mc:AlternateContent>
      </w:r>
      <w:r>
        <mc:AlternateContent>
          <mc:Choice Requires="wps">
            <w:drawing>
              <wp:anchor distT="0" distB="0" distL="114298" distR="114298" simplePos="0" relativeHeight="2" behindDoc="1" locked="0" layoutInCell="1" hidden="0" allowOverlap="1">
                <wp:simplePos x="0" y="0"/>
                <wp:positionH relativeFrom="column">
                  <wp:posOffset>-31749</wp:posOffset>
                </wp:positionH>
                <wp:positionV relativeFrom="paragraph">
                  <wp:posOffset>0</wp:posOffset>
                </wp:positionV>
                <wp:extent cx="7623175" cy="3917950"/>
                <wp:effectExtent l="0" t="0" r="0" b="0"/>
                <wp:wrapNone/>
                <wp:docPr id="20" name="组合"/>
                <wp:cNvGraphicFramePr>
                  <a:graphicFrameLocks noChangeAspect="0"/>
                </wp:cNvGraphicFramePr>
                <a:graphic>
                  <a:graphicData uri="http://schemas.microsoft.com/office/word/2010/wordprocessingGroup">
                    <wpg:wgp>
                      <wpg:cNvPr id="21" name="组合 21"/>
                      <wpg:cNvGrpSpPr/>
                      <wpg:grpSpPr>
                        <a:xfrm rot="0">
                          <a:off x="0" y="0"/>
                          <a:ext cx="7623175" cy="3917950"/>
                          <a:chOff x="0" y="0"/>
                          <a:chExt cx="7623175" cy="3917950"/>
                        </a:xfrm>
                        <a:prstGeom prst="rect"/>
                        <a:solidFill>
                          <a:srgbClr val="FFFFFF"/>
                        </a:solidFill>
                        <a:ln w="9525" cmpd="sng" cap="flat">
                          <a:solidFill>
                            <a:srgbClr val="000000"/>
                          </a:solidFill>
                          <a:prstDash val="solid"/>
                          <a:miter/>
                        </a:ln>
                      </wpg:grpSpPr>
                      <wps:wsp>
                        <wps:cNvPr id="22" name="矩形 22"/>
                        <wps:cNvSpPr/>
                        <wps:spPr>
                          <a:xfrm rot="0">
                            <a:off x="0" y="0"/>
                            <a:ext cx="7623175" cy="3917950"/>
                          </a:xfrm>
                          <a:prstGeom prst="rect"/>
                          <a:solidFill>
                            <a:srgbClr val="FDBC11"/>
                          </a:solidFill>
                          <a:ln w="9525" cmpd="sng" cap="flat">
                            <a:noFill/>
                            <a:prstDash val="solid"/>
                            <a:miter/>
                          </a:ln>
                        </wps:spPr>
                        <wps:bodyPr vert="horz" wrap="square" lIns="91440" tIns="45720" rIns="91440" bIns="45720" anchor="ctr" anchorCtr="0" upright="1">
                          <a:noAutofit/>
                        </wps:bodyPr>
                      </wps:wsp>
                      <wps:wsp>
                        <wps:cNvPr id="23" name="文本框 23"/>
                        <wps:cNvSpPr/>
                        <wps:spPr>
                          <a:xfrm rot="0">
                            <a:off x="2290445" y="3008630"/>
                            <a:ext cx="5132705" cy="883920"/>
                          </a:xfrm>
                          <a:prstGeom prst="rect"/>
                          <a:noFill/>
                          <a:ln w="9525" cmpd="sng" cap="flat">
                            <a:noFill/>
                            <a:prstDash val="solid"/>
                            <a:miter/>
                          </a:ln>
                        </wps:spPr>
                        <wps:txbx id="24">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0">
                          <a:spAutoFit/>
                        </wps:bodyPr>
                      </wps:wsp>
                      <wps:bodyPr vert="horz" wrap="square" lIns="91440" tIns="45720" rIns="91440" bIns="45720" anchor="t" anchorCtr="0" upright="1">
                        <a:noAutofit/>
                      </wps:bodyPr>
                    </wpg:wgp>
                  </a:graphicData>
                </a:graphic>
              </wp:anchor>
            </w:drawing>
          </mc:Choice>
          <mc:Fallback>
            <w:pict>
              <v:group type="#_x0000_t1" id="组合 25" o:spid="_x0000_s25" coordorigin="-49,1153" coordsize="12005,6170" style="position:absolute;margin-left:-2.4999924pt;margin-top:0.0pt;width:600.25pt;height:308.5pt;z-index:-20;mso-position-horizontal:absolute;mso-position-vertical:absolute;mso-wrap-distance-left:8.999863pt;mso-wrap-distance-right:8.999863pt;">
                <v:rect type="#_x0000_t1" id="_s26" o:spid="_x0000_s26" style="position:absolute;left:-49;top:1153;width:12005;height:6170;" fillcolor="#FDBC11" stroked="f">
                  <v:stroke color="#000000"/>
                </v:rect>
                <v:shape type="#_x0000_t202" id="_s27" o:spid="_x0000_s27" style="position:absolute;left:3557;top:5891;width:8083;height:1392;mso-wrap-style:square;" filled="f" stroked="f">
                  <v:textbox id="849" inset="2.54mm,1.27mm,2.54mm,1.27mm" o:insetmode="custom" style="layout-flow:horizontal;v-text-anchor:top;mso-fit-shape-to-text:t;">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shape>
              </v:group>
            </w:pict>
          </mc:Fallback>
        </mc:AlternateContent>
      </w:r>
      <w:r>
        <mc:AlternateContent>
          <mc:Choice Requires="wps">
            <w:drawing>
              <wp:anchor distT="0" distB="0" distL="114298" distR="114298" simplePos="0" relativeHeight="39" behindDoc="0" locked="0" layoutInCell="1" hidden="0" allowOverlap="1">
                <wp:simplePos x="0" y="0"/>
                <wp:positionH relativeFrom="column">
                  <wp:posOffset>2346325</wp:posOffset>
                </wp:positionH>
                <wp:positionV relativeFrom="paragraph">
                  <wp:posOffset>3639820</wp:posOffset>
                </wp:positionV>
                <wp:extent cx="192404" cy="289559"/>
                <wp:effectExtent l="0" t="0" r="0" b="0"/>
                <wp:wrapNone/>
                <wp:docPr id="28" name="矩形"/>
                <wp:cNvGraphicFramePr>
                  <a:graphicFrameLocks noChangeAspect="0"/>
                </wp:cNvGraphicFramePr>
                <a:graphic>
                  <a:graphicData uri="http://schemas.microsoft.com/office/word/2010/wordprocessingShape">
                    <wps:wsp>
                      <wps:cNvSpPr/>
                      <wps:spPr>
                        <a:xfrm rot="0">
                          <a:off x="0" y="0"/>
                          <a:ext cx="192404" cy="289559"/>
                        </a:xfrm>
                        <a:prstGeom prst="rect"/>
                        <a:noFill/>
                        <a:ln w="9525" cmpd="sng" cap="flat">
                          <a:noFill/>
                          <a:prstDash val="solid"/>
                          <a:miter/>
                        </a:ln>
                      </wps:spPr>
                      <wps:txbx id="29">
                        <w:txbxContent>
                          <w:p/>
                        </w:txbxContent>
                      </wps:txbx>
                      <wps:bodyPr vert="horz" wrap="none" lIns="91440" tIns="45720" rIns="91440" bIns="45720" anchor="t" anchorCtr="0" upright="1">
                        <a:spAutoFit/>
                      </wps:bodyPr>
                    </wps:wsp>
                  </a:graphicData>
                </a:graphic>
              </wp:anchor>
            </w:drawing>
          </mc:Choice>
          <mc:Fallback>
            <w:pict>
              <v:rect type="#_x0000_t1" id="矩形 30" o:spid="_x0000_s30" filled="f" stroked="f" style="position:absolute;margin-left:184.75pt;margin-top:286.6pt;width:15.149996pt;height:22.799992pt;z-index:39;mso-position-horizontal:absolute;mso-position-vertical:absolute;mso-wrap-distance-left:8.999863pt;mso-wrap-distance-right:8.999863pt;mso-wrap-style:none;">
                <v:stroke color="#000000"/>
                <v:textbox id="862" inset="2.54mm,1.27mm,2.54mm,1.27mm" o:insetmode="custom" style="layout-flow:horizontal;v-text-anchor:top;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sz w:val="48"/>
          <w:szCs w:val="48"/>
        </w:rPr>
      </w:pPr>
      <w:r>
        <w:rPr>
          <w:rFonts w:ascii="黑体" w:eastAsia="黑体"/>
          <w:sz w:val="48"/>
          <w:szCs w:val="48"/>
        </w:rPr>
        <w:br w:type="page"/>
      </w:r>
    </w:p>
    <w:p>
      <w:pPr>
        <w:tabs>
          <w:tab w:val="left" w:pos="2728"/>
        </w:tabs>
        <w:rPr>
          <w:rFonts w:ascii="黑体" w:eastAsia="黑体"/>
          <w:sz w:val="48"/>
          <w:szCs w:val="48"/>
        </w:rPr>
      </w:pPr>
      <w:r>
        <w:rPr>
          <w:rFonts w:ascii="黑体" w:eastAsia="黑体"/>
          <w:sz w:val="48"/>
          <w:szCs w:val="48"/>
        </w:rPr>
        <w:tab/>
      </w:r>
    </w:p>
    <w:p>
      <w:pPr>
        <w:rPr>
          <w:rFonts w:ascii="黑体" w:eastAsia="黑体" w:cs="黑体"/>
          <w:sz w:val="56"/>
          <w:szCs w:val="72"/>
        </w:rPr>
      </w:pPr>
    </w:p>
    <w:p>
      <w:pPr>
        <w:rPr>
          <w:rFonts w:ascii="黑体" w:eastAsia="黑体" w:cs="黑体"/>
          <w:b/>
          <w:bCs/>
          <w:sz w:val="72"/>
          <w:szCs w:val="96"/>
        </w:rPr>
      </w:pPr>
      <w:r>
        <w:rPr>
          <w:rFonts w:ascii="黑体" w:eastAsia="黑体" w:cs="黑体"/>
          <w:b/>
          <w:bCs/>
          <w:sz w:val="72"/>
          <w:szCs w:val="96"/>
        </w:rPr>
        <w:t>2019</w:t>
      </w:r>
      <w:r>
        <w:rPr>
          <w:rFonts w:ascii="黑体" w:eastAsia="黑体" w:cs="黑体" w:hint="eastAsia"/>
          <w:b/>
          <w:bCs/>
          <w:sz w:val="72"/>
          <w:szCs w:val="96"/>
        </w:rPr>
        <w:t>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大城县信访局</w:t>
      </w:r>
    </w:p>
    <w:p>
      <w:pPr>
        <w:snapToGrid w:val="0"/>
        <w:jc w:val="center"/>
        <w:rPr>
          <w:rFonts w:ascii="楷体_GB2312" w:eastAsia="楷体_GB2312" w:cs="楷体_GB2312"/>
          <w:color w:val="000000"/>
          <w:kern w:val="0"/>
          <w:sz w:val="44"/>
          <w:szCs w:val="44"/>
        </w:rPr>
        <w:sectPr>
          <w:headerReference w:type="default" r:id="rId5"/>
          <w:headerReference w:type="first" r:id="rId6"/>
          <w:footerReference w:type="first" r:id="rId7"/>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rPr>
        <w:t>二〇二〇年十一月</w:t>
      </w:r>
    </w:p>
    <w:p>
      <w:pPr>
        <w:jc w:val="center"/>
        <w:rPr>
          <w:rFonts w:ascii="黑体" w:eastAsia="黑体" w:cs="黑体"/>
          <w:sz w:val="56"/>
          <w:szCs w:val="72"/>
        </w:rPr>
        <w:sectPr>
          <w:headerReference w:type="default" r:id="rId8"/>
          <w:headerReference w:type="first" r:id="rId9"/>
          <w:footerReference w:type="default" r:id="rId10"/>
          <w:footerReference w:type="first" r:id="rId11"/>
          <w:type w:val="continuous"/>
          <w:pgSz w:w="11906" w:h="16838"/>
          <w:pgMar w:top="2041" w:right="1531" w:bottom="2041" w:left="1531" w:header="851" w:footer="992" w:gutter="0"/>
          <w:titlePg/>
          <w:docGrid w:type="lines" w:linePitch="312" w:charSpace="0"/>
        </w:sectPr>
      </w:pPr>
    </w:p>
    <w:p>
      <w:pPr>
        <w:rPr>
          <w:rFonts w:ascii="黑体" w:eastAsia="黑体"/>
          <w:sz w:val="48"/>
          <w:szCs w:val="48"/>
        </w:rPr>
      </w:pPr>
    </w:p>
    <w:p>
      <w:pPr>
        <w:tabs>
          <w:tab w:val="left" w:pos="2728"/>
        </w:tabs>
        <w:jc w:val="center"/>
        <w:rPr>
          <w:rFonts w:ascii="黑体" w:eastAsia="黑体"/>
          <w:sz w:val="48"/>
          <w:szCs w:val="48"/>
        </w:rPr>
      </w:pPr>
      <w:r>
        <w:rPr>
          <w:rFonts w:ascii="黑体" w:eastAsia="黑体" w:hint="eastAsia"/>
          <w:sz w:val="48"/>
          <w:szCs w:val="48"/>
        </w:rPr>
        <w:t>目</w:t>
      </w:r>
      <w:r>
        <w:rPr>
          <w:rFonts w:ascii="黑体" w:eastAsia="黑体"/>
          <w:sz w:val="48"/>
          <w:szCs w:val="48"/>
        </w:rPr>
        <w:t xml:space="preserve">    </w:t>
      </w:r>
      <w:r>
        <w:rPr>
          <w:rFonts w:ascii="黑体" w:eastAsia="黑体" w:hint="eastAsia"/>
          <w:sz w:val="48"/>
          <w:szCs w:val="48"/>
        </w:rPr>
        <w:t>录</w:t>
      </w:r>
    </w:p>
    <w:p>
      <w:pPr>
        <w:widowControl/>
        <w:spacing w:after="160" w:line="580" w:lineRule="exact"/>
        <w:ind w:firstLineChars="200" w:firstLine="640"/>
        <w:rPr>
          <w:rFonts w:ascii="Times New Roman" w:eastAsia="黑体" w:hAnsi="Times New Roman"/>
          <w:sz w:val="32"/>
          <w:szCs w:val="32"/>
        </w:rPr>
      </w:pPr>
    </w:p>
    <w:p>
      <w:pPr>
        <w:widowControl/>
        <w:spacing w:after="160" w:line="580" w:lineRule="exact"/>
        <w:ind w:firstLineChars="200" w:firstLine="640"/>
        <w:rPr>
          <w:rFonts w:ascii="Times New Roman" w:hAnsi="Times New Roman"/>
          <w:sz w:val="24"/>
          <w:szCs w:val="32"/>
        </w:rPr>
      </w:pPr>
      <w:r>
        <w:rPr>
          <w:rFonts w:ascii="Times New Roman" w:eastAsia="黑体" w:hAnsi="Times New Roman" w:hint="eastAsia"/>
          <w:sz w:val="32"/>
          <w:szCs w:val="32"/>
        </w:rPr>
        <w:t>第一部分</w:t>
      </w:r>
      <w:r>
        <w:rPr>
          <w:rFonts w:ascii="Times New Roman" w:eastAsia="黑体" w:hAnsi="Times New Roman"/>
          <w:sz w:val="32"/>
          <w:szCs w:val="32"/>
        </w:rPr>
        <w:t xml:space="preserve">   </w:t>
      </w:r>
      <w:r>
        <w:rPr>
          <w:rFonts w:ascii="Times New Roman" w:eastAsia="黑体" w:hAnsi="Times New Roman" w:hint="eastAsia"/>
          <w:sz w:val="32"/>
          <w:szCs w:val="32"/>
        </w:rPr>
        <w:t>部门概况</w:t>
      </w:r>
    </w:p>
    <w:p>
      <w:pPr>
        <w:widowControl/>
        <w:spacing w:after="160" w:line="580" w:lineRule="exact"/>
        <w:ind w:firstLineChars="398" w:firstLine="1274"/>
        <w:rPr>
          <w:rFonts w:ascii="Times New Roman" w:hAnsi="Times New Roman"/>
          <w:sz w:val="32"/>
          <w:szCs w:val="32"/>
        </w:rPr>
      </w:pPr>
      <w:r>
        <w:rPr>
          <w:rFonts w:ascii="宋体" w:eastAsia="宋体" w:cs="宋体" w:hint="eastAsia"/>
          <w:sz w:val="32"/>
          <w:szCs w:val="32"/>
        </w:rPr>
        <w:t>一、部门职责</w:t>
      </w:r>
    </w:p>
    <w:p>
      <w:pPr>
        <w:widowControl/>
        <w:spacing w:after="160" w:line="580" w:lineRule="exact"/>
        <w:ind w:firstLineChars="398" w:firstLine="1274"/>
        <w:rPr>
          <w:rFonts w:ascii="Times New Roman" w:hAnsi="Times New Roman"/>
          <w:sz w:val="32"/>
          <w:szCs w:val="32"/>
        </w:rPr>
      </w:pPr>
      <w:r>
        <w:rPr>
          <w:rFonts w:ascii="宋体" w:eastAsia="宋体" w:cs="宋体" w:hint="eastAsia"/>
          <w:sz w:val="32"/>
          <w:szCs w:val="32"/>
        </w:rPr>
        <w:t>二、机构设置</w:t>
      </w:r>
    </w:p>
    <w:p>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第二部分</w:t>
      </w:r>
      <w:r>
        <w:rPr>
          <w:rFonts w:ascii="Times New Roman" w:eastAsia="黑体" w:hAnsi="Times New Roman"/>
          <w:sz w:val="32"/>
          <w:szCs w:val="32"/>
        </w:rPr>
        <w:t xml:space="preserve">   2019</w:t>
      </w:r>
      <w:r>
        <w:rPr>
          <w:rFonts w:ascii="Times New Roman" w:eastAsia="黑体" w:hAnsi="Times New Roman" w:hint="eastAsia"/>
          <w:sz w:val="32"/>
          <w:szCs w:val="32"/>
        </w:rPr>
        <w:t>年部门决算情况说明</w:t>
      </w:r>
    </w:p>
    <w:p>
      <w:pPr>
        <w:widowControl/>
        <w:spacing w:after="160" w:line="580" w:lineRule="exact"/>
        <w:ind w:left="640" w:firstLineChars="200" w:firstLine="640"/>
        <w:rPr>
          <w:rFonts w:ascii="Times New Roman" w:hAnsi="Times New Roman"/>
          <w:sz w:val="32"/>
          <w:szCs w:val="32"/>
        </w:rPr>
      </w:pPr>
      <w:r>
        <w:rPr>
          <w:rFonts w:ascii="宋体" w:eastAsia="宋体" w:cs="宋体" w:hint="eastAsia"/>
          <w:sz w:val="32"/>
          <w:szCs w:val="32"/>
        </w:rPr>
        <w:t>一、收入支出决算总体情况说明</w:t>
      </w:r>
    </w:p>
    <w:p>
      <w:pPr>
        <w:widowControl/>
        <w:spacing w:after="160" w:line="580" w:lineRule="exact"/>
        <w:ind w:left="640" w:firstLineChars="200" w:firstLine="640"/>
        <w:rPr>
          <w:rFonts w:ascii="Times New Roman" w:hAnsi="Times New Roman"/>
          <w:sz w:val="32"/>
          <w:szCs w:val="32"/>
        </w:rPr>
      </w:pPr>
      <w:r>
        <w:rPr>
          <w:rFonts w:ascii="宋体" w:eastAsia="宋体" w:cs="宋体" w:hint="eastAsia"/>
          <w:sz w:val="32"/>
          <w:szCs w:val="32"/>
        </w:rPr>
        <w:t>二、收入决算情况说明</w:t>
      </w:r>
    </w:p>
    <w:p>
      <w:pPr>
        <w:widowControl/>
        <w:spacing w:after="160" w:line="580" w:lineRule="exact"/>
        <w:ind w:left="640" w:firstLineChars="200" w:firstLine="640"/>
        <w:rPr>
          <w:rFonts w:ascii="Times New Roman" w:hAnsi="Times New Roman"/>
          <w:sz w:val="32"/>
          <w:szCs w:val="32"/>
        </w:rPr>
      </w:pPr>
      <w:r>
        <w:rPr>
          <w:rFonts w:ascii="宋体" w:eastAsia="宋体" w:cs="宋体" w:hint="eastAsia"/>
          <w:sz w:val="32"/>
          <w:szCs w:val="32"/>
        </w:rPr>
        <w:t>三、支出决算情况说明</w:t>
      </w:r>
    </w:p>
    <w:p>
      <w:pPr>
        <w:widowControl/>
        <w:spacing w:after="160" w:line="580" w:lineRule="exact"/>
        <w:ind w:left="640" w:firstLineChars="200" w:firstLine="640"/>
        <w:rPr>
          <w:rFonts w:ascii="Times New Roman" w:hAnsi="Times New Roman"/>
          <w:sz w:val="32"/>
          <w:szCs w:val="32"/>
        </w:rPr>
      </w:pPr>
      <w:r>
        <w:rPr>
          <w:rFonts w:ascii="宋体" w:eastAsia="宋体" w:cs="宋体" w:hint="eastAsia"/>
          <w:sz w:val="32"/>
          <w:szCs w:val="32"/>
        </w:rPr>
        <w:t>四、财政拨款收入支出决算总体情况说明</w:t>
      </w:r>
    </w:p>
    <w:p>
      <w:pPr>
        <w:widowControl/>
        <w:spacing w:after="160" w:line="580" w:lineRule="exact"/>
        <w:ind w:left="640" w:firstLineChars="200" w:firstLine="640"/>
        <w:rPr>
          <w:rFonts w:ascii="Times New Roman" w:hAnsi="Times New Roman"/>
          <w:sz w:val="32"/>
          <w:szCs w:val="32"/>
        </w:rPr>
      </w:pPr>
      <w:r>
        <w:rPr>
          <w:rFonts w:ascii="宋体" w:eastAsia="宋体" w:cs="宋体" w:hint="eastAsia"/>
          <w:sz w:val="32"/>
          <w:szCs w:val="32"/>
        </w:rPr>
        <w:t>五、一般公共预算</w:t>
      </w:r>
      <w:r>
        <w:rPr>
          <w:rFonts w:ascii="Times New Roman" w:hAnsi="Times New Roman"/>
          <w:sz w:val="32"/>
          <w:szCs w:val="32"/>
        </w:rPr>
        <w:t>“</w:t>
      </w:r>
      <w:r>
        <w:rPr>
          <w:rFonts w:ascii="宋体" w:eastAsia="宋体" w:cs="宋体" w:hint="eastAsia"/>
          <w:sz w:val="32"/>
          <w:szCs w:val="32"/>
        </w:rPr>
        <w:t>三公</w:t>
      </w:r>
      <w:r>
        <w:rPr>
          <w:rFonts w:ascii="Times New Roman" w:hAnsi="Times New Roman"/>
          <w:sz w:val="32"/>
          <w:szCs w:val="32"/>
        </w:rPr>
        <w:t>”</w:t>
      </w:r>
      <w:r>
        <w:rPr>
          <w:rFonts w:ascii="宋体" w:eastAsia="宋体" w:cs="宋体" w:hint="eastAsia"/>
          <w:sz w:val="32"/>
          <w:szCs w:val="32"/>
        </w:rPr>
        <w:t>经费支出决算情况说明</w:t>
      </w:r>
    </w:p>
    <w:p>
      <w:pPr>
        <w:widowControl/>
        <w:spacing w:after="160" w:line="580" w:lineRule="exact"/>
        <w:ind w:left="640" w:firstLineChars="200" w:firstLine="640"/>
        <w:rPr>
          <w:rFonts w:ascii="Times New Roman" w:hAnsi="Times New Roman"/>
          <w:sz w:val="32"/>
          <w:szCs w:val="32"/>
        </w:rPr>
      </w:pPr>
      <w:r>
        <w:rPr>
          <w:rFonts w:ascii="宋体" w:eastAsia="宋体" w:cs="宋体" w:hint="eastAsia"/>
          <w:sz w:val="32"/>
          <w:szCs w:val="32"/>
        </w:rPr>
        <w:t>六、预算绩效情况说明</w:t>
      </w:r>
    </w:p>
    <w:p>
      <w:pPr>
        <w:widowControl/>
        <w:spacing w:after="160" w:line="580" w:lineRule="exact"/>
        <w:ind w:left="640" w:firstLineChars="200" w:firstLine="640"/>
        <w:rPr>
          <w:rFonts w:ascii="Times New Roman" w:hAnsi="Times New Roman"/>
          <w:sz w:val="32"/>
          <w:szCs w:val="32"/>
        </w:rPr>
      </w:pPr>
      <w:r>
        <w:rPr>
          <w:rFonts w:ascii="宋体" w:eastAsia="宋体" w:cs="宋体" w:hint="eastAsia"/>
          <w:sz w:val="32"/>
          <w:szCs w:val="32"/>
        </w:rPr>
        <w:t>七、其他重要事项的说明</w:t>
      </w:r>
    </w:p>
    <w:p>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第三部分</w:t>
      </w:r>
      <w:r>
        <w:rPr>
          <w:rFonts w:ascii="Times New Roman" w:eastAsia="黑体" w:hAnsi="Times New Roman"/>
          <w:sz w:val="32"/>
          <w:szCs w:val="32"/>
        </w:rPr>
        <w:t xml:space="preserve">  </w:t>
      </w:r>
      <w:r>
        <w:rPr>
          <w:rFonts w:ascii="Times New Roman" w:eastAsia="黑体" w:hAnsi="Times New Roman" w:hint="eastAsia"/>
          <w:sz w:val="32"/>
          <w:szCs w:val="32"/>
        </w:rPr>
        <w:t>名词解释</w:t>
      </w:r>
    </w:p>
    <w:p>
      <w:pPr>
        <w:widowControl/>
        <w:spacing w:after="160" w:line="580" w:lineRule="exact"/>
        <w:ind w:firstLineChars="200" w:firstLine="640"/>
        <w:rPr>
          <w:rFonts w:ascii="Times New Roman" w:hAnsi="Times New Roman"/>
          <w:sz w:val="20"/>
          <w:szCs w:val="32"/>
        </w:rPr>
      </w:pPr>
      <w:r>
        <w:rPr>
          <w:rFonts w:ascii="Times New Roman" w:eastAsia="黑体" w:hAnsi="Times New Roman" w:hint="eastAsia"/>
          <w:sz w:val="32"/>
          <w:szCs w:val="32"/>
        </w:rPr>
        <w:t>第四部分</w:t>
      </w:r>
      <w:r>
        <w:rPr>
          <w:rFonts w:ascii="Times New Roman" w:eastAsia="黑体" w:hAnsi="Times New Roman"/>
          <w:sz w:val="32"/>
          <w:szCs w:val="32"/>
        </w:rPr>
        <w:t xml:space="preserve">  2019</w:t>
      </w:r>
      <w:r>
        <w:rPr>
          <w:rFonts w:ascii="Times New Roman" w:eastAsia="黑体" w:hAnsi="Times New Roman" w:hint="eastAsia"/>
          <w:sz w:val="32"/>
          <w:szCs w:val="32"/>
        </w:rPr>
        <w:t>年度部门决算报表</w:t>
      </w:r>
    </w:p>
    <w:p>
      <w:pPr>
        <w:widowControl/>
        <w:spacing w:after="160" w:line="580" w:lineRule="exact"/>
        <w:ind w:firstLineChars="200" w:firstLine="640"/>
        <w:rPr>
          <w:rFonts w:ascii="Times New Roman" w:eastAsia="黑体" w:hAnsi="Times New Roman"/>
          <w:sz w:val="32"/>
          <w:szCs w:val="32"/>
        </w:rPr>
      </w:pPr>
    </w:p>
    <w:p>
      <w:pPr>
        <w:widowControl/>
        <w:spacing w:after="160" w:line="580" w:lineRule="exact"/>
        <w:ind w:firstLineChars="200" w:firstLine="640"/>
        <w:rPr>
          <w:rFonts w:ascii="Times New Roman" w:eastAsia="黑体" w:hAnsi="Times New Roman"/>
          <w:sz w:val="32"/>
          <w:szCs w:val="32"/>
        </w:rPr>
        <w:sectPr>
          <w:headerReference w:type="default" r:id="rId12"/>
          <w:headerReference w:type="first" r:id="rId13"/>
          <w:footerReference w:type="default" r:id="rId14"/>
          <w:footerReference w:type="first" r:id="rId15"/>
          <w:type w:val="continuous"/>
          <w:pgSz w:w="11906" w:h="16838"/>
          <w:pgMar w:top="2041" w:right="1531" w:bottom="2041" w:left="1531" w:header="851" w:footer="992" w:gutter="0"/>
          <w:titlePg/>
          <w:docGrid w:type="lines" w:linePitch="312" w:charSpace="0"/>
        </w:sect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r>
        <mc:AlternateContent>
          <mc:Choice Requires="wps">
            <w:drawing>
              <wp:anchor distT="0" distB="0" distL="114298" distR="114298" simplePos="0" relativeHeight="47" behindDoc="0" locked="0" layoutInCell="1" hidden="0" allowOverlap="1">
                <wp:simplePos x="0" y="0"/>
                <wp:positionH relativeFrom="column">
                  <wp:posOffset>-1088390</wp:posOffset>
                </wp:positionH>
                <wp:positionV relativeFrom="paragraph">
                  <wp:posOffset>1024889</wp:posOffset>
                </wp:positionV>
                <wp:extent cx="7793355" cy="3341370"/>
                <wp:effectExtent l="0" t="0" r="0" b="0"/>
                <wp:wrapNone/>
                <wp:docPr id="31" name="文本框"/>
                <wp:cNvGraphicFramePr>
                  <a:graphicFrameLocks noChangeAspect="0"/>
                </wp:cNvGraphicFramePr>
                <a:graphic>
                  <a:graphicData uri="http://schemas.microsoft.com/office/word/2010/wordprocessingShape">
                    <wps:wsp>
                      <wps:cNvSpPr/>
                      <wps:spPr>
                        <a:xfrm rot="0">
                          <a:off x="0" y="0"/>
                          <a:ext cx="7793355" cy="3341370"/>
                        </a:xfrm>
                        <a:prstGeom prst="rect"/>
                        <a:solidFill>
                          <a:srgbClr val="FFD966"/>
                        </a:solidFill>
                        <a:ln w="12700" cmpd="sng" cap="flat">
                          <a:solidFill>
                            <a:srgbClr val="FFD966"/>
                          </a:solidFill>
                          <a:prstDash val="solid"/>
                          <a:miter/>
                        </a:ln>
                      </wps:spPr>
                      <wps:txbx id="32">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wps:txbx>
                      <wps:bodyPr vert="horz" wrap="square" lIns="91440" tIns="45720" rIns="91440" bIns="45720" anchor="ctr" anchorCtr="0" upright="1">
                        <a:noAutofit/>
                      </wps:bodyPr>
                    </wps:wsp>
                  </a:graphicData>
                </a:graphic>
              </wp:anchor>
            </w:drawing>
          </mc:Choice>
          <mc:Fallback>
            <w:pict>
              <v:shape type="#_x0000_t202" id="文本框 33" o:spid="_x0000_s33" fillcolor="#FFD966" stroked="t" strokeweight="1.0pt" style="position:absolute;margin-left:-85.7pt;margin-top:80.7pt;width:613.65pt;height:263.1pt;z-index:47;mso-position-horizontal:absolute;mso-position-vertical:absolute;mso-wrap-distance-left:8.999863pt;mso-wrap-distance-right:8.999863pt;mso-wrap-style:square;">
                <v:stroke color="#FFD966"/>
                <v:textbox id="850"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shape>
            </w:pict>
          </mc:Fallback>
        </mc:AlternateContent>
      </w:r>
      <w:r>
        <w:br w:type="page"/>
      </w:r>
    </w:p>
    <w:p>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spacing w:line="360" w:lineRule="auto"/>
        <w:ind w:firstLine="640"/>
        <w:rPr>
          <w:rFonts w:ascii="仿宋" w:eastAsia="仿宋" w:cs="??_GB2312"/>
          <w:sz w:val="32"/>
          <w:szCs w:val="32"/>
        </w:rPr>
      </w:pPr>
      <w:r>
        <w:rPr>
          <w:rFonts w:ascii="仿宋" w:eastAsia="仿宋" w:cs="??_GB2312"/>
          <w:sz w:val="32"/>
          <w:szCs w:val="32"/>
        </w:rPr>
        <w:t>1</w:t>
      </w:r>
      <w:r>
        <w:rPr>
          <w:rFonts w:ascii="仿宋" w:eastAsia="仿宋" w:cs="??_GB2312" w:hint="eastAsia"/>
          <w:sz w:val="32"/>
          <w:szCs w:val="32"/>
        </w:rPr>
        <w:t>、负责全县人民群众的来信来访的交办、转办、督办和协调工作。</w:t>
      </w:r>
    </w:p>
    <w:p>
      <w:pPr>
        <w:spacing w:line="360" w:lineRule="auto"/>
        <w:ind w:firstLine="640"/>
        <w:rPr>
          <w:rFonts w:ascii="仿宋" w:eastAsia="仿宋" w:cs="??_GB2312"/>
          <w:sz w:val="32"/>
          <w:szCs w:val="32"/>
        </w:rPr>
      </w:pPr>
      <w:r>
        <w:rPr>
          <w:rFonts w:ascii="仿宋" w:eastAsia="仿宋" w:cs="??_GB2312"/>
          <w:sz w:val="32"/>
          <w:szCs w:val="32"/>
        </w:rPr>
        <w:t>2</w:t>
      </w:r>
      <w:r>
        <w:rPr>
          <w:rFonts w:ascii="仿宋" w:eastAsia="仿宋" w:cs="??_GB2312" w:hint="eastAsia"/>
          <w:sz w:val="32"/>
          <w:szCs w:val="32"/>
        </w:rPr>
        <w:t>、做好市以上三级要结果、要情况案件和县领导交办、批办案件的登统、协调、查办、上报和复信走访工作。</w:t>
      </w:r>
    </w:p>
    <w:p>
      <w:pPr>
        <w:spacing w:line="360" w:lineRule="auto"/>
        <w:ind w:firstLine="640"/>
        <w:rPr>
          <w:rFonts w:ascii="仿宋" w:eastAsia="仿宋" w:cs="??_GB2312"/>
          <w:sz w:val="32"/>
          <w:szCs w:val="32"/>
        </w:rPr>
      </w:pPr>
      <w:r>
        <w:rPr>
          <w:rFonts w:ascii="仿宋" w:eastAsia="仿宋" w:cs="??_GB2312"/>
          <w:sz w:val="32"/>
          <w:szCs w:val="32"/>
        </w:rPr>
        <w:t>3</w:t>
      </w:r>
      <w:r>
        <w:rPr>
          <w:rFonts w:ascii="仿宋" w:eastAsia="仿宋" w:cs="??_GB2312" w:hint="eastAsia"/>
          <w:sz w:val="32"/>
          <w:szCs w:val="32"/>
        </w:rPr>
        <w:t>、做好县委常委和副县长以上领导接访安排、联系、记录和书记、县长、副书记、副县长季各办一案的收集、整理、上报和领导“三亲自”数字的统计上报工作。</w:t>
      </w:r>
    </w:p>
    <w:p>
      <w:pPr>
        <w:spacing w:line="360" w:lineRule="auto"/>
        <w:ind w:firstLine="640"/>
        <w:rPr>
          <w:rFonts w:ascii="仿宋" w:eastAsia="仿宋" w:cs="??_GB2312"/>
          <w:sz w:val="32"/>
          <w:szCs w:val="32"/>
        </w:rPr>
      </w:pPr>
      <w:r>
        <w:rPr>
          <w:rFonts w:ascii="仿宋" w:eastAsia="仿宋" w:cs="??_GB2312"/>
          <w:sz w:val="32"/>
          <w:szCs w:val="32"/>
        </w:rPr>
        <w:t>4</w:t>
      </w:r>
      <w:r>
        <w:rPr>
          <w:rFonts w:ascii="仿宋" w:eastAsia="仿宋" w:cs="??_GB2312" w:hint="eastAsia"/>
          <w:sz w:val="32"/>
          <w:szCs w:val="32"/>
        </w:rPr>
        <w:t>、协调和指导县直各部门及各乡镇做好人民群众来信来访的查办工作。</w:t>
      </w:r>
    </w:p>
    <w:p>
      <w:pPr>
        <w:spacing w:line="360" w:lineRule="auto"/>
        <w:ind w:firstLine="640"/>
        <w:rPr>
          <w:rFonts w:ascii="仿宋" w:eastAsia="仿宋" w:cs="??_GB2312"/>
          <w:sz w:val="32"/>
          <w:szCs w:val="32"/>
        </w:rPr>
      </w:pPr>
      <w:r>
        <w:rPr>
          <w:rFonts w:ascii="仿宋" w:eastAsia="仿宋" w:cs="??_GB2312"/>
          <w:sz w:val="32"/>
          <w:szCs w:val="32"/>
        </w:rPr>
        <w:t>5</w:t>
      </w:r>
      <w:r>
        <w:rPr>
          <w:rFonts w:ascii="仿宋" w:eastAsia="仿宋" w:cs="??_GB2312" w:hint="eastAsia"/>
          <w:sz w:val="32"/>
          <w:szCs w:val="32"/>
        </w:rPr>
        <w:t>、加强信息预测，定期搞好案件排查，了解和掌握全县信访动态，为领导决策提供依据，当好县委、县政府的参谋。</w:t>
      </w:r>
    </w:p>
    <w:p>
      <w:pPr>
        <w:spacing w:line="360" w:lineRule="auto"/>
        <w:ind w:firstLine="640"/>
        <w:rPr>
          <w:rFonts w:ascii="仿宋" w:eastAsia="仿宋" w:cs="??_GB2312"/>
          <w:sz w:val="32"/>
          <w:szCs w:val="32"/>
        </w:rPr>
      </w:pPr>
      <w:r>
        <w:rPr>
          <w:rFonts w:ascii="仿宋" w:eastAsia="仿宋" w:cs="??_GB2312"/>
          <w:sz w:val="32"/>
          <w:szCs w:val="32"/>
        </w:rPr>
        <w:t>6</w:t>
      </w:r>
      <w:r>
        <w:rPr>
          <w:rFonts w:ascii="仿宋" w:eastAsia="仿宋" w:cs="??_GB2312" w:hint="eastAsia"/>
          <w:sz w:val="32"/>
          <w:szCs w:val="32"/>
        </w:rPr>
        <w:t>、负责宣传《信访条例》及有关法律法规，教育引导群众依法逐级反映问题，规范信访秩序；负责接待处理群众到县上访，组织县直部门开展联合接访，协调县级领导开展接访、约访、下访活动；负责建立三级调处机制，组织、调处重大复杂矛盾纠纷和信访突出问题，解释、解答群众咨询的相关问题，做好群众的思想疏导工作；负责人民建议的征集、整理、归纳和上报工作；负责开通专门网站，为群众提供网上服务；负责组织社会力量开展为群众志愿服务工作；负责县、乡两级视频接访系统的建设、管理及维护工作；负责分析研判群众工作形势、信访工作形势，向县委、县政府、县委群工委提出工作意见和建议；承担县委群众工作委员会交办的其他工作事项。</w:t>
      </w:r>
    </w:p>
    <w:p>
      <w:pPr>
        <w:spacing w:line="360" w:lineRule="auto"/>
        <w:ind w:firstLine="640"/>
        <w:rPr>
          <w:rFonts w:ascii="黑体" w:eastAsia="黑体" w:cs="黑体"/>
          <w:kern w:val="0"/>
          <w:sz w:val="32"/>
          <w:szCs w:val="32"/>
        </w:rPr>
      </w:pPr>
      <w:r>
        <w:rPr>
          <w:rFonts w:ascii="黑体" w:eastAsia="黑体" w:cs="黑体" w:hint="eastAsia"/>
          <w:kern w:val="0"/>
          <w:sz w:val="32"/>
          <w:szCs w:val="32"/>
        </w:rPr>
        <w:t>二、机构设置</w:t>
      </w:r>
    </w:p>
    <w:p>
      <w:pPr>
        <w:spacing w:line="580" w:lineRule="exact"/>
        <w:ind w:firstLineChars="200" w:firstLine="640"/>
        <w:rPr>
          <w:rFonts w:ascii="??_GB2312" w:eastAsia="Times New Roman" w:cs="ArialUnicodeMS" w:hAnsi="??_GB2312"/>
          <w:kern w:val="0"/>
          <w:sz w:val="32"/>
          <w:szCs w:val="32"/>
        </w:rPr>
      </w:pPr>
      <w:r>
        <w:rPr>
          <w:rFonts w:ascii="??_GB2312" w:eastAsia="Times New Roman" w:cs="ArialUnicodeMS" w:hAnsi="??_GB2312"/>
          <w:kern w:val="0"/>
          <w:sz w:val="32"/>
          <w:szCs w:val="32"/>
        </w:rPr>
        <w:t>从决算编报单位构成看，纳入2019 年度本部门决算汇编范围的独立核算单位（以下简称“单位”）共  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line="560" w:lineRule="exact"/>
              <w:jc w:val="center"/>
              <w:rPr>
                <w:rFonts w:ascii="??_GB2312" w:eastAsia="Times New Roman" w:cs="ArialUnicodeMS" w:hAnsi="??_GB2312"/>
                <w:b/>
                <w:bCs/>
                <w:kern w:val="0"/>
                <w:sz w:val="28"/>
                <w:szCs w:val="28"/>
              </w:rPr>
            </w:pPr>
            <w:r>
              <w:rPr>
                <w:rFonts w:ascii="??_GB2312" w:eastAsia="Times New Roman" w:cs="ArialUnicodeMS" w:hAnsi="??_GB2312"/>
                <w:b/>
                <w:bCs/>
                <w:kern w:val="0"/>
                <w:sz w:val="28"/>
                <w:szCs w:val="28"/>
              </w:rPr>
              <w:t>序号</w:t>
            </w:r>
          </w:p>
        </w:tc>
        <w:tc>
          <w:tcPr>
            <w:tcW w:w="3485" w:type="dxa"/>
            <w:vAlign w:val="center"/>
          </w:tcPr>
          <w:p>
            <w:pPr>
              <w:spacing w:line="560" w:lineRule="exact"/>
              <w:jc w:val="center"/>
              <w:rPr>
                <w:rFonts w:ascii="??_GB2312" w:eastAsia="Times New Roman" w:cs="ArialUnicodeMS" w:hAnsi="??_GB2312"/>
                <w:b/>
                <w:bCs/>
                <w:kern w:val="0"/>
                <w:sz w:val="28"/>
                <w:szCs w:val="28"/>
              </w:rPr>
            </w:pPr>
            <w:r>
              <w:rPr>
                <w:rFonts w:ascii="??_GB2312" w:eastAsia="Times New Roman" w:cs="ArialUnicodeMS" w:hAnsi="??_GB2312"/>
                <w:b/>
                <w:bCs/>
                <w:kern w:val="0"/>
                <w:sz w:val="28"/>
                <w:szCs w:val="28"/>
              </w:rPr>
              <w:t>单位名称</w:t>
            </w:r>
          </w:p>
        </w:tc>
        <w:tc>
          <w:tcPr>
            <w:tcW w:w="2445" w:type="dxa"/>
            <w:vAlign w:val="center"/>
          </w:tcPr>
          <w:p>
            <w:pPr>
              <w:spacing w:line="560" w:lineRule="exact"/>
              <w:jc w:val="center"/>
              <w:rPr>
                <w:rFonts w:ascii="??_GB2312" w:eastAsia="Times New Roman" w:cs="ArialUnicodeMS" w:hAnsi="??_GB2312"/>
                <w:b/>
                <w:bCs/>
                <w:kern w:val="0"/>
                <w:sz w:val="28"/>
                <w:szCs w:val="28"/>
              </w:rPr>
            </w:pPr>
            <w:r>
              <w:rPr>
                <w:rFonts w:ascii="??_GB2312" w:eastAsia="Times New Roman" w:cs="ArialUnicodeMS" w:hAnsi="??_GB2312"/>
                <w:b/>
                <w:bCs/>
                <w:kern w:val="0"/>
                <w:sz w:val="28"/>
                <w:szCs w:val="28"/>
              </w:rPr>
              <w:t>单位基本性质</w:t>
            </w:r>
          </w:p>
        </w:tc>
        <w:tc>
          <w:tcPr>
            <w:tcW w:w="2665" w:type="dxa"/>
            <w:vAlign w:val="center"/>
          </w:tcPr>
          <w:p>
            <w:pPr>
              <w:spacing w:line="560" w:lineRule="exact"/>
              <w:jc w:val="center"/>
              <w:rPr>
                <w:rFonts w:ascii="??_GB2312" w:eastAsia="Times New Roman" w:cs="ArialUnicodeMS" w:hAnsi="??_GB2312"/>
                <w:b/>
                <w:bCs/>
                <w:kern w:val="0"/>
                <w:sz w:val="28"/>
                <w:szCs w:val="28"/>
              </w:rPr>
            </w:pPr>
            <w:r>
              <w:rPr>
                <w:rFonts w:ascii="??_GB2312" w:eastAsia="Times New Roman" w:cs="ArialUnicodeMS" w:hAnsi="??_GB2312"/>
                <w:b/>
                <w:bCs/>
                <w:kern w:val="0"/>
                <w:sz w:val="28"/>
                <w:szCs w:val="28"/>
              </w:rPr>
              <w:t>经费形式</w:t>
            </w:r>
          </w:p>
        </w:tc>
      </w:tr>
      <w:tr>
        <w:trPr>
          <w:trHeight w:val="596"/>
        </w:trPr>
        <w:tc>
          <w:tcPr>
            <w:tcW w:w="985" w:type="dxa"/>
          </w:tcPr>
          <w:p>
            <w:pPr>
              <w:spacing w:line="560" w:lineRule="exact"/>
              <w:jc w:val="center"/>
              <w:rPr>
                <w:rFonts w:ascii="??_GB2312" w:eastAsia="Times New Roman" w:cs="ArialUnicodeMS" w:hAnsi="??_GB2312"/>
                <w:kern w:val="0"/>
                <w:sz w:val="28"/>
                <w:szCs w:val="28"/>
              </w:rPr>
            </w:pPr>
            <w:r>
              <w:rPr>
                <w:rFonts w:ascii="??_GB2312" w:eastAsia="Times New Roman" w:cs="ArialUnicodeMS" w:hAnsi="??_GB2312"/>
                <w:kern w:val="0"/>
                <w:sz w:val="28"/>
                <w:szCs w:val="28"/>
              </w:rPr>
              <w:t>1</w:t>
            </w:r>
          </w:p>
        </w:tc>
        <w:tc>
          <w:tcPr>
            <w:tcW w:w="3485" w:type="dxa"/>
          </w:tcPr>
          <w:p>
            <w:pPr>
              <w:spacing w:line="560" w:lineRule="exact"/>
              <w:rPr>
                <w:rFonts w:ascii="??_GB2312" w:eastAsia="Times New Roman" w:cs="ArialUnicodeMS" w:hAnsi="??_GB2312"/>
                <w:kern w:val="0"/>
                <w:sz w:val="28"/>
                <w:szCs w:val="28"/>
              </w:rPr>
            </w:pPr>
            <w:r>
              <w:rPr>
                <w:rFonts w:ascii="??_GB2312" w:eastAsia="Times New Roman" w:cs="ArialUnicodeMS" w:hAnsi="??_GB2312"/>
                <w:kern w:val="0"/>
                <w:sz w:val="28"/>
                <w:szCs w:val="28"/>
              </w:rPr>
              <w:t>大城县信访局(本级)</w:t>
            </w:r>
          </w:p>
        </w:tc>
        <w:tc>
          <w:tcPr>
            <w:tcW w:w="2445" w:type="dxa"/>
          </w:tcPr>
          <w:p>
            <w:pPr>
              <w:spacing w:line="560" w:lineRule="exact"/>
              <w:jc w:val="center"/>
              <w:rPr>
                <w:rFonts w:ascii="??_GB2312" w:eastAsia="Times New Roman" w:cs="ArialUnicodeMS" w:hAnsi="??_GB2312"/>
                <w:kern w:val="0"/>
                <w:sz w:val="28"/>
                <w:szCs w:val="28"/>
              </w:rPr>
            </w:pPr>
            <w:r>
              <w:rPr>
                <w:rFonts w:ascii="??_GB2312" w:eastAsia="Times New Roman" w:cs="ArialUnicodeMS" w:hAnsi="??_GB2312"/>
                <w:kern w:val="0"/>
                <w:sz w:val="28"/>
                <w:szCs w:val="28"/>
              </w:rPr>
              <w:t>行政单位</w:t>
            </w:r>
          </w:p>
        </w:tc>
        <w:tc>
          <w:tcPr>
            <w:tcW w:w="2665" w:type="dxa"/>
          </w:tcPr>
          <w:p>
            <w:pPr>
              <w:spacing w:line="560" w:lineRule="exact"/>
              <w:jc w:val="center"/>
              <w:rPr>
                <w:rFonts w:ascii="??_GB2312" w:eastAsia="Times New Roman" w:cs="ArialUnicodeMS" w:hAnsi="??_GB2312"/>
                <w:kern w:val="0"/>
                <w:sz w:val="28"/>
                <w:szCs w:val="28"/>
              </w:rPr>
            </w:pPr>
            <w:r>
              <w:rPr>
                <w:rFonts w:ascii="??_GB2312" w:eastAsia="Times New Roman" w:cs="ArialUnicodeMS" w:hAnsi="??_GB2312"/>
                <w:kern w:val="0"/>
                <w:sz w:val="28"/>
                <w:szCs w:val="28"/>
              </w:rPr>
              <w:t>财政拨款</w:t>
            </w:r>
          </w:p>
        </w:tc>
      </w:tr>
      <w:tr>
        <w:trPr>
          <w:trHeight w:val="606"/>
        </w:trPr>
        <w:tc>
          <w:tcPr>
            <w:tcW w:w="9580" w:type="dxa"/>
            <w:gridSpan w:val="4"/>
            <w:tcBorders>
              <w:left w:val="nil"/>
              <w:bottom w:val="nil"/>
              <w:right w:val="nil"/>
            </w:tcBorders>
          </w:tcPr>
          <w:p>
            <w:pPr>
              <w:spacing w:line="560" w:lineRule="exact"/>
              <w:ind w:firstLineChars="200" w:firstLine="560"/>
              <w:jc w:val="left"/>
              <w:rPr>
                <w:rFonts w:ascii="??_GB2312" w:eastAsia="Times New Roman" w:cs="ArialUnicodeMS" w:hAnsi="??_GB2312"/>
                <w:kern w:val="0"/>
                <w:sz w:val="28"/>
                <w:szCs w:val="28"/>
              </w:rPr>
            </w:pPr>
          </w:p>
        </w:tc>
      </w:tr>
    </w:tbl>
    <w:p>
      <w:pPr>
        <w:widowControl/>
        <w:spacing w:after="160" w:line="580" w:lineRule="exact"/>
        <w:ind w:firstLineChars="200" w:firstLine="640"/>
        <w:rPr>
          <w:rFonts w:ascii="Times New Roman" w:eastAsia="黑体" w:hAnsi="Times New Roman"/>
          <w:sz w:val="32"/>
          <w:szCs w:val="32"/>
        </w:rPr>
      </w:pPr>
    </w:p>
    <w:p>
      <w:pPr>
        <w:widowControl/>
        <w:spacing w:after="160" w:line="580" w:lineRule="exact"/>
        <w:ind w:firstLineChars="200" w:firstLine="640"/>
        <w:rPr>
          <w:rFonts w:ascii="Times New Roman" w:eastAsia="黑体" w:hAnsi="Times New Roman"/>
          <w:sz w:val="32"/>
          <w:szCs w:val="32"/>
        </w:rPr>
      </w:pPr>
    </w:p>
    <w:p>
      <w:pPr>
        <w:widowControl/>
        <w:spacing w:after="160" w:line="580" w:lineRule="exact"/>
        <w:ind w:firstLineChars="200" w:firstLine="640"/>
        <w:rPr>
          <w:rFonts w:ascii="Times New Roman" w:eastAsia="黑体" w:hAnsi="Times New Roman"/>
          <w:sz w:val="32"/>
          <w:szCs w:val="32"/>
        </w:rPr>
      </w:pPr>
    </w:p>
    <w:p>
      <w:pPr>
        <w:widowControl/>
        <w:spacing w:after="160" w:line="580" w:lineRule="exact"/>
        <w:ind w:firstLineChars="200" w:firstLine="640"/>
        <w:rPr>
          <w:rFonts w:ascii="Times New Roman" w:eastAsia="黑体" w:hAnsi="Times New Roman"/>
          <w:sz w:val="32"/>
          <w:szCs w:val="32"/>
        </w:rPr>
        <w:sectPr>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640"/>
        <w:rPr>
          <w:rFonts w:ascii="Times New Roman" w:eastAsia="黑体" w:hAnsi="Times New Roman"/>
          <w:sz w:val="32"/>
          <w:szCs w:val="32"/>
        </w:rPr>
        <w:sectPr>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420"/>
        <w:rPr>
          <w:rFonts w:ascii="Times New Roman" w:eastAsia="黑体" w:hAnsi="Times New Roman"/>
          <w:sz w:val="32"/>
          <w:szCs w:val="32"/>
        </w:rPr>
        <w:sectPr>
          <w:pgSz w:w="11906" w:h="16838"/>
          <w:pgMar w:top="2041" w:right="1531" w:bottom="2041" w:left="1531" w:header="851" w:footer="992" w:gutter="0"/>
          <w:pgNumType w:fmt="numberInDash"/>
          <w:titlePg/>
          <w:docGrid w:type="lines" w:linePitch="312" w:charSpace="0"/>
        </w:sectPr>
      </w:pPr>
      <w:r>
        <mc:AlternateContent>
          <mc:Choice Requires="wps">
            <w:drawing>
              <wp:anchor distT="0" distB="0" distL="114298" distR="114298" simplePos="0" relativeHeight="49" behindDoc="0" locked="0" layoutInCell="1" hidden="0" allowOverlap="1">
                <wp:simplePos x="0" y="0"/>
                <wp:positionH relativeFrom="column">
                  <wp:posOffset>-1088390</wp:posOffset>
                </wp:positionH>
                <wp:positionV relativeFrom="paragraph">
                  <wp:posOffset>3024504</wp:posOffset>
                </wp:positionV>
                <wp:extent cx="7793355" cy="2200275"/>
                <wp:effectExtent l="0" t="0" r="0" b="0"/>
                <wp:wrapNone/>
                <wp:docPr id="34" name="文本框"/>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35">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shape type="#_x0000_t202" id="文本框 36" o:spid="_x0000_s36" filled="f" stroked="f" style="position:absolute;margin-left:-85.7pt;margin-top:238.14998pt;width:613.65pt;height:173.25002pt;z-index:49;mso-position-horizontal:absolute;mso-position-vertical:absolute;mso-wrap-distance-left:8.999863pt;mso-wrap-distance-right:8.999863pt;mso-wrap-style:square;">
                <v:stroke color="#000000"/>
                <v:textbox id="851"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shape>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mc:AlternateContent>
          <mc:Choice Requires="wps">
            <w:drawing>
              <wp:anchor distT="0" distB="0" distL="114298" distR="114298" simplePos="0" relativeHeight="51"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37" name="文本框"/>
                <wp:cNvGraphicFramePr>
                  <a:graphicFrameLocks noChangeAspect="0"/>
                </wp:cNvGraphicFramePr>
                <a:graphic>
                  <a:graphicData uri="http://schemas.microsoft.com/office/word/2010/wordprocessingShape">
                    <wps:wsp>
                      <wps:cNvSpPr/>
                      <wps:spPr>
                        <a:xfrm rot="0">
                          <a:off x="0" y="0"/>
                          <a:ext cx="7793355" cy="3341370"/>
                        </a:xfrm>
                        <a:prstGeom prst="rect"/>
                        <a:solidFill>
                          <a:srgbClr val="FFD966"/>
                        </a:solidFill>
                        <a:ln w="6350" cmpd="sng" cap="flat">
                          <a:solidFill>
                            <a:srgbClr val="FFD966"/>
                          </a:solidFill>
                          <a:prstDash val="solid"/>
                          <a:miter/>
                        </a:ln>
                      </wps:spPr>
                      <wps:txbx id="38">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wps:txbx>
                      <wps:bodyPr vert="horz" wrap="square" lIns="91440" tIns="45720" rIns="91440" bIns="45720" anchor="ctr" anchorCtr="0" upright="1">
                        <a:noAutofit/>
                      </wps:bodyPr>
                    </wps:wsp>
                  </a:graphicData>
                </a:graphic>
              </wp:anchor>
            </w:drawing>
          </mc:Choice>
          <mc:Fallback>
            <w:pict>
              <v:shape type="#_x0000_t202" id="文本框 39" o:spid="_x0000_s39" fillcolor="#FFD966" stroked="t" strokeweight="0.5pt" style="position:absolute;margin-left:-90.8pt;margin-top:4.35pt;width:613.64996pt;height:263.1pt;z-index:51;mso-position-horizontal:absolute;mso-position-vertical:absolute;mso-wrap-distance-left:8.999863pt;mso-wrap-distance-right:8.999863pt;mso-wrap-style:square;">
                <v:stroke color="#FFD966"/>
                <v:textbox id="852"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v:textbox>
              </v:shape>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一、收入</w:t>
      </w:r>
      <w:r>
        <w:rPr>
          <w:rFonts w:ascii="黑体" w:eastAsia="黑体" w:cs="黑体" w:hint="eastAsia"/>
          <w:kern w:val="0"/>
          <w:sz w:val="32"/>
          <w:szCs w:val="32"/>
        </w:rPr>
        <w:t>支出</w:t>
      </w:r>
      <w:r>
        <w:rPr>
          <w:rFonts w:ascii="黑体" w:eastAsia="黑体" w:hint="eastAsia"/>
          <w:sz w:val="32"/>
          <w:szCs w:val="32"/>
        </w:rPr>
        <w:t>决算总体情况说明</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sz w:val="32"/>
          <w:szCs w:val="32"/>
        </w:rPr>
        <w:t>本部门2019年度收支总计（含结转和结余）622.59万元。与2018年度决算相比，收支各减少88.97万元，下降14.29%，主要原因是厉行节约，压减支出。</w:t>
      </w: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二、收入决算情况说明</w:t>
      </w:r>
    </w:p>
    <w:p>
      <w:pPr>
        <w:adjustRightInd w:val="0"/>
        <w:snapToGrid w:val="0"/>
        <w:spacing w:line="580" w:lineRule="exact"/>
        <w:ind w:firstLineChars="200" w:firstLine="640"/>
        <w:rPr>
          <w:rFonts w:ascii="??_GB2312" w:eastAsia="Times New Roman" w:cs="DengXian-Regular" w:hAnsi="??_GB2312"/>
          <w:sz w:val="32"/>
          <w:szCs w:val="32"/>
          <w:highlight w:val="yellow"/>
        </w:rPr>
      </w:pPr>
      <w:r>
        <w:rPr>
          <w:rFonts w:ascii="??_GB2312" w:eastAsia="Times New Roman" w:cs="DengXian-Regular" w:hAnsi="??_GB2312"/>
          <w:sz w:val="32"/>
          <w:szCs w:val="32"/>
        </w:rPr>
        <w:t>本部门2019年度本年收入合计</w:t>
      </w:r>
      <w:r>
        <w:rPr>
          <w:rFonts w:ascii="??_GB2312" w:eastAsia="宋体" w:cs="DengXian-Regular" w:hAnsi="??_GB2312"/>
          <w:sz w:val="32"/>
          <w:szCs w:val="32"/>
        </w:rPr>
        <w:t>619.53</w:t>
      </w:r>
      <w:r>
        <w:rPr>
          <w:rFonts w:ascii="??_GB2312" w:eastAsia="Times New Roman" w:cs="DengXian-Regular" w:hAnsi="??_GB2312"/>
          <w:sz w:val="32"/>
          <w:szCs w:val="32"/>
        </w:rPr>
        <w:t>万元，其中：财政拨款收入</w:t>
      </w:r>
      <w:r>
        <w:rPr>
          <w:rFonts w:ascii="??_GB2312" w:eastAsia="宋体" w:cs="DengXian-Regular" w:hAnsi="??_GB2312"/>
          <w:sz w:val="32"/>
          <w:szCs w:val="32"/>
        </w:rPr>
        <w:t>619.53</w:t>
      </w:r>
      <w:r>
        <w:rPr>
          <w:rFonts w:ascii="??_GB2312" w:eastAsia="Times New Roman" w:cs="DengXian-Regular" w:hAnsi="??_GB2312"/>
          <w:sz w:val="32"/>
          <w:szCs w:val="32"/>
        </w:rPr>
        <w:t>万元，占100%；事业收入0万元，占0%；经营收入0万元，占0%；其他收入0万元，占0%。</w:t>
      </w: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三、支出决算情况说明</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sz w:val="32"/>
          <w:szCs w:val="32"/>
        </w:rPr>
        <w:t>本部门2019年度本年支出合计622.59万元，其中：基本支出190.44 万元，占30.59%；项目支出432.15 万元，占69.41%；经营支出0万元，占0%。如图所示：</w:t>
      </w:r>
    </w:p>
    <w:p>
      <w:pPr>
        <w:adjustRightInd w:val="0"/>
        <w:snapToGrid w:val="0"/>
        <w:spacing w:line="580" w:lineRule="exact"/>
        <w:ind w:firstLineChars="600" w:firstLine="1260"/>
        <w:rPr>
          <w:rFonts w:ascii="??_GB2312" w:eastAsia="Times New Roman" w:cs="DengXian-Regular" w:hAnsi="??_GB2312"/>
          <w:sz w:val="32"/>
          <w:szCs w:val="32"/>
        </w:rPr>
      </w:pPr>
      <w: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position:absolute;margin-left:110.95pt;margin-top:13.95pt;width:240.0pt;height:205.9pt;z-index:55;mso-position-horizontal:absolute;mso-position-vertical:absolute;mso-wrap-distance-left:8.999863pt;mso-wrap-distance-right:8.999863pt;" o:ole="">
            <v:stroke color="#000000"/>
            <v:imagedata r:id="rId16" o:title="8933936521622423431613"/>
            <o:lock aspectratio="t"/>
            <w10:wrap type="square"/>
          </v:shape>
          <o:OLEObject Type="Embed" ProgID="Package" ShapeID="_x0000_i1" DrawAspect="Content" ObjectID="_1393063351" r:id="rId17"/>
        </w:object>
      </w:r>
    </w:p>
    <w:p>
      <w:pPr>
        <w:adjustRightInd w:val="0"/>
        <w:snapToGrid w:val="0"/>
        <w:spacing w:line="580" w:lineRule="exact"/>
        <w:ind w:firstLineChars="600" w:firstLine="1920"/>
        <w:rPr>
          <w:rFonts w:ascii="??_GB2312" w:eastAsia="Times New Roman" w:cs="DengXian-Regular" w:hAnsi="??_GB2312"/>
          <w:sz w:val="32"/>
          <w:szCs w:val="32"/>
        </w:rPr>
      </w:pPr>
    </w:p>
    <w:p>
      <w:pPr>
        <w:adjustRightInd w:val="0"/>
        <w:snapToGrid w:val="0"/>
        <w:spacing w:line="580" w:lineRule="exact"/>
        <w:ind w:firstLineChars="600" w:firstLine="1920"/>
        <w:rPr>
          <w:rFonts w:ascii="??_GB2312" w:eastAsia="Times New Roman" w:cs="DengXian-Regular" w:hAnsi="??_GB2312"/>
          <w:sz w:val="32"/>
          <w:szCs w:val="32"/>
        </w:rPr>
      </w:pPr>
    </w:p>
    <w:p>
      <w:pPr>
        <w:keepNext/>
        <w:keepLines/>
        <w:widowControl w:val="0"/>
        <w:snapToGrid w:val="0"/>
        <w:spacing w:line="580" w:lineRule="exact"/>
        <w:ind w:firstLineChars="200" w:firstLine="640"/>
        <w:outlineLvl w:val="1"/>
        <w:rPr>
          <w:rFonts w:ascii="黑体" w:eastAsia="黑体"/>
          <w:b/>
          <w:bCs/>
          <w:sz w:val="32"/>
          <w:szCs w:val="32"/>
        </w:rPr>
      </w:pPr>
    </w:p>
    <w:p>
      <w:pPr>
        <w:keepNext/>
        <w:keepLines/>
        <w:widowControl w:val="0"/>
        <w:snapToGrid w:val="0"/>
        <w:spacing w:line="580" w:lineRule="exact"/>
        <w:ind w:firstLineChars="200" w:firstLine="640"/>
        <w:outlineLvl w:val="1"/>
        <w:rPr>
          <w:rFonts w:ascii="黑体" w:eastAsia="黑体"/>
          <w:b/>
          <w:bCs/>
          <w:sz w:val="32"/>
          <w:szCs w:val="32"/>
        </w:rPr>
      </w:pPr>
    </w:p>
    <w:p>
      <w:pPr>
        <w:keepNext/>
        <w:keepLines/>
        <w:widowControl w:val="0"/>
        <w:snapToGrid w:val="0"/>
        <w:spacing w:line="580" w:lineRule="exact"/>
        <w:outlineLvl w:val="1"/>
        <w:rPr>
          <w:rFonts w:ascii="黑体" w:eastAsia="黑体"/>
          <w:b/>
          <w:bCs/>
          <w:sz w:val="32"/>
          <w:szCs w:val="32"/>
        </w:rPr>
      </w:pPr>
    </w:p>
    <w:p>
      <w:pPr>
        <w:keepNext/>
        <w:keepLines/>
        <w:widowControl w:val="0"/>
        <w:snapToGrid w:val="0"/>
        <w:spacing w:line="580" w:lineRule="exact"/>
        <w:outlineLvl w:val="1"/>
        <w:rPr>
          <w:rFonts w:ascii="黑体" w:eastAsia="黑体"/>
          <w:b/>
          <w:bCs/>
          <w:sz w:val="32"/>
          <w:szCs w:val="32"/>
        </w:rPr>
      </w:pP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四、</w:t>
      </w:r>
      <w:r>
        <w:rPr>
          <w:rFonts w:ascii="黑体" w:eastAsia="黑体" w:cs="黑体" w:hint="eastAsia"/>
          <w:kern w:val="0"/>
          <w:sz w:val="32"/>
          <w:szCs w:val="32"/>
        </w:rPr>
        <w:t>财政</w:t>
      </w:r>
      <w:r>
        <w:rPr>
          <w:rFonts w:ascii="黑体" w:eastAsia="黑体" w:hint="eastAsia"/>
          <w:sz w:val="32"/>
          <w:szCs w:val="32"/>
        </w:rPr>
        <w:t>拨款收入支出决算总体情况说明</w:t>
      </w:r>
    </w:p>
    <w:p>
      <w:pPr>
        <w:snapToGrid w:val="0"/>
        <w:spacing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2018 </w:t>
      </w:r>
      <w:r>
        <w:rPr>
          <w:rFonts w:ascii="楷体_GB2312" w:eastAsia="楷体_GB2312" w:cs="DengXian-Bold" w:hint="eastAsia"/>
          <w:b/>
          <w:bCs/>
          <w:sz w:val="32"/>
          <w:szCs w:val="32"/>
        </w:rPr>
        <w:t>年度决算对比情况</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sz w:val="32"/>
          <w:szCs w:val="32"/>
        </w:rPr>
        <w:t>本部门2019年度形成的财政拨款收支均为一般公共预算财政拨款，其中本年收入619.53万元,比2018年度减少92.03万元，下降14.85%，主要是厉行节约，压减支出；本年支出622.59万元，减少88.97万元，下降14.29%，主要是厉行节约，压减支出。</w:t>
      </w:r>
    </w:p>
    <w:p>
      <w:pPr>
        <w:adjustRightInd w:val="0"/>
        <w:snapToGrid w:val="0"/>
        <w:spacing w:line="580" w:lineRule="exact"/>
        <w:ind w:firstLineChars="200" w:firstLine="640"/>
        <w:rPr>
          <w:rFonts w:ascii="??_GB2312" w:eastAsia="Times New Roman" w:cs="DengXian-Regular" w:hAnsi="??_GB2312"/>
          <w:sz w:val="32"/>
          <w:szCs w:val="32"/>
          <w:highlight w:val="yellow"/>
        </w:rPr>
      </w:pPr>
    </w:p>
    <w:p>
      <w:pPr>
        <w:snapToGrid w:val="0"/>
        <w:spacing w:line="580" w:lineRule="exact"/>
        <w:ind w:firstLineChars="200" w:firstLine="640"/>
        <w:rPr>
          <w:rFonts w:ascii="楷体_GB2312" w:eastAsia="楷体_GB2312" w:cs="DengXian-Bold"/>
          <w:b/>
          <w:bCs/>
          <w:sz w:val="32"/>
          <w:szCs w:val="32"/>
        </w:rPr>
      </w:pPr>
    </w:p>
    <w:p>
      <w:pPr>
        <w:snapToGrid w:val="0"/>
        <w:spacing w:line="580" w:lineRule="exact"/>
        <w:ind w:firstLineChars="200" w:firstLine="640"/>
        <w:rPr>
          <w:rFonts w:ascii="楷体_GB2312" w:eastAsia="楷体_GB2312" w:cs="DengXian-Bold"/>
          <w:b/>
          <w:bCs/>
          <w:sz w:val="32"/>
          <w:szCs w:val="32"/>
        </w:rPr>
      </w:pPr>
    </w:p>
    <w:p>
      <w:pPr>
        <w:snapToGrid w:val="0"/>
        <w:spacing w:line="580" w:lineRule="exact"/>
        <w:ind w:firstLineChars="200" w:firstLine="640"/>
        <w:rPr>
          <w:rFonts w:ascii="楷体_GB2312" w:eastAsia="楷体_GB2312" w:cs="DengXian-Bold"/>
          <w:b/>
          <w:bCs/>
          <w:sz w:val="32"/>
          <w:szCs w:val="32"/>
        </w:rPr>
      </w:pPr>
    </w:p>
    <w:p>
      <w:pPr>
        <w:snapToGrid w:val="0"/>
        <w:spacing w:line="580" w:lineRule="exact"/>
        <w:ind w:firstLineChars="200" w:firstLine="640"/>
        <w:jc w:val="center"/>
        <w:rPr>
          <w:rFonts w:ascii="楷体_GB2312" w:eastAsia="楷体_GB2312" w:cs="DengXian-Bold"/>
          <w:b/>
          <w:bCs/>
          <w:sz w:val="32"/>
          <w:szCs w:val="32"/>
        </w:rPr>
      </w:pPr>
    </w:p>
    <w:p>
      <w:pPr>
        <w:snapToGrid w:val="0"/>
        <w:spacing w:line="580" w:lineRule="exact"/>
        <w:ind w:firstLineChars="200" w:firstLine="640"/>
        <w:rPr>
          <w:rFonts w:ascii="楷体_GB2312" w:eastAsia="楷体_GB2312" w:cs="DengXian-Bold"/>
          <w:b/>
          <w:bCs/>
          <w:sz w:val="32"/>
          <w:szCs w:val="32"/>
        </w:rPr>
      </w:pPr>
    </w:p>
    <w:p>
      <w:pPr>
        <w:snapToGrid w:val="0"/>
        <w:spacing w:line="580" w:lineRule="exact"/>
        <w:ind w:firstLineChars="200" w:firstLine="420"/>
        <w:jc w:val="center"/>
        <w:rPr>
          <w:rFonts w:ascii="楷体_GB2312" w:eastAsia="楷体_GB2312" w:cs="DengXian-Bold"/>
          <w:b/>
          <w:bCs/>
          <w:sz w:val="32"/>
          <w:szCs w:val="32"/>
        </w:rPr>
      </w:pPr>
      <w:r>
        <w:object>
          <v:shape id="_x0000_i2" type="#_x0000_t75" filled="f" stroked="f" wrapcoords="168 458 168 21051 21376 21051 21376 458 168 458" style="position:absolute;margin-left:91.75pt;margin-top:-153.9pt;width:288.95pt;height:176.65pt;z-index:29;mso-position-horizontal:absolute;mso-position-vertical:absolute;mso-wrap-distance-left:8.999863pt;mso-wrap-distance-right:8.999863pt;" o:ole="">
            <v:stroke color="#000000"/>
            <v:imagedata r:id="rId18" o:title="5639903671622423431625"/>
            <o:lock aspectratio="t"/>
            <w10:wrap type="tight"/>
          </v:shape>
          <o:OLEObject Type="Embed" ProgID="Package" ShapeID="_x0000_i2" DrawAspect="Content" ObjectID="_1393063352" r:id="rId19"/>
        </w:object>
      </w:r>
    </w:p>
    <w:p>
      <w:pPr>
        <w:snapToGrid w:val="0"/>
        <w:spacing w:line="580" w:lineRule="exact"/>
        <w:ind w:firstLineChars="200" w:firstLine="640"/>
        <w:rPr>
          <w:rFonts w:ascii="??_GB2312" w:eastAsia="Times New Roman" w:cs="DengXian-Bold" w:hAnsi="??_GB2312"/>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sz w:val="32"/>
          <w:szCs w:val="32"/>
        </w:rPr>
        <w:t>本部门2019年度一般公共预算财政拨款收入619.53 万元，完成年初预算的133.06%（如图4）,比年初预算增加153.93 万元，决算数大于预算数主要原因是人员调资，项目增加；本年支出622.59 万元，完成年初预算的133.72%,比年初预算增加156.99 万元，决算数大于预算数主要原因是人员调资，项目增加。</w:t>
      </w:r>
    </w:p>
    <w:p>
      <w:pPr>
        <w:adjustRightInd w:val="0"/>
        <w:snapToGrid w:val="0"/>
        <w:spacing w:line="580" w:lineRule="exact"/>
        <w:ind w:firstLineChars="200" w:firstLine="420"/>
        <w:rPr>
          <w:rFonts w:ascii="??_GB2312" w:eastAsia="Times New Roman" w:cs="DengXian-Regular" w:hAnsi="??_GB2312"/>
          <w:sz w:val="32"/>
          <w:szCs w:val="32"/>
        </w:rPr>
      </w:pPr>
      <w:r>
        <w:object>
          <v:shape id="_x0000_i3" type="#_x0000_t75" filled="f" stroked="f" wrapcoords="122 352 122 21178 21437 21178 21437 352 122 352" style="position:absolute;margin-left:30.8pt;margin-top:8.2pt;width:396.50006pt;height:229.9pt;z-index:33;mso-position-horizontal:absolute;mso-position-vertical:absolute;mso-wrap-distance-left:8.999863pt;mso-wrap-distance-right:8.999863pt;" o:ole="">
            <v:stroke color="#000000"/>
            <v:imagedata r:id="rId20" o:title="3560918981622423431634"/>
            <o:lock aspectratio="t"/>
            <w10:wrap type="tight"/>
          </v:shape>
          <o:OLEObject Type="Embed" ProgID="Package" ShapeID="_x0000_i3" DrawAspect="Content" ObjectID="_1393063353" r:id="rId21"/>
        </w:object>
      </w:r>
    </w:p>
    <w:p>
      <w:pPr>
        <w:numPr>
          <w:ilvl w:val="0"/>
          <w:numId w:val="1"/>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sz w:val="32"/>
          <w:szCs w:val="32"/>
        </w:rPr>
        <w:t>2019 年度财政拨款支出622.59万元，主要用于以下方面一般公共服务（类）支出593.74万元，占95.37%，；社会保障和就业（类）支出20.24万元，占3.25%；住房保障（类）支出0.74 万元，占0.12%;卫生健康支出7.87万元，占1.26%。</w:t>
      </w:r>
    </w:p>
    <w:p>
      <w:pPr>
        <w:adjustRightInd w:val="0"/>
        <w:snapToGrid w:val="0"/>
        <w:spacing w:line="580" w:lineRule="exact"/>
        <w:rPr>
          <w:rFonts w:ascii="楷体_GB2312" w:eastAsia="楷体_GB2312" w:cs="DengXian-Bold"/>
          <w:b/>
          <w:bCs/>
          <w:sz w:val="32"/>
          <w:szCs w:val="32"/>
        </w:rPr>
      </w:pPr>
      <w:r>
        <w:object>
          <v:shape id="_x0000_i4" type="#_x0000_t75" filled="f" stroked="f" wrapcoords="122 382 122 21142 21436 21142 21436 382 122 382" style="position:absolute;margin-left:27.5pt;margin-top:22.1pt;width:395.5pt;height:212.15pt;z-index:31;mso-position-horizontal:absolute;mso-position-vertical:absolute;mso-wrap-distance-left:8.999863pt;mso-wrap-distance-right:8.999863pt;" o:ole="">
            <v:stroke color="#000000"/>
            <v:imagedata r:id="rId22" o:title="6424613531622423431648"/>
            <o:lock aspectratio="t"/>
            <w10:wrap type="tight"/>
          </v:shape>
          <o:OLEObject Type="Embed" ProgID="Package" ShapeID="_x0000_i4" DrawAspect="Content" ObjectID="_1393063354" r:id="rId23"/>
        </w:objec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jc w:val="center"/>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sz w:val="32"/>
          <w:szCs w:val="32"/>
        </w:rPr>
        <w:t>2019 年度财政拨款基本支出190.44万元，其中：人员经费 166.63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23.81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五、一般公共预算“三公”</w:t>
      </w:r>
      <w:r>
        <w:rPr>
          <w:rFonts w:ascii="黑体" w:eastAsia="黑体"/>
          <w:sz w:val="32"/>
          <w:szCs w:val="32"/>
        </w:rPr>
        <w:t xml:space="preserve"> </w:t>
      </w:r>
      <w:r>
        <w:rPr>
          <w:rFonts w:ascii="黑体" w:eastAsia="黑体" w:hint="eastAsia"/>
          <w:sz w:val="32"/>
          <w:szCs w:val="32"/>
        </w:rPr>
        <w:t>经费支出决算情况说明</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sz w:val="32"/>
          <w:szCs w:val="32"/>
        </w:rPr>
        <w:t>本部门2019年度“三公”经费支出共计3.5万元，完成预算的100%,较预算增长0%，主要是较年初预算无增减变化；较2018年度增加0万元，增长0%，主要是较2018</w:t>
      </w:r>
      <w:r>
        <w:rPr>
          <w:rFonts w:ascii="??_GB2312" w:eastAsia="宋体" w:cs="DengXian-Regular" w:hAnsi="??_GB2312"/>
          <w:sz w:val="32"/>
          <w:szCs w:val="32"/>
        </w:rPr>
        <w:t>年决算</w:t>
      </w:r>
      <w:r>
        <w:rPr>
          <w:rFonts w:ascii="??_GB2312" w:eastAsia="Times New Roman" w:cs="DengXian-Regular" w:hAnsi="??_GB2312"/>
          <w:sz w:val="32"/>
          <w:szCs w:val="32"/>
        </w:rPr>
        <w:t>无增减变化。</w:t>
      </w:r>
    </w:p>
    <w:p>
      <w:pPr>
        <w:adjustRightInd w:val="0"/>
        <w:snapToGrid w:val="0"/>
        <w:spacing w:line="580" w:lineRule="exact"/>
        <w:ind w:firstLineChars="200" w:firstLine="640"/>
        <w:rPr>
          <w:rFonts w:ascii="??_GB2312" w:eastAsia="Times New Roman" w:cs="DengXian-Regular" w:hAnsi="??_GB2312"/>
          <w:sz w:val="32"/>
          <w:szCs w:val="32"/>
        </w:rPr>
      </w:pPr>
      <w:r>
        <w:rPr>
          <w:rFonts w:ascii="楷体_GB2312" w:eastAsia="楷体_GB2312" w:cs="DengXian-Bold" w:hint="eastAsia"/>
          <w:b/>
          <w:bCs/>
          <w:sz w:val="32"/>
          <w:szCs w:val="32"/>
        </w:rPr>
        <w:t>（一）因公出国（境）费支出</w:t>
      </w:r>
      <w:r>
        <w:rPr>
          <w:rFonts w:ascii="楷体_GB2312" w:eastAsia="楷体_GB2312" w:cs="DengXian-Bold"/>
          <w:b/>
          <w:bCs/>
          <w:sz w:val="32"/>
          <w:szCs w:val="32"/>
        </w:rPr>
        <w:t>0</w:t>
      </w:r>
      <w:r>
        <w:rPr>
          <w:rFonts w:ascii="楷体_GB2312" w:eastAsia="楷体_GB2312" w:cs="DengXian-Bold" w:hint="eastAsia"/>
          <w:b/>
          <w:bCs/>
          <w:sz w:val="32"/>
          <w:szCs w:val="32"/>
        </w:rPr>
        <w:t>万元。</w:t>
      </w:r>
      <w:r>
        <w:rPr>
          <w:rFonts w:ascii="??_GB2312" w:eastAsia="Times New Roman" w:cs="DengXian-Regular" w:hAnsi="??_GB2312"/>
          <w:sz w:val="32"/>
          <w:szCs w:val="32"/>
        </w:rPr>
        <w:t>本部门2019年度因公出国（境）团组0个、共0人/参加其他单位组织的因公出国（境）团组0个、共0人/无本单位组织的出国（境）团组。因公出国（境）费支出较预算增加0万元，增长0%,主要是</w:t>
      </w:r>
      <w:r>
        <w:rPr>
          <w:rFonts w:ascii="??_GB2312" w:eastAsia="宋体" w:cs="DengXian-Regular" w:hAnsi="??_GB2312"/>
          <w:sz w:val="32"/>
          <w:szCs w:val="32"/>
        </w:rPr>
        <w:t>较年初预算无增减变化</w:t>
      </w:r>
      <w:r>
        <w:rPr>
          <w:rFonts w:ascii="??_GB2312" w:eastAsia="Times New Roman" w:cs="DengXian-Regular" w:hAnsi="??_GB2312"/>
          <w:sz w:val="32"/>
          <w:szCs w:val="32"/>
        </w:rPr>
        <w:t>；较上年增加0万元，增长0%,主要是较2018</w:t>
      </w:r>
      <w:r>
        <w:rPr>
          <w:rFonts w:ascii="??_GB2312" w:eastAsia="宋体" w:cs="DengXian-Regular" w:hAnsi="??_GB2312"/>
          <w:sz w:val="32"/>
          <w:szCs w:val="32"/>
        </w:rPr>
        <w:t>年决算</w:t>
      </w:r>
      <w:r>
        <w:rPr>
          <w:rFonts w:ascii="??_GB2312" w:eastAsia="Times New Roman" w:cs="DengXian-Regular" w:hAnsi="??_GB2312"/>
          <w:sz w:val="32"/>
          <w:szCs w:val="32"/>
        </w:rPr>
        <w:t>无增减变化。</w:t>
      </w:r>
    </w:p>
    <w:p>
      <w:pPr>
        <w:adjustRightInd w:val="0"/>
        <w:snapToGrid w:val="0"/>
        <w:spacing w:line="580" w:lineRule="exact"/>
        <w:ind w:firstLineChars="200" w:firstLine="640"/>
        <w:rPr>
          <w:rFonts w:ascii="??_GB2312" w:eastAsia="宋体" w:cs="DengXian-Regular" w:hAnsi="??_GB2312"/>
          <w:sz w:val="32"/>
          <w:szCs w:val="32"/>
        </w:rPr>
      </w:pPr>
      <w:r>
        <w:rPr>
          <w:rFonts w:ascii="楷体_GB2312" w:eastAsia="楷体_GB2312" w:cs="DengXian-Bold" w:hint="eastAsia"/>
          <w:b/>
          <w:bCs/>
          <w:sz w:val="32"/>
          <w:szCs w:val="32"/>
        </w:rPr>
        <w:t>（二）公务用车购置及运行维护费支出</w:t>
      </w:r>
      <w:r>
        <w:rPr>
          <w:rFonts w:ascii="楷体_GB2312" w:eastAsia="楷体_GB2312" w:cs="DengXian-Bold"/>
          <w:b/>
          <w:bCs/>
          <w:sz w:val="32"/>
          <w:szCs w:val="32"/>
        </w:rPr>
        <w:t>3.5</w:t>
      </w:r>
      <w:r>
        <w:rPr>
          <w:rFonts w:ascii="楷体_GB2312" w:eastAsia="楷体_GB2312" w:cs="DengXian-Bold" w:hint="eastAsia"/>
          <w:b/>
          <w:bCs/>
          <w:sz w:val="32"/>
          <w:szCs w:val="32"/>
        </w:rPr>
        <w:t>万元。</w:t>
      </w:r>
      <w:r>
        <w:rPr>
          <w:rFonts w:ascii="??_GB2312" w:eastAsia="Times New Roman" w:cs="DengXian-Regular" w:hAnsi="??_GB2312"/>
          <w:sz w:val="32"/>
          <w:szCs w:val="32"/>
        </w:rPr>
        <w:t>本部门2019年度公务用车购置及运行维护费较预算增加0万元，增长0%,主要是较年初预算无增减变化；较上年增加0万元，增长0%,主要是较2018</w:t>
      </w:r>
      <w:r>
        <w:rPr>
          <w:rFonts w:ascii="??_GB2312" w:eastAsia="宋体" w:cs="DengXian-Regular" w:hAnsi="??_GB2312"/>
          <w:sz w:val="32"/>
          <w:szCs w:val="32"/>
        </w:rPr>
        <w:t>年决算</w:t>
      </w:r>
      <w:r>
        <w:rPr>
          <w:rFonts w:ascii="??_GB2312" w:eastAsia="Times New Roman" w:cs="DengXian-Regular" w:hAnsi="??_GB2312"/>
          <w:sz w:val="32"/>
          <w:szCs w:val="32"/>
        </w:rPr>
        <w:t>无增减变化。</w:t>
      </w:r>
    </w:p>
    <w:p>
      <w:pPr>
        <w:adjustRightInd w:val="0"/>
        <w:snapToGrid w:val="0"/>
        <w:spacing w:line="580" w:lineRule="exact"/>
        <w:ind w:firstLineChars="200" w:firstLine="640"/>
        <w:rPr>
          <w:rFonts w:ascii="??_GB2312" w:eastAsia="Times New Roman" w:cs="DengXian-Bold" w:hAnsi="??_GB2312"/>
          <w:b/>
          <w:bCs/>
          <w:sz w:val="32"/>
          <w:szCs w:val="32"/>
        </w:rPr>
      </w:pPr>
      <w:r>
        <w:rPr>
          <w:rFonts w:ascii="??_GB2312" w:eastAsia="Times New Roman" w:cs="DengXian-Bold" w:hAnsi="??_GB2312"/>
          <w:b/>
          <w:bCs/>
          <w:sz w:val="32"/>
          <w:szCs w:val="32"/>
        </w:rPr>
        <w:t>其中：</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b/>
          <w:sz w:val="32"/>
          <w:szCs w:val="32"/>
        </w:rPr>
        <w:t>公务用车购置费：</w:t>
      </w:r>
      <w:r>
        <w:rPr>
          <w:rFonts w:ascii="??_GB2312" w:eastAsia="Times New Roman" w:cs="DengXian-Regular" w:hAnsi="??_GB2312"/>
          <w:sz w:val="32"/>
          <w:szCs w:val="32"/>
        </w:rPr>
        <w:t>本部门2019年度公务用车购置量0辆，发生“公务用车购置”经费支出0万元。公务用车购置费支出较预算增加0万元，增长0%,</w:t>
      </w:r>
      <w:r>
        <w:rPr>
          <w:rFonts w:ascii="??_GB2312" w:eastAsia="宋体" w:cs="DengXian-Regular" w:hAnsi="??_GB2312"/>
          <w:sz w:val="32"/>
          <w:szCs w:val="32"/>
        </w:rPr>
        <w:t>主要是较年初预算无增减变化</w:t>
      </w:r>
      <w:r>
        <w:rPr>
          <w:rFonts w:ascii="??_GB2312" w:eastAsia="Times New Roman" w:cs="DengXian-Regular" w:hAnsi="??_GB2312"/>
          <w:sz w:val="32"/>
          <w:szCs w:val="32"/>
        </w:rPr>
        <w:t>；较上年增加0万元，增长0%,主要是较2018</w:t>
      </w:r>
      <w:r>
        <w:rPr>
          <w:rFonts w:ascii="??_GB2312" w:eastAsia="宋体" w:cs="DengXian-Regular" w:hAnsi="??_GB2312"/>
          <w:sz w:val="32"/>
          <w:szCs w:val="32"/>
        </w:rPr>
        <w:t>年决算</w:t>
      </w:r>
      <w:r>
        <w:rPr>
          <w:rFonts w:ascii="??_GB2312" w:eastAsia="Times New Roman" w:cs="DengXian-Regular" w:hAnsi="??_GB2312"/>
          <w:sz w:val="32"/>
          <w:szCs w:val="32"/>
        </w:rPr>
        <w:t>无增减变化。</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b/>
          <w:sz w:val="32"/>
          <w:szCs w:val="32"/>
        </w:rPr>
        <w:t>公务用车运行维护费：</w:t>
      </w:r>
      <w:r>
        <w:rPr>
          <w:rFonts w:ascii="??_GB2312" w:eastAsia="Times New Roman" w:cs="DengXian-Regular" w:hAnsi="??_GB2312"/>
          <w:sz w:val="32"/>
          <w:szCs w:val="32"/>
        </w:rPr>
        <w:t>本部门2019年度单位公务用车保有量1辆。公车运行维护费支出较预算增加0万元，增长0%,主要是</w:t>
      </w:r>
      <w:r>
        <w:rPr>
          <w:rFonts w:ascii="??_GB2312" w:eastAsia="宋体" w:cs="DengXian-Regular" w:hAnsi="??_GB2312"/>
          <w:sz w:val="32"/>
          <w:szCs w:val="32"/>
        </w:rPr>
        <w:t>较年初预算无增减变化</w:t>
      </w:r>
      <w:r>
        <w:rPr>
          <w:rFonts w:ascii="??_GB2312" w:eastAsia="Times New Roman" w:cs="DengXian-Regular" w:hAnsi="??_GB2312"/>
          <w:sz w:val="32"/>
          <w:szCs w:val="32"/>
        </w:rPr>
        <w:t>；较上年增加0万元，增长0%,主要是较2018</w:t>
      </w:r>
      <w:r>
        <w:rPr>
          <w:rFonts w:ascii="??_GB2312" w:eastAsia="宋体" w:cs="DengXian-Regular" w:hAnsi="??_GB2312"/>
          <w:sz w:val="32"/>
          <w:szCs w:val="32"/>
        </w:rPr>
        <w:t>年决算</w:t>
      </w:r>
      <w:r>
        <w:rPr>
          <w:rFonts w:ascii="??_GB2312" w:eastAsia="Times New Roman" w:cs="DengXian-Regular" w:hAnsi="??_GB2312"/>
          <w:sz w:val="32"/>
          <w:szCs w:val="32"/>
        </w:rPr>
        <w:t>无增减变化。</w:t>
      </w:r>
    </w:p>
    <w:p>
      <w:pPr>
        <w:adjustRightInd w:val="0"/>
        <w:snapToGrid w:val="0"/>
        <w:spacing w:line="580" w:lineRule="exact"/>
        <w:ind w:firstLineChars="200" w:firstLine="640"/>
        <w:rPr>
          <w:rFonts w:ascii="??_GB2312" w:eastAsia="Times New Roman" w:cs="DengXian-Regular" w:hAnsi="??_GB2312"/>
          <w:sz w:val="32"/>
          <w:szCs w:val="32"/>
        </w:rPr>
      </w:pPr>
      <w:r>
        <w:rPr>
          <w:rFonts w:ascii="楷体_GB2312" w:eastAsia="楷体_GB2312" w:cs="DengXian-Bold" w:hint="eastAsia"/>
          <w:b/>
          <w:bCs/>
          <w:sz w:val="32"/>
          <w:szCs w:val="32"/>
        </w:rPr>
        <w:t>（三）公务接待费支出</w:t>
      </w:r>
      <w:r>
        <w:rPr>
          <w:rFonts w:ascii="楷体_GB2312" w:eastAsia="楷体_GB2312" w:cs="DengXian-Bold"/>
          <w:b/>
          <w:bCs/>
          <w:sz w:val="32"/>
          <w:szCs w:val="32"/>
        </w:rPr>
        <w:t>0</w:t>
      </w:r>
      <w:r>
        <w:rPr>
          <w:rFonts w:ascii="楷体_GB2312" w:eastAsia="楷体_GB2312" w:cs="DengXian-Bold" w:hint="eastAsia"/>
          <w:b/>
          <w:bCs/>
          <w:sz w:val="32"/>
          <w:szCs w:val="32"/>
        </w:rPr>
        <w:t>万元。</w:t>
      </w:r>
      <w:r>
        <w:rPr>
          <w:rFonts w:ascii="??_GB2312" w:eastAsia="Times New Roman" w:cs="DengXian-Regular" w:hAnsi="??_GB2312"/>
          <w:sz w:val="32"/>
          <w:szCs w:val="32"/>
        </w:rPr>
        <w:t>本部门2019年度公务接待共0批次、0人次。公务接待费支出较预算减少0万元，降低0%,</w:t>
      </w:r>
      <w:r>
        <w:rPr>
          <w:rFonts w:ascii="??_GB2312" w:eastAsia="宋体" w:cs="DengXian-Regular" w:hAnsi="??_GB2312"/>
          <w:sz w:val="32"/>
          <w:szCs w:val="32"/>
        </w:rPr>
        <w:t>较年初预算无增减变化</w:t>
      </w:r>
      <w:r>
        <w:rPr>
          <w:rFonts w:ascii="??_GB2312" w:eastAsia="Times New Roman" w:cs="DengXian-Regular" w:hAnsi="??_GB2312"/>
          <w:sz w:val="32"/>
          <w:szCs w:val="32"/>
        </w:rPr>
        <w:t>；较上年</w:t>
      </w:r>
      <w:r>
        <w:rPr>
          <w:rFonts w:ascii="??_GB2312" w:eastAsia="宋体" w:cs="DengXian-Regular" w:hAnsi="??_GB2312"/>
          <w:sz w:val="32"/>
          <w:szCs w:val="32"/>
        </w:rPr>
        <w:t>减少</w:t>
      </w:r>
      <w:r>
        <w:rPr>
          <w:rFonts w:ascii="??_GB2312" w:eastAsia="Times New Roman" w:cs="DengXian-Regular" w:hAnsi="??_GB2312"/>
          <w:sz w:val="32"/>
          <w:szCs w:val="32"/>
        </w:rPr>
        <w:t>0万元，</w:t>
      </w:r>
      <w:r>
        <w:rPr>
          <w:rFonts w:ascii="??_GB2312" w:eastAsia="宋体" w:cs="DengXian-Regular" w:hAnsi="??_GB2312"/>
          <w:sz w:val="32"/>
          <w:szCs w:val="32"/>
        </w:rPr>
        <w:t>减少</w:t>
      </w:r>
      <w:r>
        <w:rPr>
          <w:rFonts w:ascii="??_GB2312" w:eastAsia="Times New Roman" w:cs="DengXian-Regular" w:hAnsi="??_GB2312"/>
          <w:sz w:val="32"/>
          <w:szCs w:val="32"/>
        </w:rPr>
        <w:t>0%,主要是较2018</w:t>
      </w:r>
      <w:r>
        <w:rPr>
          <w:rFonts w:ascii="??_GB2312" w:eastAsia="宋体" w:cs="DengXian-Regular" w:hAnsi="??_GB2312"/>
          <w:sz w:val="32"/>
          <w:szCs w:val="32"/>
        </w:rPr>
        <w:t>年决算</w:t>
      </w:r>
      <w:r>
        <w:rPr>
          <w:rFonts w:ascii="??_GB2312" w:eastAsia="Times New Roman" w:cs="DengXian-Regular" w:hAnsi="??_GB2312"/>
          <w:sz w:val="32"/>
          <w:szCs w:val="32"/>
        </w:rPr>
        <w:t>无增减变化。</w:t>
      </w:r>
    </w:p>
    <w:p>
      <w:pPr>
        <w:adjustRightInd w:val="0"/>
        <w:snapToGrid w:val="0"/>
        <w:spacing w:line="580" w:lineRule="exact"/>
        <w:ind w:firstLineChars="200" w:firstLine="640"/>
        <w:rPr>
          <w:rFonts w:ascii="??_GB2312" w:eastAsia="Times New Roman" w:cs="DengXian-Regular" w:hAnsi="??_GB2312"/>
          <w:sz w:val="32"/>
          <w:szCs w:val="32"/>
        </w:rPr>
      </w:pPr>
    </w:p>
    <w:p>
      <w:pPr>
        <w:adjustRightInd w:val="0"/>
        <w:snapToGrid w:val="0"/>
        <w:spacing w:line="580" w:lineRule="exact"/>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line="580" w:lineRule="exact"/>
        <w:ind w:firstLineChars="200" w:firstLine="640"/>
        <w:rPr>
          <w:rFonts w:ascii="??_GB2312" w:cs="??_GB2312" w:hAnsi="??_GB2312"/>
          <w:b/>
          <w:bCs/>
          <w:sz w:val="32"/>
          <w:szCs w:val="32"/>
        </w:rPr>
      </w:pPr>
      <w:r>
        <w:rPr>
          <w:rFonts w:ascii="??_GB2312" w:cs="??_GB2312" w:hAnsi="??_GB2312"/>
          <w:b/>
          <w:bCs/>
          <w:sz w:val="32"/>
          <w:szCs w:val="32"/>
        </w:rPr>
        <w:t xml:space="preserve">1. </w:t>
      </w:r>
      <w:r>
        <w:rPr>
          <w:rFonts w:ascii="宋体" w:eastAsia="宋体" w:cs="宋体" w:hint="eastAsia"/>
          <w:b/>
          <w:bCs/>
          <w:sz w:val="32"/>
          <w:szCs w:val="32"/>
        </w:rPr>
        <w:t>预算绩效管理工作开展情况。</w:t>
      </w:r>
    </w:p>
    <w:p>
      <w:pPr>
        <w:adjustRightInd w:val="0"/>
        <w:snapToGrid w:val="0"/>
        <w:spacing w:line="580" w:lineRule="exact"/>
        <w:ind w:firstLineChars="200" w:firstLine="640"/>
        <w:rPr>
          <w:rFonts w:ascii="??_GB2312" w:cs="??_GB2312" w:hAnsi="??_GB2312"/>
          <w:sz w:val="32"/>
          <w:szCs w:val="32"/>
        </w:rPr>
      </w:pPr>
      <w:r>
        <w:rPr>
          <w:rFonts w:ascii="宋体" w:eastAsia="宋体" w:cs="宋体" w:hint="eastAsia"/>
          <w:sz w:val="32"/>
          <w:szCs w:val="32"/>
        </w:rPr>
        <w:t>根据预算绩效管理要求，本部门组织对</w:t>
      </w:r>
      <w:r>
        <w:rPr>
          <w:rFonts w:ascii="??_GB2312" w:cs="??_GB2312" w:hAnsi="??_GB2312"/>
          <w:sz w:val="32"/>
          <w:szCs w:val="32"/>
        </w:rPr>
        <w:t>2019</w:t>
      </w:r>
      <w:r>
        <w:rPr>
          <w:rFonts w:ascii="宋体" w:eastAsia="宋体" w:cs="宋体" w:hint="eastAsia"/>
          <w:sz w:val="32"/>
          <w:szCs w:val="32"/>
        </w:rPr>
        <w:t>年度一般公共预算项目支出全面开展绩效自评，其中，一级项目</w:t>
      </w:r>
      <w:r>
        <w:rPr>
          <w:rFonts w:ascii="??_GB2312" w:cs="??_GB2312" w:hAnsi="??_GB2312"/>
          <w:sz w:val="32"/>
          <w:szCs w:val="32"/>
        </w:rPr>
        <w:t>2</w:t>
      </w:r>
      <w:r>
        <w:rPr>
          <w:rFonts w:ascii="宋体" w:eastAsia="宋体" w:cs="宋体" w:hint="eastAsia"/>
          <w:sz w:val="32"/>
          <w:szCs w:val="32"/>
        </w:rPr>
        <w:t>个，二级项目</w:t>
      </w:r>
      <w:r>
        <w:rPr>
          <w:rFonts w:ascii="??_GB2312" w:cs="??_GB2312" w:hAnsi="??_GB2312"/>
          <w:sz w:val="32"/>
          <w:szCs w:val="32"/>
        </w:rPr>
        <w:t>0</w:t>
      </w:r>
      <w:r>
        <w:rPr>
          <w:rFonts w:ascii="宋体" w:eastAsia="宋体" w:cs="宋体" w:hint="eastAsia"/>
          <w:sz w:val="32"/>
          <w:szCs w:val="32"/>
        </w:rPr>
        <w:t>个，共涉及资金</w:t>
      </w:r>
      <w:r>
        <w:rPr>
          <w:rFonts w:ascii="??_GB2312" w:cs="??_GB2312" w:hAnsi="??_GB2312"/>
          <w:sz w:val="32"/>
          <w:szCs w:val="32"/>
        </w:rPr>
        <w:t>140</w:t>
      </w:r>
      <w:r>
        <w:rPr>
          <w:rFonts w:ascii="宋体" w:eastAsia="宋体" w:cs="宋体" w:hint="eastAsia"/>
          <w:sz w:val="32"/>
          <w:szCs w:val="32"/>
        </w:rPr>
        <w:t>万元，占一般公共预算项目支出总额的</w:t>
      </w:r>
      <w:r>
        <w:rPr>
          <w:rFonts w:ascii="??_GB2312" w:cs="??_GB2312" w:hAnsi="??_GB2312"/>
          <w:sz w:val="32"/>
          <w:szCs w:val="32"/>
        </w:rPr>
        <w:t>100%</w:t>
      </w:r>
      <w:r>
        <w:rPr>
          <w:rFonts w:ascii="宋体" w:eastAsia="宋体" w:cs="宋体" w:hint="eastAsia"/>
          <w:sz w:val="32"/>
          <w:szCs w:val="32"/>
        </w:rPr>
        <w:t>。组织对</w:t>
      </w:r>
      <w:r>
        <w:rPr>
          <w:rFonts w:ascii="??_GB2312" w:cs="??_GB2312" w:hAnsi="??_GB2312"/>
          <w:sz w:val="32"/>
          <w:szCs w:val="32"/>
        </w:rPr>
        <w:t>2019</w:t>
      </w:r>
      <w:r>
        <w:rPr>
          <w:rFonts w:ascii="宋体" w:eastAsia="宋体" w:cs="宋体" w:hint="eastAsia"/>
          <w:sz w:val="32"/>
          <w:szCs w:val="32"/>
        </w:rPr>
        <w:t>年度</w:t>
      </w:r>
      <w:r>
        <w:rPr>
          <w:rFonts w:ascii="??_GB2312" w:cs="??_GB2312" w:hAnsi="??_GB2312"/>
          <w:sz w:val="32"/>
          <w:szCs w:val="32"/>
        </w:rPr>
        <w:t>0</w:t>
      </w:r>
      <w:r>
        <w:rPr>
          <w:rFonts w:ascii="宋体" w:eastAsia="宋体" w:cs="宋体" w:hint="eastAsia"/>
          <w:sz w:val="32"/>
          <w:szCs w:val="32"/>
        </w:rPr>
        <w:t>个政府性基金预算项目支出开展绩效自评，共涉及资金</w:t>
      </w:r>
      <w:r>
        <w:rPr>
          <w:rFonts w:ascii="??_GB2312" w:cs="??_GB2312" w:hAnsi="??_GB2312"/>
          <w:sz w:val="32"/>
          <w:szCs w:val="32"/>
        </w:rPr>
        <w:t>0</w:t>
      </w:r>
      <w:r>
        <w:rPr>
          <w:rFonts w:ascii="宋体" w:eastAsia="宋体" w:cs="宋体" w:hint="eastAsia"/>
          <w:sz w:val="32"/>
          <w:szCs w:val="32"/>
        </w:rPr>
        <w:t>万元，占政府性基金预算项目支出总额的</w:t>
      </w:r>
      <w:r>
        <w:rPr>
          <w:rFonts w:ascii="??_GB2312" w:cs="??_GB2312" w:hAnsi="??_GB2312"/>
          <w:sz w:val="32"/>
          <w:szCs w:val="32"/>
        </w:rPr>
        <w:t>0%</w:t>
      </w:r>
      <w:r>
        <w:rPr>
          <w:rFonts w:ascii="宋体" w:eastAsia="宋体" w:cs="宋体" w:hint="eastAsia"/>
          <w:sz w:val="32"/>
          <w:szCs w:val="32"/>
        </w:rPr>
        <w:t>。组织对</w:t>
      </w:r>
      <w:r>
        <w:rPr>
          <w:rFonts w:ascii="??_GB2312" w:cs="??_GB2312" w:hAnsi="??_GB2312"/>
          <w:sz w:val="32"/>
          <w:szCs w:val="32"/>
        </w:rPr>
        <w:t>“</w:t>
      </w:r>
      <w:r>
        <w:rPr>
          <w:rFonts w:ascii="宋体" w:eastAsia="宋体" w:cs="宋体" w:hint="eastAsia"/>
          <w:sz w:val="32"/>
          <w:szCs w:val="32"/>
        </w:rPr>
        <w:t>驻京工作队值班经费</w:t>
      </w:r>
      <w:r>
        <w:rPr>
          <w:rFonts w:ascii="??_GB2312" w:cs="??_GB2312" w:hAnsi="??_GB2312"/>
          <w:sz w:val="32"/>
          <w:szCs w:val="32"/>
        </w:rPr>
        <w:t>”“</w:t>
      </w:r>
      <w:r>
        <w:rPr>
          <w:rFonts w:ascii="宋体" w:eastAsia="宋体" w:cs="宋体" w:hint="eastAsia"/>
          <w:sz w:val="32"/>
          <w:szCs w:val="32"/>
        </w:rPr>
        <w:t>群众工作中心办公经费</w:t>
      </w:r>
      <w:r>
        <w:rPr>
          <w:rFonts w:ascii="??_GB2312" w:cs="??_GB2312" w:hAnsi="??_GB2312"/>
          <w:sz w:val="32"/>
          <w:szCs w:val="32"/>
        </w:rPr>
        <w:t>”</w:t>
      </w:r>
      <w:r>
        <w:rPr>
          <w:rFonts w:ascii="宋体" w:eastAsia="宋体" w:cs="宋体" w:hint="eastAsia"/>
          <w:sz w:val="32"/>
          <w:szCs w:val="32"/>
        </w:rPr>
        <w:t>等</w:t>
      </w:r>
      <w:r>
        <w:rPr>
          <w:rFonts w:ascii="??_GB2312" w:cs="??_GB2312" w:hAnsi="??_GB2312"/>
          <w:sz w:val="32"/>
          <w:szCs w:val="32"/>
        </w:rPr>
        <w:t>2</w:t>
      </w:r>
      <w:r>
        <w:rPr>
          <w:rFonts w:ascii="宋体" w:eastAsia="宋体" w:cs="宋体" w:hint="eastAsia"/>
          <w:sz w:val="32"/>
          <w:szCs w:val="32"/>
        </w:rPr>
        <w:t>个项目开展了部门评价，涉及一般公共预算支出</w:t>
      </w:r>
      <w:r>
        <w:rPr>
          <w:rFonts w:ascii="??_GB2312" w:cs="??_GB2312" w:hAnsi="??_GB2312"/>
          <w:sz w:val="32"/>
          <w:szCs w:val="32"/>
        </w:rPr>
        <w:t>140</w:t>
      </w:r>
      <w:r>
        <w:rPr>
          <w:rFonts w:ascii="宋体" w:eastAsia="宋体" w:cs="宋体" w:hint="eastAsia"/>
          <w:sz w:val="32"/>
          <w:szCs w:val="32"/>
        </w:rPr>
        <w:t>万元，政府性基金预算支出</w:t>
      </w:r>
      <w:r>
        <w:rPr>
          <w:rFonts w:ascii="??_GB2312" w:cs="??_GB2312" w:hAnsi="??_GB2312"/>
          <w:sz w:val="32"/>
          <w:szCs w:val="32"/>
        </w:rPr>
        <w:t>0</w:t>
      </w:r>
      <w:r>
        <w:rPr>
          <w:rFonts w:ascii="宋体" w:eastAsia="宋体" w:cs="宋体" w:hint="eastAsia"/>
          <w:sz w:val="32"/>
          <w:szCs w:val="32"/>
        </w:rPr>
        <w:t>万元。其中，对</w:t>
      </w:r>
      <w:r>
        <w:rPr>
          <w:rFonts w:ascii="??_GB2312" w:cs="??_GB2312" w:hAnsi="??_GB2312"/>
          <w:sz w:val="32"/>
          <w:szCs w:val="32"/>
        </w:rPr>
        <w:t>“</w:t>
      </w:r>
      <w:r>
        <w:rPr>
          <w:rFonts w:ascii="宋体" w:eastAsia="宋体" w:cs="宋体" w:hint="eastAsia"/>
          <w:sz w:val="32"/>
          <w:szCs w:val="32"/>
        </w:rPr>
        <w:t>驻京工作队值班经费</w:t>
      </w:r>
      <w:r>
        <w:rPr>
          <w:rFonts w:ascii="??_GB2312" w:cs="??_GB2312" w:hAnsi="??_GB2312"/>
          <w:sz w:val="32"/>
          <w:szCs w:val="32"/>
        </w:rPr>
        <w:t>”“</w:t>
      </w:r>
      <w:r>
        <w:rPr>
          <w:rFonts w:ascii="宋体" w:eastAsia="宋体" w:cs="宋体" w:hint="eastAsia"/>
          <w:sz w:val="32"/>
          <w:szCs w:val="32"/>
        </w:rPr>
        <w:t>群众工作中心办公经费</w:t>
      </w:r>
      <w:r>
        <w:rPr>
          <w:rFonts w:ascii="??_GB2312" w:cs="??_GB2312" w:hAnsi="??_GB2312"/>
          <w:sz w:val="32"/>
          <w:szCs w:val="32"/>
        </w:rPr>
        <w:t>”</w:t>
      </w:r>
      <w:r>
        <w:rPr>
          <w:rFonts w:ascii="宋体" w:eastAsia="宋体" w:cs="宋体" w:hint="eastAsia"/>
          <w:sz w:val="32"/>
          <w:szCs w:val="32"/>
        </w:rPr>
        <w:t>等项目分别由我单位内部自评开展绩效评价。从评价情况来看，整体支出情况良好。</w:t>
      </w:r>
    </w:p>
    <w:p>
      <w:pPr>
        <w:adjustRightInd w:val="0"/>
        <w:snapToGrid w:val="0"/>
        <w:spacing w:line="580" w:lineRule="exact"/>
        <w:ind w:leftChars="200" w:left="420" w:firstLineChars="100" w:firstLine="320"/>
        <w:rPr>
          <w:rFonts w:ascii="??_GB2312" w:cs="??_GB2312" w:hAnsi="??_GB2312"/>
          <w:b/>
          <w:bCs/>
          <w:sz w:val="32"/>
          <w:szCs w:val="32"/>
        </w:rPr>
      </w:pPr>
      <w:r>
        <w:rPr>
          <w:rFonts w:ascii="??_GB2312" w:cs="??_GB2312" w:hAnsi="??_GB2312"/>
          <w:b/>
          <w:bCs/>
          <w:sz w:val="32"/>
          <w:szCs w:val="32"/>
        </w:rPr>
        <w:t xml:space="preserve">2. </w:t>
      </w:r>
      <w:r>
        <w:rPr>
          <w:rFonts w:ascii="宋体" w:eastAsia="宋体" w:cs="宋体" w:hint="eastAsia"/>
          <w:b/>
          <w:bCs/>
          <w:sz w:val="32"/>
          <w:szCs w:val="32"/>
        </w:rPr>
        <w:t>部门决算中项目绩效自评结果。</w:t>
      </w:r>
    </w:p>
    <w:p>
      <w:pPr>
        <w:adjustRightInd w:val="0"/>
        <w:snapToGrid w:val="0"/>
        <w:spacing w:line="580" w:lineRule="exact"/>
        <w:ind w:firstLineChars="200" w:firstLine="640"/>
        <w:rPr>
          <w:rFonts w:ascii="??_GB2312" w:cs="??_GB2312" w:hAnsi="??_GB2312"/>
          <w:sz w:val="32"/>
          <w:szCs w:val="32"/>
        </w:rPr>
      </w:pPr>
      <w:r>
        <w:rPr>
          <w:rFonts w:ascii="宋体" w:eastAsia="宋体" w:cs="宋体" w:hint="eastAsia"/>
          <w:sz w:val="32"/>
          <w:szCs w:val="32"/>
        </w:rPr>
        <w:t>本部门在今年部门决算公开中反映驻京工作队值班经费项目及群众工作中心办公经费项目等</w:t>
      </w:r>
      <w:r>
        <w:rPr>
          <w:rFonts w:ascii="??_GB2312" w:cs="??_GB2312" w:hAnsi="??_GB2312"/>
          <w:sz w:val="32"/>
          <w:szCs w:val="32"/>
        </w:rPr>
        <w:t>2</w:t>
      </w:r>
      <w:r>
        <w:rPr>
          <w:rFonts w:ascii="宋体" w:eastAsia="宋体" w:cs="宋体" w:hint="eastAsia"/>
          <w:sz w:val="32"/>
          <w:szCs w:val="32"/>
        </w:rPr>
        <w:t>个项目绩效自评结果。</w:t>
      </w:r>
    </w:p>
    <w:p>
      <w:pPr>
        <w:numPr>
          <w:ilvl w:val="0"/>
          <w:numId w:val="2"/>
        </w:numPr>
        <w:adjustRightInd w:val="0"/>
        <w:snapToGrid w:val="0"/>
        <w:spacing w:line="580" w:lineRule="exact"/>
        <w:ind w:left="0" w:firstLineChars="200" w:firstLine="640"/>
        <w:rPr>
          <w:rFonts w:ascii="??_GB2312" w:cs="??_GB2312" w:hAnsi="??_GB2312"/>
          <w:sz w:val="32"/>
          <w:szCs w:val="32"/>
        </w:rPr>
      </w:pPr>
      <w:r>
        <w:rPr>
          <w:rFonts w:ascii="宋体" w:eastAsia="宋体" w:cs="宋体" w:hint="eastAsia"/>
          <w:sz w:val="32"/>
          <w:szCs w:val="32"/>
        </w:rPr>
        <w:t>驻京工作队值班经费项目自评综述：根据年初设定的绩效目标，驻京工作队值班经费项目绩效自评得分为</w:t>
      </w:r>
      <w:r>
        <w:rPr>
          <w:rFonts w:ascii="??_GB2312" w:cs="??_GB2312" w:hAnsi="??_GB2312"/>
          <w:sz w:val="32"/>
          <w:szCs w:val="32"/>
        </w:rPr>
        <w:t>100</w:t>
      </w:r>
      <w:r>
        <w:rPr>
          <w:rFonts w:ascii="宋体" w:eastAsia="宋体" w:cs="宋体" w:hint="eastAsia"/>
          <w:sz w:val="32"/>
          <w:szCs w:val="32"/>
        </w:rPr>
        <w:t>分（绩效自评表附后）。全年预算数为</w:t>
      </w:r>
      <w:r>
        <w:rPr>
          <w:rFonts w:ascii="??_GB2312" w:cs="??_GB2312" w:hAnsi="??_GB2312"/>
          <w:sz w:val="32"/>
          <w:szCs w:val="32"/>
        </w:rPr>
        <w:t>120</w:t>
      </w:r>
      <w:r>
        <w:rPr>
          <w:rFonts w:ascii="宋体" w:eastAsia="宋体" w:cs="宋体" w:hint="eastAsia"/>
          <w:sz w:val="32"/>
          <w:szCs w:val="32"/>
        </w:rPr>
        <w:t>万元，执行数为</w:t>
      </w:r>
      <w:r>
        <w:rPr>
          <w:rFonts w:ascii="??_GB2312" w:cs="??_GB2312" w:hAnsi="??_GB2312"/>
          <w:sz w:val="32"/>
          <w:szCs w:val="32"/>
        </w:rPr>
        <w:t>120</w:t>
      </w:r>
      <w:r>
        <w:rPr>
          <w:rFonts w:ascii="宋体" w:eastAsia="宋体" w:cs="宋体" w:hint="eastAsia"/>
          <w:sz w:val="32"/>
          <w:szCs w:val="32"/>
        </w:rPr>
        <w:t>万元，完成预算的</w:t>
      </w:r>
      <w:r>
        <w:rPr>
          <w:rFonts w:ascii="??_GB2312" w:cs="??_GB2312" w:hAnsi="??_GB2312"/>
          <w:sz w:val="32"/>
          <w:szCs w:val="32"/>
        </w:rPr>
        <w:t>100%</w:t>
      </w:r>
      <w:r>
        <w:rPr>
          <w:rFonts w:ascii="宋体" w:eastAsia="宋体" w:cs="宋体" w:hint="eastAsia"/>
          <w:sz w:val="32"/>
          <w:szCs w:val="32"/>
        </w:rPr>
        <w:t>。项目绩效目标完成情况：一是保障我单位驻京接访人员的正常工作经费</w:t>
      </w:r>
      <w:r>
        <w:rPr>
          <w:rFonts w:ascii="??_GB2312" w:cs="??_GB2312" w:hAnsi="??_GB2312"/>
          <w:sz w:val="32"/>
          <w:szCs w:val="32"/>
        </w:rPr>
        <w:t>.</w:t>
      </w:r>
      <w:r>
        <w:rPr>
          <w:rFonts w:ascii="宋体" w:eastAsia="宋体" w:cs="宋体" w:hint="eastAsia"/>
          <w:sz w:val="32"/>
          <w:szCs w:val="32"/>
        </w:rPr>
        <w:t>；二是达到工作人员满意度</w:t>
      </w:r>
      <w:r>
        <w:rPr>
          <w:rFonts w:ascii="??_GB2312" w:cs="??_GB2312" w:hAnsi="??_GB2312"/>
          <w:sz w:val="32"/>
          <w:szCs w:val="32"/>
        </w:rPr>
        <w:t>100%</w:t>
      </w:r>
      <w:r>
        <w:rPr>
          <w:rFonts w:ascii="宋体" w:eastAsia="宋体" w:cs="宋体" w:hint="eastAsia"/>
          <w:sz w:val="32"/>
          <w:szCs w:val="32"/>
        </w:rPr>
        <w:t>。发现的主要问题及原因：资金支付较晚。下一步改进措施：保障资金的及时支付。</w:t>
      </w:r>
    </w:p>
    <w:tbl>
      <w:tblPr>
        <w:tblpPr w:leftFromText="180" w:rightFromText="180" w:vertAnchor="text" w:horzAnchor="page" w:tblpX="1732" w:tblpY="229"/>
        <w:tblOverlap w:val="never"/>
        <w:tblW w:w="886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rPr>
          <w:trHeight w:val="375"/>
          <w:gridAfter w:val="1"/>
          <w:wAfter w:w="26" w:type="dxa"/>
        </w:trPr>
        <w:tc>
          <w:tcPr>
            <w:tcW w:w="883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ascii="仿宋" w:eastAsia="仿宋" w:hint="eastAsia"/>
                <w:kern w:val="0"/>
                <w:sz w:val="20"/>
                <w:szCs w:val="20"/>
              </w:rPr>
              <w:t>项目支出绩效自评表</w:t>
            </w:r>
          </w:p>
        </w:tc>
      </w:tr>
      <w:tr>
        <w:trPr>
          <w:trHeight w:val="259"/>
        </w:trPr>
        <w:tc>
          <w:tcPr>
            <w:tcW w:w="8861" w:type="dxa"/>
            <w:gridSpan w:val="16"/>
            <w:tcBorders>
              <w:top w:val="nil"/>
              <w:left w:val="nil"/>
              <w:bottom w:val="nil"/>
              <w:right w:val="nil"/>
            </w:tcBorders>
          </w:tcPr>
          <w:p>
            <w:pPr>
              <w:widowControl/>
              <w:spacing w:line="240" w:lineRule="exact"/>
              <w:jc w:val="center"/>
              <w:rPr>
                <w:rFonts w:ascii="仿宋" w:eastAsia="仿宋"/>
                <w:kern w:val="0"/>
                <w:sz w:val="20"/>
                <w:szCs w:val="20"/>
              </w:rPr>
            </w:pPr>
            <w:r>
              <w:rPr>
                <w:rFonts w:ascii="仿宋" w:eastAsia="仿宋" w:hint="eastAsia"/>
                <w:kern w:val="0"/>
                <w:sz w:val="20"/>
                <w:szCs w:val="20"/>
              </w:rPr>
              <w:t>（</w:t>
            </w:r>
            <w:r>
              <w:rPr>
                <w:rFonts w:ascii="仿宋" w:eastAsia="仿宋"/>
                <w:kern w:val="0"/>
                <w:sz w:val="20"/>
                <w:szCs w:val="20"/>
              </w:rPr>
              <w:t xml:space="preserve">2019 </w:t>
            </w:r>
            <w:r>
              <w:rPr>
                <w:rFonts w:ascii="仿宋" w:eastAsia="仿宋" w:hint="eastAsia"/>
                <w:kern w:val="0"/>
                <w:sz w:val="20"/>
                <w:szCs w:val="20"/>
              </w:rPr>
              <w:t>年度）</w:t>
            </w:r>
          </w:p>
        </w:tc>
      </w:tr>
      <w:tr>
        <w:trPr>
          <w:trHeight w:val="352"/>
        </w:trPr>
        <w:tc>
          <w:tcPr>
            <w:tcW w:w="1276" w:type="dxa"/>
            <w:gridSpan w:val="3"/>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585" w:type="dxa"/>
            <w:gridSpan w:val="1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驻京工作队值班经费</w:t>
            </w:r>
          </w:p>
        </w:tc>
      </w:tr>
      <w:tr>
        <w:tc>
          <w:tcPr>
            <w:tcW w:w="1276" w:type="dxa"/>
            <w:gridSpan w:val="3"/>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4124" w:type="dxa"/>
            <w:gridSpan w:val="5"/>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大城县信访局</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338"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大城县信访局</w:t>
            </w:r>
          </w:p>
        </w:tc>
      </w:tr>
      <w:tr>
        <w:trPr>
          <w:trHeight w:val="555"/>
        </w:trPr>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kern w:val="0"/>
                <w:sz w:val="20"/>
                <w:szCs w:val="20"/>
              </w:rPr>
              <w:br/>
            </w:r>
            <w:r>
              <w:rPr>
                <w:rFonts w:ascii="仿宋" w:eastAsia="仿宋" w:hint="eastAsia"/>
                <w:kern w:val="0"/>
                <w:sz w:val="20"/>
                <w:szCs w:val="20"/>
              </w:rPr>
              <w:t>（万元）</w:t>
            </w: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年初</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trPr>
          <w:trHeight w:val="279"/>
        </w:trPr>
        <w:tc>
          <w:tcPr>
            <w:tcW w:w="1276" w:type="dxa"/>
            <w:gridSpan w:val="3"/>
            <w:vMerge/>
            <w:tcBorders>
              <w:top w:val="single" w:sz="4" w:space="0" w:color="auto"/>
              <w:left w:val="single" w:sz="4" w:space="0" w:color="auto"/>
              <w:bottom w:val="single" w:sz="4" w:space="0" w:color="auto"/>
              <w:right w:val="single" w:sz="4" w:space="0" w:color="auto"/>
            </w:tcBorders>
            <w:vAlign w:val="center"/>
          </w:tcP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120</w:t>
            </w: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120</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120</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c>
          <w:tcPr>
            <w:tcW w:w="1276" w:type="dxa"/>
            <w:gridSpan w:val="3"/>
            <w:vMerge/>
            <w:tcBorders>
              <w:top w:val="single" w:sz="4" w:space="0" w:color="auto"/>
              <w:left w:val="single" w:sz="4" w:space="0" w:color="auto"/>
              <w:bottom w:val="single" w:sz="4" w:space="0" w:color="auto"/>
              <w:right w:val="single" w:sz="4" w:space="0" w:color="auto"/>
            </w:tcBorders>
            <w:vAlign w:val="center"/>
          </w:tcP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120</w:t>
            </w: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120</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120</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c>
          <w:tcPr>
            <w:tcW w:w="1276" w:type="dxa"/>
            <w:gridSpan w:val="3"/>
            <w:vMerge/>
            <w:tcBorders>
              <w:top w:val="single" w:sz="4" w:space="0" w:color="auto"/>
              <w:left w:val="single" w:sz="4" w:space="0" w:color="auto"/>
              <w:bottom w:val="single" w:sz="4" w:space="0" w:color="auto"/>
              <w:right w:val="single" w:sz="4" w:space="0" w:color="auto"/>
            </w:tcBorders>
            <w:vAlign w:val="center"/>
          </w:tcP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ascii="仿宋" w:eastAsia="仿宋" w:hint="eastAsia"/>
                <w:kern w:val="0"/>
                <w:sz w:val="20"/>
                <w:szCs w:val="20"/>
              </w:rPr>
              <w:t>上年结转资金</w:t>
            </w: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c>
          <w:tcPr>
            <w:tcW w:w="1276" w:type="dxa"/>
            <w:gridSpan w:val="3"/>
            <w:vMerge/>
            <w:tcBorders>
              <w:top w:val="single" w:sz="4" w:space="0" w:color="auto"/>
              <w:left w:val="single" w:sz="4" w:space="0" w:color="auto"/>
              <w:bottom w:val="single" w:sz="4" w:space="0" w:color="auto"/>
              <w:right w:val="single" w:sz="4" w:space="0" w:color="auto"/>
            </w:tcBorders>
            <w:vAlign w:val="center"/>
          </w:tcP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ascii="仿宋" w:eastAsia="仿宋" w:hint="eastAsia"/>
                <w:kern w:val="0"/>
                <w:sz w:val="20"/>
                <w:szCs w:val="20"/>
              </w:rPr>
              <w:t>其他资金</w:t>
            </w: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c>
          <w:tcPr>
            <w:tcW w:w="58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814" w:type="dxa"/>
            <w:gridSpan w:val="7"/>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46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tc>
          <w:tcPr>
            <w:tcW w:w="586" w:type="dxa"/>
            <w:vMerge/>
            <w:tcBorders>
              <w:top w:val="nil"/>
              <w:left w:val="single" w:sz="4" w:space="0" w:color="auto"/>
              <w:bottom w:val="single" w:sz="4" w:space="0" w:color="auto"/>
              <w:right w:val="single" w:sz="4" w:space="0" w:color="auto"/>
            </w:tcBorders>
            <w:vAlign w:val="center"/>
          </w:tcPr>
          <w:p/>
        </w:tc>
        <w:tc>
          <w:tcPr>
            <w:tcW w:w="4814" w:type="dxa"/>
            <w:gridSpan w:val="7"/>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保障我县在京值班工作的正常开展，防止越级上访的时间发生，保障信访维稳工作的正常运转</w:t>
            </w:r>
            <w:r>
              <w:rPr>
                <w:rFonts w:ascii="仿宋" w:eastAsia="仿宋"/>
                <w:kern w:val="0"/>
                <w:sz w:val="20"/>
                <w:szCs w:val="20"/>
              </w:rPr>
              <w:t>12</w:t>
            </w:r>
            <w:r>
              <w:rPr>
                <w:rFonts w:ascii="仿宋" w:eastAsia="仿宋" w:hint="eastAsia"/>
                <w:kern w:val="0"/>
                <w:sz w:val="20"/>
                <w:szCs w:val="20"/>
              </w:rPr>
              <w:t>月。工作人员满意度</w:t>
            </w:r>
            <w:r>
              <w:rPr>
                <w:rFonts w:ascii="仿宋" w:eastAsia="仿宋"/>
                <w:kern w:val="0"/>
                <w:sz w:val="20"/>
                <w:szCs w:val="20"/>
              </w:rPr>
              <w:t>100%</w:t>
            </w:r>
          </w:p>
        </w:tc>
        <w:tc>
          <w:tcPr>
            <w:tcW w:w="346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完成年初设定的绩效目标。</w:t>
            </w:r>
          </w:p>
        </w:tc>
      </w:tr>
      <w:tr>
        <w:trPr>
          <w:trHeight w:val="469"/>
        </w:trPr>
        <w:tc>
          <w:tcPr>
            <w:tcW w:w="586" w:type="dxa"/>
            <w:vMerge w:val="restart"/>
            <w:tcBorders>
              <w:top w:val="nil"/>
              <w:left w:val="single" w:sz="4" w:space="0" w:color="auto"/>
              <w:bottom w:val="nil"/>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kern w:val="0"/>
                <w:sz w:val="20"/>
                <w:szCs w:val="20"/>
              </w:rPr>
              <w:br/>
            </w:r>
            <w:r>
              <w:rPr>
                <w:rFonts w:ascii="仿宋" w:eastAsia="仿宋" w:hint="eastAsia"/>
                <w:kern w:val="0"/>
                <w:sz w:val="20"/>
                <w:szCs w:val="20"/>
              </w:rPr>
              <w:t>效</w:t>
            </w:r>
            <w:r>
              <w:rPr>
                <w:rFonts w:ascii="仿宋" w:eastAsia="仿宋"/>
                <w:kern w:val="0"/>
                <w:sz w:val="20"/>
                <w:szCs w:val="20"/>
              </w:rPr>
              <w:br/>
            </w:r>
            <w:r>
              <w:rPr>
                <w:rFonts w:ascii="仿宋" w:eastAsia="仿宋" w:hint="eastAsia"/>
                <w:kern w:val="0"/>
                <w:sz w:val="20"/>
                <w:szCs w:val="20"/>
              </w:rPr>
              <w:t>指</w:t>
            </w:r>
            <w:r>
              <w:rPr>
                <w:rFonts w:ascii="仿宋" w:eastAsia="仿宋"/>
                <w:kern w:val="0"/>
                <w:sz w:val="20"/>
                <w:szCs w:val="20"/>
              </w:rPr>
              <w:br/>
            </w:r>
            <w:r>
              <w:rPr>
                <w:rFonts w:ascii="仿宋" w:eastAsia="仿宋" w:hint="eastAsia"/>
                <w:kern w:val="0"/>
                <w:sz w:val="20"/>
                <w:szCs w:val="20"/>
              </w:rPr>
              <w:t>标</w:t>
            </w:r>
          </w:p>
        </w:tc>
        <w:tc>
          <w:tcPr>
            <w:tcW w:w="626"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8"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w:t>
            </w:r>
          </w:p>
          <w:p>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w:t>
            </w:r>
          </w:p>
          <w:p>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运转时间</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工作完成率</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：资金支付率</w:t>
            </w:r>
          </w:p>
        </w:tc>
        <w:tc>
          <w:tcPr>
            <w:tcW w:w="1021"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：经费成本</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经济效益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受益工作人员</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25</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25</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生态效益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w:t>
            </w:r>
          </w:p>
        </w:tc>
        <w:tc>
          <w:tcPr>
            <w:tcW w:w="1021"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nil"/>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工作人员满意度</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25</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25</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nil"/>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c>
          <w:tcPr>
            <w:tcW w:w="6327" w:type="dxa"/>
            <w:gridSpan w:val="9"/>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bl>
    <w:p>
      <w:pPr>
        <w:adjustRightInd w:val="0"/>
        <w:snapToGrid w:val="0"/>
        <w:spacing w:line="580" w:lineRule="exact"/>
        <w:rPr>
          <w:rFonts w:ascii="??_GB2312" w:cs="??_GB2312" w:hAnsi="??_GB2312"/>
          <w:sz w:val="32"/>
          <w:szCs w:val="32"/>
        </w:rPr>
      </w:pPr>
    </w:p>
    <w:p>
      <w:pPr>
        <w:adjustRightInd w:val="0"/>
        <w:snapToGrid w:val="0"/>
        <w:spacing w:line="580" w:lineRule="exact"/>
        <w:rPr>
          <w:rFonts w:ascii="??_GB2312" w:cs="??_GB2312" w:hAnsi="??_GB2312"/>
          <w:sz w:val="32"/>
          <w:szCs w:val="32"/>
        </w:rPr>
      </w:pPr>
      <w:r>
        <w:rPr>
          <w:rFonts w:ascii="宋体" w:eastAsia="宋体" w:cs="宋体" w:hint="eastAsia"/>
          <w:sz w:val="32"/>
          <w:szCs w:val="32"/>
        </w:rPr>
        <w:t>（</w:t>
      </w:r>
      <w:r>
        <w:rPr>
          <w:rFonts w:ascii="??_GB2312" w:cs="??_GB2312" w:hAnsi="??_GB2312"/>
          <w:sz w:val="32"/>
          <w:szCs w:val="32"/>
        </w:rPr>
        <w:t>2</w:t>
      </w:r>
      <w:r>
        <w:rPr>
          <w:rFonts w:ascii="宋体" w:eastAsia="宋体" w:cs="宋体" w:hint="eastAsia"/>
          <w:sz w:val="32"/>
          <w:szCs w:val="32"/>
        </w:rPr>
        <w:t>）群众工作中心办公经费项目绩效自评综述：根据年初设定的绩效目标，群众工作中心办公经费项目绩效自评得分为</w:t>
      </w:r>
      <w:r>
        <w:rPr>
          <w:rFonts w:ascii="??_GB2312" w:cs="??_GB2312" w:hAnsi="??_GB2312"/>
          <w:sz w:val="32"/>
          <w:szCs w:val="32"/>
        </w:rPr>
        <w:t>100</w:t>
      </w:r>
      <w:r>
        <w:rPr>
          <w:rFonts w:ascii="宋体" w:eastAsia="宋体" w:cs="宋体" w:hint="eastAsia"/>
          <w:sz w:val="32"/>
          <w:szCs w:val="32"/>
        </w:rPr>
        <w:t>分（绩效自评表附后）。全年预算数为</w:t>
      </w:r>
      <w:r>
        <w:rPr>
          <w:rFonts w:ascii="??_GB2312" w:cs="??_GB2312" w:hAnsi="??_GB2312"/>
          <w:sz w:val="32"/>
          <w:szCs w:val="32"/>
        </w:rPr>
        <w:t>20</w:t>
      </w:r>
      <w:r>
        <w:rPr>
          <w:rFonts w:ascii="宋体" w:eastAsia="宋体" w:cs="宋体" w:hint="eastAsia"/>
          <w:sz w:val="32"/>
          <w:szCs w:val="32"/>
        </w:rPr>
        <w:t>万元，执行数为</w:t>
      </w:r>
      <w:r>
        <w:rPr>
          <w:rFonts w:ascii="??_GB2312" w:cs="??_GB2312" w:hAnsi="??_GB2312"/>
          <w:sz w:val="32"/>
          <w:szCs w:val="32"/>
        </w:rPr>
        <w:t>20</w:t>
      </w:r>
      <w:r>
        <w:rPr>
          <w:rFonts w:ascii="宋体" w:eastAsia="宋体" w:cs="宋体" w:hint="eastAsia"/>
          <w:sz w:val="32"/>
          <w:szCs w:val="32"/>
        </w:rPr>
        <w:t>万元，完成预算的</w:t>
      </w:r>
      <w:r>
        <w:rPr>
          <w:rFonts w:ascii="??_GB2312" w:cs="??_GB2312" w:hAnsi="??_GB2312"/>
          <w:sz w:val="32"/>
          <w:szCs w:val="32"/>
        </w:rPr>
        <w:t>100%</w:t>
      </w:r>
      <w:r>
        <w:rPr>
          <w:rFonts w:ascii="宋体" w:eastAsia="宋体" w:cs="宋体" w:hint="eastAsia"/>
          <w:sz w:val="32"/>
          <w:szCs w:val="32"/>
        </w:rPr>
        <w:t>。项目绩效目标完成情况：一是保障我单位群众工作中心正常运转</w:t>
      </w:r>
      <w:r>
        <w:rPr>
          <w:rFonts w:ascii="??_GB2312" w:cs="??_GB2312" w:hAnsi="??_GB2312"/>
          <w:sz w:val="32"/>
          <w:szCs w:val="32"/>
        </w:rPr>
        <w:t>12</w:t>
      </w:r>
      <w:r>
        <w:rPr>
          <w:rFonts w:ascii="宋体" w:eastAsia="宋体" w:cs="宋体" w:hint="eastAsia"/>
          <w:sz w:val="32"/>
          <w:szCs w:val="32"/>
        </w:rPr>
        <w:t>个月；二是群众满意度</w:t>
      </w:r>
      <w:r>
        <w:rPr>
          <w:rFonts w:ascii="??_GB2312" w:cs="??_GB2312" w:hAnsi="??_GB2312"/>
          <w:sz w:val="32"/>
          <w:szCs w:val="32"/>
        </w:rPr>
        <w:t>100%</w:t>
      </w:r>
      <w:r>
        <w:rPr>
          <w:rFonts w:ascii="宋体" w:eastAsia="宋体" w:cs="宋体" w:hint="eastAsia"/>
          <w:sz w:val="32"/>
          <w:szCs w:val="32"/>
        </w:rPr>
        <w:t>。发现的主要问题及原因：资金支付较晚。下一步改进措施：保障资金的及时支付。</w:t>
      </w:r>
    </w:p>
    <w:tbl>
      <w:tblPr>
        <w:tblpPr w:leftFromText="180" w:rightFromText="180" w:vertAnchor="text" w:horzAnchor="page" w:tblpX="1732" w:tblpY="229"/>
        <w:tblOverlap w:val="never"/>
        <w:tblW w:w="886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rPr>
          <w:trHeight w:val="375"/>
          <w:gridAfter w:val="1"/>
          <w:wAfter w:w="26" w:type="dxa"/>
        </w:trPr>
        <w:tc>
          <w:tcPr>
            <w:tcW w:w="883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ascii="仿宋" w:eastAsia="仿宋" w:hint="eastAsia"/>
                <w:kern w:val="0"/>
                <w:sz w:val="20"/>
                <w:szCs w:val="20"/>
              </w:rPr>
              <w:t>项目支出绩效自评表</w:t>
            </w:r>
          </w:p>
        </w:tc>
      </w:tr>
      <w:tr>
        <w:trPr>
          <w:trHeight w:val="259"/>
        </w:trPr>
        <w:tc>
          <w:tcPr>
            <w:tcW w:w="8861" w:type="dxa"/>
            <w:gridSpan w:val="16"/>
            <w:tcBorders>
              <w:top w:val="nil"/>
              <w:left w:val="nil"/>
              <w:bottom w:val="nil"/>
              <w:right w:val="nil"/>
            </w:tcBorders>
          </w:tcPr>
          <w:p>
            <w:pPr>
              <w:widowControl/>
              <w:spacing w:line="240" w:lineRule="exact"/>
              <w:jc w:val="center"/>
              <w:rPr>
                <w:rFonts w:ascii="仿宋" w:eastAsia="仿宋"/>
                <w:kern w:val="0"/>
                <w:sz w:val="20"/>
                <w:szCs w:val="20"/>
              </w:rPr>
            </w:pPr>
            <w:r>
              <w:rPr>
                <w:rFonts w:ascii="仿宋" w:eastAsia="仿宋" w:hint="eastAsia"/>
                <w:kern w:val="0"/>
                <w:sz w:val="20"/>
                <w:szCs w:val="20"/>
              </w:rPr>
              <w:t>（</w:t>
            </w:r>
            <w:r>
              <w:rPr>
                <w:rFonts w:ascii="仿宋" w:eastAsia="仿宋"/>
                <w:kern w:val="0"/>
                <w:sz w:val="20"/>
                <w:szCs w:val="20"/>
              </w:rPr>
              <w:t xml:space="preserve">2019 </w:t>
            </w:r>
            <w:r>
              <w:rPr>
                <w:rFonts w:ascii="仿宋" w:eastAsia="仿宋" w:hint="eastAsia"/>
                <w:kern w:val="0"/>
                <w:sz w:val="20"/>
                <w:szCs w:val="20"/>
              </w:rPr>
              <w:t>年度）</w:t>
            </w:r>
          </w:p>
        </w:tc>
      </w:tr>
      <w:tr>
        <w:trPr>
          <w:trHeight w:val="352"/>
        </w:trPr>
        <w:tc>
          <w:tcPr>
            <w:tcW w:w="1276" w:type="dxa"/>
            <w:gridSpan w:val="3"/>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585" w:type="dxa"/>
            <w:gridSpan w:val="1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群众工作中心办公经费</w:t>
            </w:r>
          </w:p>
        </w:tc>
      </w:tr>
      <w:tr>
        <w:tc>
          <w:tcPr>
            <w:tcW w:w="1276" w:type="dxa"/>
            <w:gridSpan w:val="3"/>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4124" w:type="dxa"/>
            <w:gridSpan w:val="5"/>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大城县信访局</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338"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大城县信访局</w:t>
            </w:r>
          </w:p>
        </w:tc>
      </w:tr>
      <w:tr>
        <w:trPr>
          <w:trHeight w:val="555"/>
        </w:trPr>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kern w:val="0"/>
                <w:sz w:val="20"/>
                <w:szCs w:val="20"/>
              </w:rPr>
              <w:br/>
            </w:r>
            <w:r>
              <w:rPr>
                <w:rFonts w:ascii="仿宋" w:eastAsia="仿宋" w:hint="eastAsia"/>
                <w:kern w:val="0"/>
                <w:sz w:val="20"/>
                <w:szCs w:val="20"/>
              </w:rPr>
              <w:t>（万元）</w:t>
            </w: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年初</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trPr>
          <w:trHeight w:val="279"/>
        </w:trPr>
        <w:tc>
          <w:tcPr>
            <w:tcW w:w="1276" w:type="dxa"/>
            <w:gridSpan w:val="3"/>
            <w:vMerge/>
            <w:tcBorders>
              <w:top w:val="single" w:sz="4" w:space="0" w:color="auto"/>
              <w:left w:val="single" w:sz="4" w:space="0" w:color="auto"/>
              <w:bottom w:val="single" w:sz="4" w:space="0" w:color="auto"/>
              <w:right w:val="single" w:sz="4" w:space="0" w:color="auto"/>
            </w:tcBorders>
            <w:vAlign w:val="center"/>
          </w:tcP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c>
          <w:tcPr>
            <w:tcW w:w="1276" w:type="dxa"/>
            <w:gridSpan w:val="3"/>
            <w:vMerge/>
            <w:tcBorders>
              <w:top w:val="single" w:sz="4" w:space="0" w:color="auto"/>
              <w:left w:val="single" w:sz="4" w:space="0" w:color="auto"/>
              <w:bottom w:val="single" w:sz="4" w:space="0" w:color="auto"/>
              <w:right w:val="single" w:sz="4" w:space="0" w:color="auto"/>
            </w:tcBorders>
            <w:vAlign w:val="center"/>
          </w:tcP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c>
          <w:tcPr>
            <w:tcW w:w="1276" w:type="dxa"/>
            <w:gridSpan w:val="3"/>
            <w:vMerge/>
            <w:tcBorders>
              <w:top w:val="single" w:sz="4" w:space="0" w:color="auto"/>
              <w:left w:val="single" w:sz="4" w:space="0" w:color="auto"/>
              <w:bottom w:val="single" w:sz="4" w:space="0" w:color="auto"/>
              <w:right w:val="single" w:sz="4" w:space="0" w:color="auto"/>
            </w:tcBorders>
            <w:vAlign w:val="center"/>
          </w:tcP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ascii="仿宋" w:eastAsia="仿宋" w:hint="eastAsia"/>
                <w:kern w:val="0"/>
                <w:sz w:val="20"/>
                <w:szCs w:val="20"/>
              </w:rPr>
              <w:t>上年结转资金</w:t>
            </w: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c>
          <w:tcPr>
            <w:tcW w:w="1276" w:type="dxa"/>
            <w:gridSpan w:val="3"/>
            <w:vMerge/>
            <w:tcBorders>
              <w:top w:val="single" w:sz="4" w:space="0" w:color="auto"/>
              <w:left w:val="single" w:sz="4" w:space="0" w:color="auto"/>
              <w:bottom w:val="single" w:sz="4" w:space="0" w:color="auto"/>
              <w:right w:val="single" w:sz="4" w:space="0" w:color="auto"/>
            </w:tcBorders>
            <w:vAlign w:val="center"/>
          </w:tcPr>
          <w:p/>
        </w:tc>
        <w:tc>
          <w:tcPr>
            <w:tcW w:w="1843"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ascii="仿宋" w:eastAsia="仿宋" w:hint="eastAsia"/>
                <w:kern w:val="0"/>
                <w:sz w:val="20"/>
                <w:szCs w:val="20"/>
              </w:rPr>
              <w:t>其他资金</w:t>
            </w:r>
          </w:p>
        </w:tc>
        <w:tc>
          <w:tcPr>
            <w:tcW w:w="1134"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c>
          <w:tcPr>
            <w:tcW w:w="58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814" w:type="dxa"/>
            <w:gridSpan w:val="7"/>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46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tc>
          <w:tcPr>
            <w:tcW w:w="586" w:type="dxa"/>
            <w:vMerge/>
            <w:tcBorders>
              <w:top w:val="nil"/>
              <w:left w:val="single" w:sz="4" w:space="0" w:color="auto"/>
              <w:bottom w:val="single" w:sz="4" w:space="0" w:color="auto"/>
              <w:right w:val="single" w:sz="4" w:space="0" w:color="auto"/>
            </w:tcBorders>
            <w:vAlign w:val="center"/>
          </w:tcPr>
          <w:p/>
        </w:tc>
        <w:tc>
          <w:tcPr>
            <w:tcW w:w="4814" w:type="dxa"/>
            <w:gridSpan w:val="7"/>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保障我单位群众工作中心的正常运转</w:t>
            </w:r>
            <w:r>
              <w:rPr>
                <w:rFonts w:ascii="仿宋" w:eastAsia="仿宋"/>
                <w:kern w:val="0"/>
                <w:sz w:val="20"/>
                <w:szCs w:val="20"/>
              </w:rPr>
              <w:t>12</w:t>
            </w:r>
            <w:r>
              <w:rPr>
                <w:rFonts w:ascii="仿宋" w:eastAsia="仿宋" w:hint="eastAsia"/>
                <w:kern w:val="0"/>
                <w:sz w:val="20"/>
                <w:szCs w:val="20"/>
              </w:rPr>
              <w:t>个月，正常的接访、回访等工作。群众满意度</w:t>
            </w:r>
            <w:r>
              <w:rPr>
                <w:rFonts w:ascii="仿宋" w:eastAsia="仿宋"/>
                <w:kern w:val="0"/>
                <w:sz w:val="20"/>
                <w:szCs w:val="20"/>
              </w:rPr>
              <w:t>100%</w:t>
            </w:r>
          </w:p>
        </w:tc>
        <w:tc>
          <w:tcPr>
            <w:tcW w:w="346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完成年初设定的绩效目标。</w:t>
            </w:r>
          </w:p>
        </w:tc>
      </w:tr>
      <w:tr>
        <w:trPr>
          <w:trHeight w:val="469"/>
        </w:trPr>
        <w:tc>
          <w:tcPr>
            <w:tcW w:w="586" w:type="dxa"/>
            <w:vMerge w:val="restart"/>
            <w:tcBorders>
              <w:top w:val="nil"/>
              <w:left w:val="single" w:sz="4" w:space="0" w:color="auto"/>
              <w:bottom w:val="nil"/>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kern w:val="0"/>
                <w:sz w:val="20"/>
                <w:szCs w:val="20"/>
              </w:rPr>
              <w:br/>
            </w:r>
            <w:r>
              <w:rPr>
                <w:rFonts w:ascii="仿宋" w:eastAsia="仿宋" w:hint="eastAsia"/>
                <w:kern w:val="0"/>
                <w:sz w:val="20"/>
                <w:szCs w:val="20"/>
              </w:rPr>
              <w:t>效</w:t>
            </w:r>
            <w:r>
              <w:rPr>
                <w:rFonts w:ascii="仿宋" w:eastAsia="仿宋"/>
                <w:kern w:val="0"/>
                <w:sz w:val="20"/>
                <w:szCs w:val="20"/>
              </w:rPr>
              <w:br/>
            </w:r>
            <w:r>
              <w:rPr>
                <w:rFonts w:ascii="仿宋" w:eastAsia="仿宋" w:hint="eastAsia"/>
                <w:kern w:val="0"/>
                <w:sz w:val="20"/>
                <w:szCs w:val="20"/>
              </w:rPr>
              <w:t>指</w:t>
            </w:r>
            <w:r>
              <w:rPr>
                <w:rFonts w:ascii="仿宋" w:eastAsia="仿宋"/>
                <w:kern w:val="0"/>
                <w:sz w:val="20"/>
                <w:szCs w:val="20"/>
              </w:rPr>
              <w:br/>
            </w:r>
            <w:r>
              <w:rPr>
                <w:rFonts w:ascii="仿宋" w:eastAsia="仿宋" w:hint="eastAsia"/>
                <w:kern w:val="0"/>
                <w:sz w:val="20"/>
                <w:szCs w:val="20"/>
              </w:rPr>
              <w:t>标</w:t>
            </w:r>
          </w:p>
        </w:tc>
        <w:tc>
          <w:tcPr>
            <w:tcW w:w="626"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8"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w:t>
            </w:r>
          </w:p>
          <w:p>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w:t>
            </w:r>
          </w:p>
          <w:p>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运转时间</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工作完成率</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：资金支付率</w:t>
            </w:r>
          </w:p>
        </w:tc>
        <w:tc>
          <w:tcPr>
            <w:tcW w:w="1021"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：经费成本</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经济效益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受益工作人员</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19</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19</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25</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25</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生态效益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1</w:t>
            </w:r>
            <w:r>
              <w:rPr>
                <w:rFonts w:ascii="仿宋" w:eastAsia="仿宋" w:hint="eastAsia"/>
                <w:color w:val="000000"/>
                <w:kern w:val="0"/>
                <w:sz w:val="20"/>
                <w:szCs w:val="20"/>
              </w:rPr>
              <w:t>：</w:t>
            </w:r>
          </w:p>
        </w:tc>
        <w:tc>
          <w:tcPr>
            <w:tcW w:w="1021"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nil"/>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工作人员满意度</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25</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25</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nil"/>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w:t>
            </w:r>
            <w:r>
              <w:rPr>
                <w:rFonts w:ascii="仿宋" w:eastAsia="仿宋"/>
                <w:color w:val="000000"/>
                <w:kern w:val="0"/>
                <w:sz w:val="20"/>
                <w:szCs w:val="20"/>
              </w:rPr>
              <w:t>2</w:t>
            </w: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top w:val="nil"/>
              <w:left w:val="single" w:sz="4" w:space="0" w:color="auto"/>
              <w:bottom w:val="single" w:sz="4" w:space="0" w:color="auto"/>
              <w:right w:val="single" w:sz="4" w:space="0" w:color="auto"/>
            </w:tcBorders>
            <w:vAlign w:val="center"/>
          </w:tcPr>
          <w:p/>
        </w:tc>
        <w:tc>
          <w:tcPr>
            <w:tcW w:w="1198" w:type="dxa"/>
            <w:gridSpan w:val="2"/>
            <w:vMerge/>
            <w:tcBorders>
              <w:top w:val="nil"/>
              <w:left w:val="single" w:sz="4" w:space="0" w:color="auto"/>
              <w:bottom w:val="single" w:sz="4" w:space="0" w:color="auto"/>
              <w:right w:val="single" w:sz="4" w:space="0" w:color="auto"/>
            </w:tcBorders>
            <w:vAlign w:val="center"/>
          </w:tcPr>
          <w:p/>
        </w:tc>
        <w:tc>
          <w:tcPr>
            <w:tcW w:w="1969"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r>
        <w:tc>
          <w:tcPr>
            <w:tcW w:w="6327" w:type="dxa"/>
            <w:gridSpan w:val="9"/>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ascii="仿宋" w:eastAsia="仿宋"/>
                <w:kern w:val="0"/>
                <w:sz w:val="20"/>
                <w:szCs w:val="20"/>
              </w:rPr>
            </w:pPr>
          </w:p>
        </w:tc>
      </w:tr>
    </w:tbl>
    <w:p>
      <w:pPr>
        <w:adjustRightInd w:val="0"/>
        <w:snapToGrid w:val="0"/>
        <w:spacing w:line="580" w:lineRule="exact"/>
        <w:rPr>
          <w:rFonts w:ascii="??_GB2312" w:cs="??_GB2312" w:hAnsi="??_GB2312"/>
          <w:sz w:val="32"/>
          <w:szCs w:val="32"/>
        </w:rPr>
      </w:pPr>
    </w:p>
    <w:p>
      <w:pPr>
        <w:keepNext/>
        <w:keepLines/>
        <w:widowControl w:val="0"/>
        <w:snapToGrid w:val="0"/>
        <w:spacing w:line="580" w:lineRule="exact"/>
        <w:ind w:firstLineChars="200" w:firstLine="640"/>
        <w:outlineLvl w:val="1"/>
        <w:rPr>
          <w:rFonts w:ascii="??_GB2312" w:cs="??_GB2312" w:hAnsi="??_GB2312"/>
          <w:b/>
          <w:bCs/>
          <w:sz w:val="32"/>
          <w:szCs w:val="32"/>
        </w:rPr>
      </w:pPr>
      <w:r>
        <w:rPr>
          <w:rFonts w:ascii="宋体" w:eastAsia="宋体" w:cs="宋体"/>
          <w:b/>
          <w:bCs/>
          <w:sz w:val="32"/>
          <w:szCs w:val="32"/>
        </w:rPr>
        <w:t>3.</w:t>
      </w:r>
      <w:r>
        <w:rPr>
          <w:rFonts w:ascii="宋体" w:eastAsia="宋体" w:cs="宋体" w:hint="eastAsia"/>
          <w:b/>
          <w:bCs/>
          <w:sz w:val="32"/>
          <w:szCs w:val="32"/>
        </w:rPr>
        <w:t>财政评价项目绩效评价结果</w:t>
      </w:r>
    </w:p>
    <w:p>
      <w:pPr>
        <w:keepNext/>
        <w:keepLines/>
        <w:widowControl w:val="0"/>
        <w:snapToGrid w:val="0"/>
        <w:spacing w:line="580" w:lineRule="exact"/>
        <w:ind w:firstLineChars="300" w:firstLine="960"/>
        <w:outlineLvl w:val="1"/>
        <w:rPr>
          <w:rFonts w:ascii="??_GB2312" w:cs="??_GB2312" w:hAnsi="??_GB2312"/>
          <w:b/>
          <w:bCs/>
          <w:sz w:val="32"/>
          <w:szCs w:val="32"/>
        </w:rPr>
      </w:pPr>
      <w:r>
        <w:rPr>
          <w:rFonts w:ascii="宋体" w:eastAsia="宋体" w:cs="宋体" w:hint="eastAsia"/>
          <w:sz w:val="32"/>
          <w:szCs w:val="32"/>
        </w:rPr>
        <w:t>无</w:t>
      </w:r>
      <w:r>
        <w:rPr>
          <w:rFonts w:ascii="??_GB2312" w:cs="??_GB2312" w:hAnsi="??_GB2312"/>
          <w:sz w:val="32"/>
          <w:szCs w:val="32"/>
        </w:rPr>
        <w:t xml:space="preserve"> </w:t>
      </w: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七、其他重要事项的说明</w:t>
      </w:r>
    </w:p>
    <w:p>
      <w:pPr>
        <w:keepNext/>
        <w:keepLines/>
        <w:widowControl w:val="0"/>
        <w:snapToGrid w:val="0"/>
        <w:spacing w:line="580" w:lineRule="exact"/>
        <w:ind w:firstLineChars="200" w:firstLine="640"/>
        <w:outlineLvl w:val="2"/>
        <w:rPr>
          <w:rFonts w:ascii="楷体_GB2312" w:eastAsia="楷体_GB2312" w:cs="DengXian-Bold"/>
          <w:b/>
          <w:bCs/>
          <w:sz w:val="32"/>
          <w:szCs w:val="32"/>
        </w:rPr>
      </w:pPr>
      <w:r>
        <w:rPr>
          <w:rFonts w:ascii="楷体_GB2312" w:eastAsia="楷体_GB2312" w:cs="DengXian-Bold" w:hint="eastAsia"/>
          <w:b/>
          <w:bCs/>
          <w:sz w:val="32"/>
          <w:szCs w:val="32"/>
        </w:rPr>
        <w:t>（一）机关运行经费情况</w:t>
      </w:r>
    </w:p>
    <w:p>
      <w:pPr>
        <w:adjustRightInd w:val="0"/>
        <w:snapToGrid w:val="0"/>
        <w:spacing w:line="580" w:lineRule="exact"/>
        <w:ind w:firstLineChars="200" w:firstLine="640"/>
        <w:rPr>
          <w:rFonts w:ascii="??_GB2312" w:eastAsia="Times New Roman" w:cs="DengXian-Regular" w:hAnsi="??_GB2312"/>
          <w:sz w:val="32"/>
          <w:szCs w:val="32"/>
        </w:rPr>
      </w:pPr>
      <w:r>
        <w:rPr>
          <w:rFonts w:ascii="??_GB2312" w:eastAsia="Times New Roman" w:cs="DengXian-Regular" w:hAnsi="??_GB2312"/>
          <w:sz w:val="32"/>
          <w:szCs w:val="32"/>
        </w:rPr>
        <w:t>本部门2019年度机关运行经费支出23.81万元，比年初预算增加</w:t>
      </w:r>
      <w:r>
        <w:rPr>
          <w:rFonts w:ascii="??_GB2312" w:eastAsia="宋体" w:cs="DengXian-Regular" w:hAnsi="??_GB2312"/>
          <w:sz w:val="32"/>
          <w:szCs w:val="32"/>
        </w:rPr>
        <w:t>1.71</w:t>
      </w:r>
      <w:r>
        <w:rPr>
          <w:rFonts w:ascii="??_GB2312" w:eastAsia="宋体" w:cs="DengXian-Regular" w:hAnsi="??_GB2312" w:hint="eastAsia"/>
          <w:sz w:val="32"/>
          <w:szCs w:val="32"/>
        </w:rPr>
        <w:t>万元，增长</w:t>
      </w:r>
      <w:r>
        <w:rPr>
          <w:rFonts w:ascii="??_GB2312" w:eastAsia="宋体" w:cs="DengXian-Regular" w:hAnsi="??_GB2312"/>
          <w:sz w:val="32"/>
          <w:szCs w:val="32"/>
        </w:rPr>
        <w:t>7.74%</w:t>
      </w:r>
      <w:r>
        <w:rPr>
          <w:rFonts w:ascii="??_GB2312" w:eastAsia="宋体" w:cs="DengXian-Regular" w:hAnsi="??_GB2312" w:hint="eastAsia"/>
          <w:sz w:val="32"/>
          <w:szCs w:val="32"/>
        </w:rPr>
        <w:t>，主要原因是信访事务增多，人员办公消耗多。</w:t>
      </w:r>
      <w:r>
        <w:rPr>
          <w:rFonts w:ascii="??_GB2312" w:eastAsia="Times New Roman" w:cs="DengXian-Regular" w:hAnsi="??_GB2312"/>
          <w:sz w:val="32"/>
          <w:szCs w:val="32"/>
        </w:rPr>
        <w:t>比2018年度增加2.69万元，增长11.3%。主要原因是工作量增加，经费增加。</w:t>
      </w:r>
    </w:p>
    <w:p>
      <w:pPr>
        <w:keepNext/>
        <w:keepLines/>
        <w:widowControl w:val="0"/>
        <w:snapToGrid w:val="0"/>
        <w:spacing w:line="580" w:lineRule="exact"/>
        <w:ind w:firstLineChars="200" w:firstLine="640"/>
        <w:outlineLvl w:val="2"/>
        <w:rPr>
          <w:rFonts w:ascii="楷体_GB2312" w:eastAsia="楷体_GB2312" w:cs="DengXian-Bold"/>
          <w:b/>
          <w:bCs/>
          <w:sz w:val="32"/>
          <w:szCs w:val="32"/>
        </w:rPr>
      </w:pPr>
      <w:r>
        <w:rPr>
          <w:rFonts w:ascii="楷体_GB2312" w:eastAsia="楷体_GB2312" w:cs="DengXian-Bold" w:hint="eastAsia"/>
          <w:b/>
          <w:bCs/>
          <w:sz w:val="32"/>
          <w:szCs w:val="32"/>
        </w:rPr>
        <w:t>（二）政府采购情况</w:t>
      </w:r>
    </w:p>
    <w:p>
      <w:pPr>
        <w:snapToGrid w:val="0"/>
        <w:spacing w:line="580" w:lineRule="exact"/>
        <w:ind w:firstLineChars="200" w:firstLine="640"/>
        <w:jc w:val="left"/>
        <w:rPr>
          <w:rFonts w:ascii="??_GB2312" w:eastAsia="Times New Roman" w:cs="DengXian-Regular" w:hAnsi="??_GB2312"/>
          <w:sz w:val="32"/>
          <w:szCs w:val="32"/>
        </w:rPr>
      </w:pPr>
      <w:r>
        <w:rPr>
          <w:rFonts w:ascii="??_GB2312" w:eastAsia="Times New Roman" w:cs="DengXian-Regular" w:hAnsi="??_GB2312"/>
          <w:sz w:val="32"/>
          <w:szCs w:val="32"/>
        </w:rPr>
        <w:t>本部门2019年度政府采购支出总额0万元，从采购类型来看，</w:t>
      </w:r>
      <w:r>
        <w:rPr>
          <w:rFonts w:ascii="宋体" w:eastAsia="宋体" w:cs="宋体" w:hint="eastAsia"/>
          <w:color w:val="000000"/>
          <w:kern w:val="0"/>
          <w:sz w:val="32"/>
          <w:szCs w:val="32"/>
        </w:rPr>
        <w:t>政府采购货物支出</w:t>
      </w:r>
      <w:r>
        <w:rPr>
          <w:rFonts w:ascii="??_GB2312" w:cs="??_GB2312" w:hAnsi="??_GB2312"/>
          <w:color w:val="000000"/>
          <w:kern w:val="0"/>
          <w:sz w:val="32"/>
          <w:szCs w:val="32"/>
        </w:rPr>
        <w:t>0</w:t>
      </w:r>
      <w:r>
        <w:rPr>
          <w:rFonts w:ascii="宋体" w:eastAsia="宋体" w:cs="宋体" w:hint="eastAsia"/>
          <w:color w:val="000000"/>
          <w:kern w:val="0"/>
          <w:sz w:val="32"/>
          <w:szCs w:val="32"/>
        </w:rPr>
        <w:t>万元、政府采购工程支出</w:t>
      </w:r>
      <w:r>
        <w:rPr>
          <w:rFonts w:ascii="??_GB2312" w:cs="??_GB2312" w:hAnsi="??_GB2312"/>
          <w:color w:val="000000"/>
          <w:kern w:val="0"/>
          <w:sz w:val="32"/>
          <w:szCs w:val="32"/>
        </w:rPr>
        <w:t>0</w:t>
      </w:r>
      <w:r>
        <w:rPr>
          <w:rFonts w:ascii="宋体" w:eastAsia="宋体" w:cs="宋体" w:hint="eastAsia"/>
          <w:color w:val="000000"/>
          <w:kern w:val="0"/>
          <w:sz w:val="32"/>
          <w:szCs w:val="32"/>
        </w:rPr>
        <w:t>万元、政府采购服务支出</w:t>
      </w:r>
      <w:r>
        <w:rPr>
          <w:rFonts w:ascii="??_GB2312" w:cs="??_GB2312" w:hAnsi="??_GB2312"/>
          <w:color w:val="000000"/>
          <w:kern w:val="0"/>
          <w:sz w:val="32"/>
          <w:szCs w:val="32"/>
        </w:rPr>
        <w:t xml:space="preserve"> 0</w:t>
      </w:r>
      <w:r>
        <w:rPr>
          <w:rFonts w:ascii="宋体" w:eastAsia="宋体" w:cs="宋体" w:hint="eastAsia"/>
          <w:color w:val="000000"/>
          <w:kern w:val="0"/>
          <w:sz w:val="32"/>
          <w:szCs w:val="32"/>
        </w:rPr>
        <w:t>万元。授予中小企业合同金</w:t>
      </w:r>
      <w:r>
        <w:rPr>
          <w:rFonts w:ascii="??_GB2312" w:cs="??_GB2312" w:hAnsi="??_GB2312"/>
          <w:color w:val="000000"/>
          <w:kern w:val="0"/>
          <w:sz w:val="32"/>
          <w:szCs w:val="32"/>
        </w:rPr>
        <w:t>0</w:t>
      </w:r>
      <w:r>
        <w:rPr>
          <w:rFonts w:ascii="宋体" w:eastAsia="宋体" w:cs="宋体" w:hint="eastAsia"/>
          <w:color w:val="000000"/>
          <w:kern w:val="0"/>
          <w:sz w:val="32"/>
          <w:szCs w:val="32"/>
        </w:rPr>
        <w:t>万元，占政府采购支出总额的</w:t>
      </w:r>
      <w:r>
        <w:rPr>
          <w:rFonts w:ascii="??_GB2312" w:cs="??_GB2312" w:hAnsi="??_GB2312"/>
          <w:color w:val="000000"/>
          <w:kern w:val="0"/>
          <w:sz w:val="32"/>
          <w:szCs w:val="32"/>
        </w:rPr>
        <w:t>0%</w:t>
      </w:r>
      <w:r>
        <w:rPr>
          <w:rFonts w:ascii="宋体" w:eastAsia="宋体" w:cs="宋体" w:hint="eastAsia"/>
          <w:color w:val="000000"/>
          <w:kern w:val="0"/>
          <w:sz w:val="32"/>
          <w:szCs w:val="32"/>
        </w:rPr>
        <w:t>，其中授予小微企业合同金额</w:t>
      </w:r>
      <w:r>
        <w:rPr>
          <w:rFonts w:ascii="??_GB2312" w:cs="??_GB2312" w:hAnsi="??_GB2312"/>
          <w:color w:val="000000"/>
          <w:kern w:val="0"/>
          <w:sz w:val="32"/>
          <w:szCs w:val="32"/>
        </w:rPr>
        <w:t>0</w:t>
      </w:r>
      <w:r>
        <w:rPr>
          <w:rFonts w:ascii="宋体" w:eastAsia="宋体" w:cs="宋体" w:hint="eastAsia"/>
          <w:color w:val="000000"/>
          <w:kern w:val="0"/>
          <w:sz w:val="32"/>
          <w:szCs w:val="32"/>
        </w:rPr>
        <w:t>万元，占政府采购支出总额的</w:t>
      </w:r>
      <w:r>
        <w:rPr>
          <w:rFonts w:ascii="??_GB2312" w:cs="??_GB2312" w:hAnsi="??_GB2312"/>
          <w:color w:val="000000"/>
          <w:kern w:val="0"/>
          <w:sz w:val="32"/>
          <w:szCs w:val="32"/>
        </w:rPr>
        <w:t xml:space="preserve"> 0%</w:t>
      </w:r>
      <w:r>
        <w:rPr>
          <w:rFonts w:ascii="宋体" w:eastAsia="宋体" w:cs="宋体" w:hint="eastAsia"/>
          <w:color w:val="000000"/>
          <w:kern w:val="0"/>
          <w:sz w:val="32"/>
          <w:szCs w:val="32"/>
        </w:rPr>
        <w:t>。</w:t>
      </w:r>
    </w:p>
    <w:p>
      <w:pPr>
        <w:keepNext/>
        <w:keepLines/>
        <w:widowControl w:val="0"/>
        <w:snapToGrid w:val="0"/>
        <w:spacing w:line="580" w:lineRule="exact"/>
        <w:ind w:firstLineChars="200" w:firstLine="640"/>
        <w:outlineLvl w:val="2"/>
        <w:rPr>
          <w:rFonts w:ascii="楷体_GB2312" w:eastAsia="楷体_GB2312" w:cs="DengXian-Bold"/>
          <w:b/>
          <w:bCs/>
          <w:sz w:val="32"/>
          <w:szCs w:val="32"/>
        </w:rPr>
      </w:pPr>
      <w:r>
        <w:rPr>
          <w:rFonts w:ascii="楷体_GB2312" w:eastAsia="楷体_GB2312" w:cs="DengXian-Bold" w:hint="eastAsia"/>
          <w:b/>
          <w:bCs/>
          <w:sz w:val="32"/>
          <w:szCs w:val="32"/>
        </w:rPr>
        <w:t>（三）国有资产占用情况</w:t>
      </w:r>
    </w:p>
    <w:p>
      <w:pPr>
        <w:adjustRightInd w:val="0"/>
        <w:snapToGrid w:val="0"/>
        <w:spacing w:line="580" w:lineRule="exact"/>
        <w:ind w:firstLineChars="200" w:firstLine="640"/>
        <w:rPr>
          <w:rFonts w:ascii="??_GB2312" w:eastAsia="宋体" w:cs="DengXian-Regular" w:hAnsi="??_GB2312"/>
          <w:sz w:val="32"/>
          <w:szCs w:val="32"/>
        </w:rPr>
      </w:pPr>
      <w:r>
        <w:rPr>
          <w:rFonts w:ascii="??_GB2312" w:eastAsia="Times New Roman" w:cs="DengXian-Regular" w:hAnsi="??_GB2312"/>
          <w:sz w:val="32"/>
          <w:szCs w:val="32"/>
        </w:rPr>
        <w:t>截至2019年12月31日，本部门共有车辆1辆，比上年增加0辆，主要是较上年无增减变化。其中，副部（省）级及以上领导用车0辆，主要领导干部用车0辆，机要通信用车0辆，应急保障用车0辆，执法执勤用车0辆，特种专业技术用车0辆，离退休干部用车0辆，其他用车</w:t>
      </w:r>
      <w:r>
        <w:rPr>
          <w:rFonts w:ascii="??_GB2312" w:eastAsia="宋体" w:cs="DengXian-Regular" w:hAnsi="??_GB2312"/>
          <w:sz w:val="32"/>
          <w:szCs w:val="32"/>
        </w:rPr>
        <w:t>1</w:t>
      </w:r>
      <w:r>
        <w:rPr>
          <w:rFonts w:ascii="??_GB2312" w:eastAsia="Times New Roman" w:cs="DengXian-Regular" w:hAnsi="??_GB2312"/>
          <w:sz w:val="32"/>
          <w:szCs w:val="32"/>
        </w:rPr>
        <w:t>辆，其他用车主要是一般公务用车</w:t>
      </w:r>
      <w:r>
        <w:rPr>
          <w:rFonts w:ascii="宋体" w:eastAsia="宋体" w:cs="DengXian-Regular" w:hint="eastAsia"/>
          <w:sz w:val="32"/>
          <w:szCs w:val="32"/>
        </w:rPr>
        <w:t>。</w:t>
      </w:r>
    </w:p>
    <w:p>
      <w:pPr>
        <w:adjustRightInd w:val="0"/>
        <w:snapToGrid w:val="0"/>
        <w:spacing w:line="580" w:lineRule="exact"/>
        <w:ind w:firstLineChars="200" w:firstLine="640"/>
        <w:rPr>
          <w:rFonts w:ascii="楷体_GB2312" w:eastAsia="楷体_GB2312" w:cs="DengXian-Bold"/>
          <w:b/>
          <w:bCs/>
          <w:sz w:val="32"/>
          <w:szCs w:val="32"/>
        </w:rPr>
      </w:pPr>
      <w:r>
        <w:rPr>
          <w:rFonts w:ascii="??_GB2312" w:eastAsia="Times New Roman" w:cs="DengXian-Regular" w:hAnsi="??_GB2312"/>
          <w:sz w:val="32"/>
          <w:szCs w:val="32"/>
        </w:rPr>
        <w:t>单位价值</w:t>
      </w:r>
      <w:r>
        <w:rPr>
          <w:rFonts w:ascii="??_GB2312" w:eastAsia="Times New Roman" w:cs="TimesNewRomanPSMT" w:hAnsi="??_GB2312"/>
          <w:sz w:val="32"/>
          <w:szCs w:val="32"/>
        </w:rPr>
        <w:t>50</w:t>
      </w:r>
      <w:r>
        <w:rPr>
          <w:rFonts w:ascii="??_GB2312" w:eastAsia="Times New Roman" w:cs="DengXian-Regular" w:hAnsi="??_GB2312"/>
          <w:sz w:val="32"/>
          <w:szCs w:val="32"/>
        </w:rPr>
        <w:t>万元以上通用设备0台（套），比上年增加0套，主要是较上年无增减变化 ，单位价值</w:t>
      </w:r>
      <w:r>
        <w:rPr>
          <w:rFonts w:ascii="??_GB2312" w:eastAsia="Times New Roman" w:cs="TimesNewRomanPSMT" w:hAnsi="??_GB2312"/>
          <w:sz w:val="32"/>
          <w:szCs w:val="32"/>
        </w:rPr>
        <w:t>100</w:t>
      </w:r>
      <w:r>
        <w:rPr>
          <w:rFonts w:ascii="??_GB2312" w:eastAsia="Times New Roman" w:cs="DengXian-Regular" w:hAnsi="??_GB2312"/>
          <w:sz w:val="32"/>
          <w:szCs w:val="32"/>
        </w:rPr>
        <w:t>万元以上专用设备0台（套）比上年增加0套，主要是较上年无增减变化。</w:t>
      </w:r>
    </w:p>
    <w:p>
      <w:pPr>
        <w:keepNext/>
        <w:keepLines/>
        <w:widowControl w:val="0"/>
        <w:snapToGrid w:val="0"/>
        <w:spacing w:line="580" w:lineRule="exact"/>
        <w:ind w:firstLineChars="200" w:firstLine="640"/>
        <w:outlineLvl w:val="2"/>
        <w:rPr>
          <w:rFonts w:ascii="楷体_GB2312" w:eastAsia="楷体_GB2312" w:cs="DengXian-Bold"/>
          <w:b/>
          <w:bCs/>
          <w:sz w:val="32"/>
          <w:szCs w:val="32"/>
        </w:rPr>
      </w:pPr>
      <w:r>
        <w:rPr>
          <w:rFonts w:ascii="楷体_GB2312" w:eastAsia="楷体_GB2312" w:cs="DengXian-Bold" w:hint="eastAsia"/>
          <w:b/>
          <w:bCs/>
          <w:sz w:val="32"/>
          <w:szCs w:val="32"/>
        </w:rPr>
        <w:t>（四）其他需要说明的情况</w:t>
      </w:r>
      <w:bookmarkStart w:id="0" w:name="_GoBack"/>
      <w:bookmarkEnd w:id="0"/>
    </w:p>
    <w:p>
      <w:pPr>
        <w:adjustRightInd w:val="0"/>
        <w:snapToGrid w:val="0"/>
        <w:spacing w:line="580" w:lineRule="exact"/>
        <w:ind w:firstLineChars="200" w:firstLine="640"/>
        <w:rPr>
          <w:rFonts w:ascii="??_GB2312" w:eastAsia="宋体" w:cs="DengXian-Regular" w:hAnsi="??_GB2312"/>
          <w:sz w:val="32"/>
          <w:szCs w:val="32"/>
        </w:rPr>
      </w:pPr>
      <w:r>
        <w:rPr>
          <w:rFonts w:ascii="??_GB2312" w:eastAsia="Times New Roman" w:cs="DengXian-Regular" w:hAnsi="??_GB2312"/>
          <w:sz w:val="32"/>
          <w:szCs w:val="32"/>
        </w:rPr>
        <w:t>1. 本部门2019年度</w:t>
      </w:r>
      <w:r>
        <w:rPr>
          <w:rFonts w:ascii="??_GB2312" w:eastAsia="Times New Roman" w:cs="DengXian-Regular" w:hAnsi="??_GB2312"/>
          <w:sz w:val="32"/>
          <w:szCs w:val="32"/>
          <w:u w:val="dotted"/>
        </w:rPr>
        <w:t>结转资金0万元</w:t>
      </w:r>
      <w:r>
        <w:rPr>
          <w:rFonts w:ascii="宋体" w:eastAsia="宋体" w:cs="DengXian-Regular" w:hint="eastAsia"/>
          <w:sz w:val="32"/>
          <w:szCs w:val="32"/>
          <w:u w:val="dotted"/>
        </w:rPr>
        <w:t>。</w:t>
      </w:r>
    </w:p>
    <w:p>
      <w:pPr>
        <w:adjustRightInd w:val="0"/>
        <w:snapToGrid w:val="0"/>
        <w:spacing w:line="580" w:lineRule="exact"/>
        <w:ind w:firstLineChars="200" w:firstLine="640"/>
        <w:rPr>
          <w:rFonts w:ascii="??_GB2312" w:eastAsia="宋体" w:cs="DengXian-Regular" w:hAnsi="??_GB2312"/>
          <w:sz w:val="32"/>
          <w:szCs w:val="32"/>
        </w:rPr>
        <w:sectPr>
          <w:type w:val="continuous"/>
          <w:pgSz w:w="11906" w:h="16838"/>
          <w:pgMar w:top="2098" w:right="1474" w:bottom="1984" w:left="1588" w:header="851" w:footer="992" w:gutter="0"/>
          <w:pgNumType w:fmt="numberInDash"/>
          <w:docGrid w:type="lines" w:linePitch="312" w:charSpace="0"/>
        </w:sectPr>
      </w:pPr>
      <w:r>
        <w:rPr>
          <w:rFonts w:ascii="??_GB2312" w:eastAsia="Times New Roman" w:cs="DengXian-Regular" w:hAnsi="??_GB2312"/>
          <w:sz w:val="32"/>
          <w:szCs w:val="32"/>
        </w:rPr>
        <w:t>2. 由于决算公开表格中金额数值应当保留两位小数，公开数据为四舍五入计算结果，个别数据合计项与分项之和存在小数点后差额，特此说明。</w:t>
      </w:r>
    </w:p>
    <w:p>
      <w:pPr>
        <w:rPr>
          <w:rFonts w:ascii="黑体" w:eastAsia="黑体" w:cs="黑体"/>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mc:AlternateContent>
          <mc:Choice Requires="wps">
            <w:drawing>
              <wp:anchor distT="0" distB="0" distL="114298" distR="114298" simplePos="0" relativeHeight="53" behindDoc="0" locked="0" layoutInCell="1" hidden="0" allowOverlap="1">
                <wp:simplePos x="0" y="0"/>
                <wp:positionH relativeFrom="column">
                  <wp:posOffset>-914400</wp:posOffset>
                </wp:positionH>
                <wp:positionV relativeFrom="paragraph">
                  <wp:posOffset>396240</wp:posOffset>
                </wp:positionV>
                <wp:extent cx="7793355" cy="3322320"/>
                <wp:effectExtent l="0" t="0" r="0" b="0"/>
                <wp:wrapNone/>
                <wp:docPr id="48" name="文本框"/>
                <wp:cNvGraphicFramePr>
                  <a:graphicFrameLocks noChangeAspect="0"/>
                </wp:cNvGraphicFramePr>
                <a:graphic>
                  <a:graphicData uri="http://schemas.microsoft.com/office/word/2010/wordprocessingShape">
                    <wps:wsp>
                      <wps:cNvSpPr/>
                      <wps:spPr>
                        <a:xfrm rot="0">
                          <a:off x="0" y="0"/>
                          <a:ext cx="7793355" cy="3322320"/>
                        </a:xfrm>
                        <a:prstGeom prst="rect"/>
                        <a:solidFill>
                          <a:srgbClr val="FFD966"/>
                        </a:solidFill>
                        <a:ln w="6350" cmpd="sng" cap="flat">
                          <a:solidFill>
                            <a:srgbClr val="FFD966"/>
                          </a:solidFill>
                          <a:prstDash val="solid"/>
                          <a:miter/>
                        </a:ln>
                      </wps:spPr>
                      <wps:txbx id="49">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wps:txbx>
                      <wps:bodyPr vert="horz" wrap="square" lIns="91440" tIns="45720" rIns="91440" bIns="45720" anchor="ctr" anchorCtr="0" upright="1">
                        <a:noAutofit/>
                      </wps:bodyPr>
                    </wps:wsp>
                  </a:graphicData>
                </a:graphic>
              </wp:anchor>
            </w:drawing>
          </mc:Choice>
          <mc:Fallback>
            <w:pict>
              <v:shape type="#_x0000_t202" id="文本框 50" o:spid="_x0000_s50" fillcolor="#FFD966" stroked="t" strokeweight="0.5pt" style="position:absolute;margin-left:-72.0pt;margin-top:31.2pt;width:613.65pt;height:261.6pt;z-index:53;mso-position-horizontal:absolute;mso-position-vertical:absolute;mso-wrap-distance-left:8.999863pt;mso-wrap-distance-right:8.999863pt;mso-wrap-style:square;">
                <v:stroke color="#FFD966"/>
                <v:textbox id="857" inset="2.54mm,1.27mm,2.54mm,1.27mm" o:insetmode="custom" style="layout-flow:horizontal;v-text-anchor:middle;">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shape>
            </w:pict>
          </mc:Fallback>
        </mc:AlternateContent>
      </w:r>
    </w:p>
    <w:p/>
    <w:p/>
    <w:p/>
    <w:p/>
    <w:p/>
    <w:p/>
    <w:p/>
    <w:p/>
    <w:p/>
    <w:p/>
    <w:p/>
    <w:p>
      <w:pPr>
        <w:tabs>
          <w:tab w:val="left" w:pos="886"/>
        </w:tabs>
        <w:jc w:val="left"/>
        <w:sectPr>
          <w:headerReference w:type="first" r:id="rId24"/>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（一）财政拨款收入：</w:t>
      </w:r>
      <w:r>
        <w:rPr>
          <w:rFonts w:ascii="??_GB2312" w:eastAsia="Times New Roman" w:hAnsi="??_GB2312"/>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（二）事业收入：</w:t>
      </w:r>
      <w:r>
        <w:rPr>
          <w:rFonts w:ascii="??_GB2312" w:eastAsia="Times New Roman" w:hAnsi="??_GB2312"/>
          <w:color w:val="000000"/>
          <w:kern w:val="0"/>
          <w:sz w:val="32"/>
          <w:szCs w:val="32"/>
        </w:rPr>
        <w:t>指事业单位开展专业业务活动及辅助活动所取得的收入。</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（三）其他收入：</w:t>
      </w:r>
      <w:r>
        <w:rPr>
          <w:rFonts w:ascii="??_GB2312" w:eastAsia="Times New Roman" w:hAnsi="??_GB2312"/>
          <w:color w:val="000000"/>
          <w:kern w:val="0"/>
          <w:sz w:val="32"/>
          <w:szCs w:val="32"/>
        </w:rPr>
        <w:t>指除上述“财政拨款收入”“事业收入”“经营收入”等以外的收入。</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（四）用事业基金弥补收支差额：</w:t>
      </w:r>
      <w:r>
        <w:rPr>
          <w:rFonts w:ascii="??_GB2312" w:eastAsia="Times New Roman" w:hAnsi="??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（五）年初结转和结余：</w:t>
      </w:r>
      <w:r>
        <w:rPr>
          <w:rFonts w:ascii="??_GB2312" w:eastAsia="Times New Roman" w:hAnsi="??_GB2312"/>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（六）结余分配：</w:t>
      </w:r>
      <w:r>
        <w:rPr>
          <w:rFonts w:ascii="??_GB2312" w:eastAsia="Times New Roman" w:hAnsi="??_GB2312"/>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（七）年末结转和结余：</w:t>
      </w:r>
      <w:r>
        <w:rPr>
          <w:rFonts w:ascii="??_GB2312" w:eastAsia="Times New Roman" w:hAnsi="??_GB2312"/>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（八）基本支出：</w:t>
      </w:r>
      <w:r>
        <w:rPr>
          <w:rFonts w:ascii="??_GB2312" w:eastAsia="Times New Roman" w:hAnsi="??_GB2312"/>
          <w:color w:val="000000"/>
          <w:kern w:val="0"/>
          <w:sz w:val="32"/>
          <w:szCs w:val="32"/>
        </w:rPr>
        <w:t>填列单位为保障机构正常运转、完成日常工作任务而发生的各项支出。</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（九）项目支出：</w:t>
      </w:r>
      <w:r>
        <w:rPr>
          <w:rFonts w:ascii="??_GB2312" w:eastAsia="Times New Roman" w:hAnsi="??_GB2312"/>
          <w:color w:val="000000"/>
          <w:kern w:val="0"/>
          <w:sz w:val="32"/>
          <w:szCs w:val="32"/>
        </w:rPr>
        <w:t>填列单位为完成特定的行政工作任务或事业发展目标，在基本支出之外发生的各项支出</w:t>
      </w:r>
      <w:r>
        <w:rPr>
          <w:rFonts w:ascii="宋体" w:eastAsia="宋体" w:hint="eastAsia"/>
          <w:color w:val="000000"/>
          <w:kern w:val="0"/>
          <w:sz w:val="32"/>
          <w:szCs w:val="32"/>
        </w:rPr>
        <w:t>。</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（十）基本建设支出：</w:t>
      </w:r>
      <w:r>
        <w:rPr>
          <w:rFonts w:ascii="??_GB2312" w:eastAsia="Times New Roman" w:hAnsi="??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（十一）其他资本性支出：</w:t>
      </w:r>
      <w:r>
        <w:rPr>
          <w:rFonts w:ascii="??_GB2312" w:eastAsia="Times New Roman" w:hAnsi="??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（十二）“三公”经费：</w:t>
      </w:r>
      <w:r>
        <w:rPr>
          <w:rFonts w:ascii="??_GB2312" w:eastAsia="Times New Roman" w:hAnsi="??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（十三）其他交通费用：</w:t>
      </w:r>
      <w:r>
        <w:rPr>
          <w:rFonts w:ascii="??_GB2312" w:eastAsia="Times New Roman" w:hAnsi="??_GB2312"/>
          <w:color w:val="000000"/>
          <w:kern w:val="0"/>
          <w:sz w:val="32"/>
          <w:szCs w:val="32"/>
        </w:rPr>
        <w:t>填列单位除公务用车运行维护费以外的其他交通费用。如公务交通补贴、租车费用、出租车费用</w:t>
      </w:r>
      <w:r>
        <w:rPr>
          <w:rFonts w:ascii="宋体" w:eastAsia="宋体" w:hint="eastAsia"/>
          <w:color w:val="000000"/>
          <w:kern w:val="0"/>
          <w:sz w:val="32"/>
          <w:szCs w:val="32"/>
        </w:rPr>
        <w:t>、</w:t>
      </w:r>
      <w:r>
        <w:rPr>
          <w:rFonts w:ascii="??_GB2312" w:eastAsia="Times New Roman" w:hAnsi="??_GB2312"/>
          <w:color w:val="000000"/>
          <w:kern w:val="0"/>
          <w:sz w:val="32"/>
          <w:szCs w:val="32"/>
        </w:rPr>
        <w:t>飞机、船舶等燃料费、维修费、保险费等。</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（十四）公务用车购置：</w:t>
      </w:r>
      <w:r>
        <w:rPr>
          <w:rFonts w:ascii="??_GB2312" w:eastAsia="Times New Roman" w:hAnsi="??_GB2312"/>
          <w:color w:val="000000"/>
          <w:kern w:val="0"/>
          <w:sz w:val="32"/>
          <w:szCs w:val="32"/>
        </w:rPr>
        <w:t>填列单位公务用车车辆购置支出（含车辆购置税、牌照费）。</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（十五）其他交通工具购置：</w:t>
      </w:r>
      <w:r>
        <w:rPr>
          <w:rFonts w:ascii="??_GB2312" w:eastAsia="Times New Roman" w:hAnsi="??_GB2312"/>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_GB2312" w:eastAsia="Times New Roman" w:hAnsi="??_GB2312"/>
          <w:color w:val="000000"/>
          <w:kern w:val="0"/>
          <w:sz w:val="32"/>
          <w:szCs w:val="32"/>
        </w:rPr>
      </w:pPr>
      <w:r>
        <w:rPr>
          <w:rFonts w:ascii="??_GB2312" w:eastAsia="Times New Roman" w:hAnsi="??_GB2312"/>
          <w:b/>
          <w:bCs/>
          <w:color w:val="000000"/>
          <w:kern w:val="0"/>
          <w:sz w:val="32"/>
          <w:szCs w:val="32"/>
        </w:rPr>
        <w:t>（十六）机关运行经费：</w:t>
      </w:r>
      <w:r>
        <w:rPr>
          <w:rFonts w:ascii="??_GB2312" w:eastAsia="Times New Roman" w:hAnsi="??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Chars="200" w:firstLine="640"/>
        <w:rPr>
          <w:rFonts w:ascii="??_GB2312" w:eastAsia="宋体" w:cs="ArialUnicodeMS" w:hAnsi="??_GB2312"/>
          <w:kern w:val="0"/>
          <w:sz w:val="32"/>
          <w:szCs w:val="32"/>
        </w:rPr>
        <w:sectPr>
          <w:pgSz w:w="11906" w:h="16838"/>
          <w:pgMar w:top="2098" w:right="1474" w:bottom="1985" w:left="1588" w:header="851" w:footer="992" w:gutter="0"/>
          <w:pgNumType w:fmt="numberInDash"/>
          <w:docGrid w:type="lines" w:linePitch="312" w:charSpace="0"/>
        </w:sectPr>
      </w:pPr>
      <w:r>
        <w:rPr>
          <w:rFonts w:ascii="??_GB2312" w:eastAsia="Times New Roman" w:hAnsi="??_GB2312"/>
          <w:b/>
          <w:bCs/>
          <w:color w:val="000000"/>
          <w:kern w:val="0"/>
          <w:sz w:val="32"/>
          <w:szCs w:val="32"/>
        </w:rPr>
        <w:t>（十七）经费形式:</w:t>
      </w:r>
      <w:r>
        <w:rPr>
          <w:rFonts w:ascii="??_GB2312" w:eastAsia="Times New Roman" w:hAnsi="??_GB2312"/>
          <w:color w:val="000000"/>
          <w:kern w:val="0"/>
          <w:sz w:val="32"/>
          <w:szCs w:val="32"/>
        </w:rPr>
        <w:t>按照经费来源，</w:t>
      </w:r>
      <w:r>
        <w:rPr>
          <w:rFonts w:ascii="??_GB2312" w:eastAsia="Times New Roman" w:cs="ArialUnicodeMS" w:hAnsi="??_GB2312"/>
          <w:kern w:val="0"/>
          <w:sz w:val="32"/>
          <w:szCs w:val="32"/>
        </w:rPr>
        <w:t>可分为财政拨款、财政性资金基本保证、财政性资金定额或定项补助、财政性资金零补助四类。</w:t>
      </w:r>
    </w:p>
    <w:p>
      <w:pPr>
        <w:widowControl/>
        <w:jc w:val="center"/>
        <w:rPr>
          <w:rFonts w:ascii="黑体" w:eastAsia="黑体" w:cs="黑体"/>
          <w:color w:val="000000"/>
          <w:sz w:val="90"/>
          <w:szCs w:val="90"/>
        </w:rPr>
      </w:pPr>
    </w:p>
    <w:p>
      <w:pPr>
        <w:widowControl/>
        <w:jc w:val="center"/>
        <w:rPr>
          <w:rFonts w:ascii="黑体" w:eastAsia="黑体" w:cs="黑体"/>
          <w:color w:val="000000"/>
          <w:sz w:val="90"/>
          <w:szCs w:val="90"/>
        </w:rPr>
      </w:pPr>
    </w:p>
    <w:p>
      <w:pPr>
        <w:widowControl/>
      </w:pPr>
      <w:r>
        <mc:AlternateContent>
          <mc:Choice Requires="wps">
            <w:drawing>
              <wp:anchor distT="0" distB="0" distL="114298" distR="114298" simplePos="0" relativeHeight="57" behindDoc="0" locked="0" layoutInCell="1" hidden="0" allowOverlap="1">
                <wp:simplePos x="0" y="0"/>
                <wp:positionH relativeFrom="column">
                  <wp:posOffset>-689610</wp:posOffset>
                </wp:positionH>
                <wp:positionV relativeFrom="paragraph">
                  <wp:posOffset>962660</wp:posOffset>
                </wp:positionV>
                <wp:extent cx="7793355" cy="3322320"/>
                <wp:effectExtent l="0" t="0" r="0" b="0"/>
                <wp:wrapNone/>
                <wp:docPr id="51" name="文本框"/>
                <wp:cNvGraphicFramePr>
                  <a:graphicFrameLocks noChangeAspect="0"/>
                </wp:cNvGraphicFramePr>
                <a:graphic>
                  <a:graphicData uri="http://schemas.microsoft.com/office/word/2010/wordprocessingShape">
                    <wps:wsp>
                      <wps:cNvSpPr/>
                      <wps:spPr>
                        <a:xfrm rot="0">
                          <a:off x="0" y="0"/>
                          <a:ext cx="7793355" cy="3322320"/>
                        </a:xfrm>
                        <a:prstGeom prst="rect"/>
                        <a:solidFill>
                          <a:srgbClr val="FFD966"/>
                        </a:solidFill>
                        <a:ln w="6350" cmpd="sng" cap="flat">
                          <a:solidFill>
                            <a:srgbClr val="FFD966"/>
                          </a:solidFill>
                          <a:prstDash val="solid"/>
                          <a:miter/>
                        </a:ln>
                      </wps:spPr>
                      <wps:txbx id="52">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2019</w:t>
                            </w:r>
                            <w:r>
                              <w:rPr>
                                <w:rFonts w:ascii="黑体" w:eastAsia="黑体" w:cs="黑体" w:hint="eastAsia"/>
                                <w:color w:val="000000"/>
                                <w:sz w:val="90"/>
                                <w:szCs w:val="90"/>
                              </w:rPr>
                              <w:t>年度部门</w:t>
                            </w:r>
                          </w:p>
                          <w:p>
                            <w:pPr>
                              <w:widowControl/>
                              <w:jc w:val="center"/>
                            </w:pPr>
                            <w:r>
                              <w:rPr>
                                <w:rFonts w:ascii="黑体" w:eastAsia="黑体" w:cs="黑体" w:hint="eastAsia"/>
                                <w:color w:val="000000"/>
                                <w:sz w:val="90"/>
                                <w:szCs w:val="90"/>
                              </w:rPr>
                              <w:t>决算报表（见附表）</w:t>
                            </w:r>
                          </w:p>
                        </w:txbxContent>
                      </wps:txbx>
                      <wps:bodyPr vert="horz" wrap="square" lIns="91440" tIns="45720" rIns="91440" bIns="45720" anchor="ctr" anchorCtr="0" upright="1">
                        <a:noAutofit/>
                      </wps:bodyPr>
                    </wps:wsp>
                  </a:graphicData>
                </a:graphic>
              </wp:anchor>
            </w:drawing>
          </mc:Choice>
          <mc:Fallback>
            <w:pict>
              <v:shape type="#_x0000_t202" id="文本框 53" o:spid="_x0000_s53" fillcolor="#FFD966" stroked="t" strokeweight="0.5pt" style="position:absolute;margin-left:-54.3pt;margin-top:75.8pt;width:613.65pt;height:261.6pt;z-index:57;mso-position-horizontal:absolute;mso-position-vertical:absolute;mso-wrap-distance-left:8.999863pt;mso-wrap-distance-right:8.999863pt;mso-wrap-style:square;">
                <v:stroke color="#FFD966"/>
                <v:textbox id="858"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2019</w:t>
                      </w:r>
                      <w:r>
                        <w:rPr>
                          <w:rFonts w:ascii="黑体" w:eastAsia="黑体" w:cs="黑体" w:hint="eastAsia"/>
                          <w:color w:val="000000"/>
                          <w:sz w:val="90"/>
                          <w:szCs w:val="90"/>
                        </w:rPr>
                        <w:t>年度部门</w:t>
                      </w:r>
                    </w:p>
                    <w:p>
                      <w:pPr>
                        <w:widowControl/>
                        <w:jc w:val="center"/>
                      </w:pPr>
                      <w:r>
                        <w:rPr>
                          <w:rFonts w:ascii="黑体" w:eastAsia="黑体" w:cs="黑体" w:hint="eastAsia"/>
                          <w:color w:val="000000"/>
                          <w:sz w:val="90"/>
                          <w:szCs w:val="90"/>
                        </w:rPr>
                        <w:t>决算报表（见附表）</w:t>
                      </w:r>
                    </w:p>
                  </w:txbxContent>
                </v:textbox>
              </v:shape>
            </w:pict>
          </mc:Fallback>
        </mc:AlternateContent>
      </w:r>
    </w:p>
    <w:sectPr>
      <w:headerReference w:type="default" r:id="rId25"/>
      <w:pgSz w:w="11906" w:h="16838"/>
      <w:pgMar w:top="1701" w:right="1417" w:bottom="1281" w:left="141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楷体_GB2312">
    <w:altName w:val="楷体"/>
    <w:panose1 w:val="00000000000000000000"/>
    <w:charset w:val="86"/>
    <w:family w:val="modern"/>
    <w:pitch w:val="variable"/>
    <w:sig w:usb0="00000001" w:usb1="080E0000" w:usb2="00000010" w:usb3="00000000" w:csb0="00040000" w:csb1="00000000"/>
  </w:font>
  <w:font w:name="Yu Gothic UI Semibold">
    <w:altName w:val="Meiryo UI"/>
    <w:panose1 w:val="020B07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思源黑体 HW Bold">
    <w:altName w:val="黑体"/>
    <w:panose1 w:val="00000000000000000000"/>
    <w:charset w:val="86"/>
    <w:family w:val="swiss"/>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宋体"/>
    <w:panose1 w:val="02010609060101010101"/>
    <w:charset w:val="86"/>
    <w:family w:val="modern"/>
    <w:pitch w:val="variable"/>
    <w:sig w:usb0="800002BF" w:usb1="38CF7CFA" w:usb2="00000016" w:usb3="00000000" w:csb0="00040001" w:csb1="00000000"/>
  </w:font>
  <w:font w:name="??_GB2312">
    <w:altName w:val="Times New Roman"/>
    <w:panose1 w:val="00000000000000000000"/>
    <w:charset w:val="00"/>
    <w:family w:val="auto"/>
    <w:pitch w:val="variable"/>
    <w:sig w:usb0="00000003" w:usb1="00000000" w:usb2="00000000" w:usb3="00000000" w:csb0="00000001" w:csb1="00000000"/>
  </w:font>
  <w:font w:name="ArialUnicodeMS">
    <w:altName w:val="Malgun Gothic"/>
    <w:panose1 w:val="00000000000000000000"/>
    <w:charset w:val="81"/>
    <w:family w:val="auto"/>
    <w:pitch w:val="variable"/>
    <w:sig w:usb0="00000001" w:usb1="09060000" w:usb2="00000010" w:usb3="00000000" w:csb0="00080000" w:csb1="00000000"/>
  </w:font>
  <w:font w:name="DengXian-Regular">
    <w:altName w:val="宋体"/>
    <w:panose1 w:val="00000000000000000000"/>
    <w:charset w:val="86"/>
    <w:family w:val="auto"/>
    <w:pitch w:val="variable"/>
    <w:sig w:usb0="00000001" w:usb1="080E0000" w:usb2="00000010" w:usb3="00000000" w:csb0="00040000" w:csb1="00000000"/>
  </w:font>
  <w:font w:name="DengXian-Bold">
    <w:altName w:val="宋体"/>
    <w:panose1 w:val="00000000000000000000"/>
    <w:charset w:val="86"/>
    <w:family w:val="auto"/>
    <w:pitch w:val="variable"/>
    <w:sig w:usb0="00000001" w:usb1="080E0000" w:usb2="00000010" w:usb3="00000000" w:csb0="00040000" w:csb1="00000000"/>
  </w:font>
  <w:font w:name="TimesNewRomanPSMT">
    <w:altName w:val="Arial"/>
    <w:panose1 w:val="00000000000000000000"/>
    <w:charset w:val="00"/>
    <w:family w:val="swiss"/>
    <w:pitch w:val="variable"/>
    <w:sig w:usb0="00000003" w:usb1="00000000" w:usb2="00000000" w:usb3="00000000" w:csb0="00000001" w:csb1="00000000"/>
  </w:font>
  <w:font w:name="等线">
    <w:altName w:val="微软雅黑"/>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00007A87" w:usb1="80000000" w:usb2="00000008" w:usb3="00000000" w:csb0="400001FF" w:csb1="FFFF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cs="Times New Roman" w:hint="eastAsia"/>
      </w:rPr>
    </w:lvl>
  </w:abstractNum>
  <w:abstractNum w:abstractNumId="1">
    <w:nsid w:val="5F222FFA"/>
    <w:multiLevelType w:val="singleLevel"/>
    <w:tmpl w:val="5F222FFA"/>
    <w:lvl w:ilvl="0">
      <w:start w:val="1"/>
      <w:numFmt w:val="decimal"/>
      <w:lvlRestart w:val="0"/>
      <w:suff w:val="nothing"/>
      <w:lvlText w:val="（%1）"/>
      <w:lvlJc w:val="left"/>
      <w:pPr>
        <w:tabs>
          <w:tab w:val="num" w:pos="0"/>
        </w:tabs>
        <w:ind w:left="0" w:hanging="0"/>
      </w:pPr>
      <w:rPr>
        <w:rFonts w:cs="Times New Roman"/>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Times New Roman"/>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w:basedOn w:val="0"/>
    <w:rPr>
      <w:rFonts w:ascii="??_GB2312" w:eastAsia="宋体" w:cs="??_GB2312" w:hAnsi="??_GB2312"/>
      <w:sz w:val="32"/>
      <w:szCs w:val="32"/>
      <w:lang w:val="zh-CN"/>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jc w:val="center"/>
    </w:pPr>
    <w:rPr>
      <w:sz w:val="18"/>
      <w:szCs w:val="18"/>
    </w:rPr>
  </w:style>
  <w:style w:type="paragraph" w:customStyle="1" w:styleId="18">
    <w:name w:val="列出段落1"/>
    <w:basedOn w:val="0"/>
    <w:pPr>
      <w:spacing w:before="2"/>
      <w:ind w:left="119" w:right="434" w:firstLine="643"/>
    </w:pPr>
    <w:rPr>
      <w:rFonts w:ascii="??_GB2312" w:eastAsia="宋体" w:cs="??_GB2312" w:hAnsi="??_GB2312"/>
      <w:lang w:val="zh-CN"/>
    </w:rPr>
  </w:style>
  <w:style w:type="character" w:customStyle="1" w:styleId="19">
    <w:name w:val="font21"/>
    <w:basedOn w:val="10"/>
    <w:rPr>
      <w:rFonts w:ascii="宋体" w:eastAsia="宋体" w:cs="宋体"/>
      <w:color w:val="000000"/>
      <w:sz w:val="16"/>
      <w:szCs w:val="16"/>
      <w:u w:val="none"/>
    </w:rPr>
  </w:style>
  <w:style w:type="character" w:customStyle="1" w:styleId="20">
    <w:name w:val="font11"/>
    <w:basedOn w:val="10"/>
    <w:rPr>
      <w:rFonts w:ascii="Calibri" w:cs="Calibri" w:hAnsi="Calibri"/>
      <w:color w:val="000000"/>
      <w:sz w:val="16"/>
      <w:szCs w:val="16"/>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footer" Target="footer1.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41.emf"/><Relationship Id="rId17" Type="http://schemas.openxmlformats.org/officeDocument/2006/relationships/oleObject" Target="embeddings/oleObject1.bin"/><Relationship Id="rId18" Type="http://schemas.openxmlformats.org/officeDocument/2006/relationships/image" Target="media/43.emf"/><Relationship Id="rId19" Type="http://schemas.openxmlformats.org/officeDocument/2006/relationships/oleObject" Target="embeddings/oleObject2.bin"/><Relationship Id="rId20" Type="http://schemas.openxmlformats.org/officeDocument/2006/relationships/image" Target="media/45.emf"/><Relationship Id="rId21" Type="http://schemas.openxmlformats.org/officeDocument/2006/relationships/oleObject" Target="embeddings/oleObject3.bin"/><Relationship Id="rId22" Type="http://schemas.openxmlformats.org/officeDocument/2006/relationships/image" Target="media/47.emf"/><Relationship Id="rId23" Type="http://schemas.openxmlformats.org/officeDocument/2006/relationships/oleObject" Target="embeddings/oleObject4.bin"/><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styles" Target="styles.xml"/><Relationship Id="rId27" Type="http://schemas.openxmlformats.org/officeDocument/2006/relationships/numbering" Target="numbering.xml"/><Relationship Id="rId28" Type="http://schemas.openxmlformats.org/officeDocument/2006/relationships/fontTable" Target="fontTable.xml"/></Relationships>
</file>

<file path=docProps/app.xml><?xml version="1.0" encoding="utf-8"?>
<Properties xmlns="http://schemas.openxmlformats.org/officeDocument/2006/extended-properties">
  <Template>Normal.eit</Template>
  <TotalTime>38</TotalTime>
  <Application>Yozo_Office27021597764231179</Application>
  <Pages>22</Pages>
  <Words>5752</Words>
  <Characters>6262</Characters>
  <Lines>842</Lines>
  <Paragraphs>332</Paragraphs>
  <CharactersWithSpaces>6314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Administrator</cp:lastModifiedBy>
  <cp:revision>18</cp:revision>
  <cp:lastPrinted>2020-11-20T01:24:00Z</cp:lastPrinted>
  <dcterms:created xsi:type="dcterms:W3CDTF">2020-07-29T09:42:00Z</dcterms:created>
  <dcterms:modified xsi:type="dcterms:W3CDTF">2021-05-31T01:17:37Z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ies>
</file>