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大城县水务局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贯彻落实有关水利工作的法律、法规及方针政策，负责保障水资源的合理开发利用，拟定全县水利战略规划和政策，组织编制综合规划、防洪规划等水利规划和年度计划，组织并监督实施有关法规、规章和制度。负责提出水利固定资产投资规模和方向、县级财政性资金安排的意见，按规定权限审批、核准规划内和年度计划规模内固定资产投资项目；提出县级水利建设投资安排建议并组织实施。</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2、负责生活、生产经营和生态环境用水的统筹兼顾和保障。负责全县水资源（含空中水、地表水、地下水）的统一管理，拟定全县水中长期供求规划、水分量分配方案并监督实施，组织开展水资源调查评价工作，组织实施取水许可、水资源费征收和水资源论证、防洪论证制度。指导水利行业供水和乡镇供水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3、负责水资源保护工作。组织编制水资源保护规划，组织水功能区划分并监督实施，审定水域纳污能力，提出限制排污总量建议，指导饮用水水源保护工作，指导地下水开发利用和城市规划区地下水资源管理保护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4、负责防治水旱灾害，承担大城县防汛抗旱指挥部的日常工作。组织、协调、监督、指挥全县防汛抗旱工作，对主要行洪排沥河道和重要水利工程实施防汛抗旱调度和应急水量调度，编制全县防汛抗旱应急预案并组织实施。指导水利突发公共事件的应急管理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5、负责节约用水工作。拟定全县节约用水政策，编制节约用水规划，制定有关标准，指导和推动节水型社会建设工作。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6、负责指导全县江河湖库和地下水的水量、水质实施监测，发布水文水资源信息和情报预报；负责发布全县水资源公报。</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7、组织、指导全县水利设施、水域及其岸线的管理与保护，组织、指导主要河道、滩涂的治理和开发，组织实施河道管理范围内工程建设方案审查制度，指导水利工程建设与运行管理，组织实施具有控制性的重要水利工程建设与管理，承担水库移民管理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8、负责防治水土流失。拟定水土保持规划并监督实施，组织实施水土流失的监测和综合防治，负责有关建设项目水土保持方案的审核或审批、监督实施及水土保持设施的验收工作。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9、指导全县农村水利工作。组织协调农田水利基本建设，指导农村饮水安全、节水灌溉等工程建设与管理工作，指导农村水利社会化服务体系建设。</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10、负责涉水违法事件的查处，协调水事纠纷，指导水政监察和水行政执法，依法负责水利行业安全生产工作，组织、指导河道堤防、水库大坝的安全监管，指导水利建设市场的监督管理，组织实施水利工程建设的监督。</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11、开展水利科技和外事工作。组织开展水利行业质量监督工作，办理有关水利涉外事务。</w:t>
      </w:r>
    </w:p>
    <w:p>
      <w:pPr>
        <w:spacing w:line="584" w:lineRule="exact"/>
        <w:ind w:firstLine="600" w:firstLineChars="200"/>
        <w:rPr>
          <w:rFonts w:ascii="Times New Roman" w:hAnsi="Times New Roman" w:eastAsia="楷体_GB2312" w:cs="Times New Roman"/>
          <w:b/>
          <w:sz w:val="32"/>
          <w:szCs w:val="32"/>
        </w:rPr>
      </w:pPr>
      <w:r>
        <w:rPr>
          <w:rFonts w:hint="eastAsia" w:ascii="仿宋" w:hAnsi="仿宋" w:eastAsia="仿宋" w:cs="仿宋"/>
          <w:kern w:val="0"/>
          <w:sz w:val="30"/>
          <w:szCs w:val="30"/>
          <w:lang w:bidi="ar"/>
        </w:rPr>
        <w:t>12、承办县政府交办的其他事项。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大城县水务局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年预算收入5292.10万元，其中：一般公共预算收入2429.46万元，基金预算收入2862.64万元，财政专户核拨收入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rPr>
        <w:t>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年支出预算5292.10万元，其中基本支出949.67万元，包括人员经费878.16万元和日常公用经费71.51万元；项目支出4342.43万元，包括本级支出4342.43万元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西万灯桥重建工程项目资金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2019年河长制工作经费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大广安桥重建工程、南水北调水费、南水北调地表水厂运营费、黑龙港泵站更新改造工程</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_GB2312" w:hAnsi="Times New Roman" w:eastAsia="仿宋_GB2312"/>
          <w:color w:val="00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年预算收支安排5292.10万元，较201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2673.14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29.85</w:t>
      </w:r>
      <w:r>
        <w:rPr>
          <w:rFonts w:ascii="Times New Roman" w:hAnsi="Times New Roman" w:eastAsia="仿宋_GB2312" w:cs="Times New Roman"/>
          <w:sz w:val="32"/>
          <w:szCs w:val="32"/>
        </w:rPr>
        <w:t>万元，主要为</w:t>
      </w:r>
      <w:r>
        <w:rPr>
          <w:rFonts w:hint="eastAsia" w:ascii="仿宋_GB2312" w:hAnsi="Times New Roman" w:eastAsia="仿宋_GB2312"/>
          <w:color w:val="000000"/>
          <w:sz w:val="32"/>
          <w:szCs w:val="32"/>
        </w:rPr>
        <w:t>增加人员工资及日常公用经费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2704.99</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w:t>
      </w:r>
      <w:r>
        <w:rPr>
          <w:rFonts w:hint="eastAsia" w:ascii="仿宋_GB2312" w:hAnsi="Times New Roman" w:eastAsia="仿宋_GB2312"/>
          <w:color w:val="000000"/>
          <w:sz w:val="32"/>
          <w:szCs w:val="32"/>
        </w:rPr>
        <w:t>要为</w:t>
      </w:r>
      <w:r>
        <w:rPr>
          <w:rFonts w:hint="eastAsia" w:ascii="仿宋_GB2312" w:hAnsi="Times New Roman" w:eastAsia="仿宋_GB2312"/>
          <w:color w:val="000000"/>
          <w:sz w:val="32"/>
          <w:szCs w:val="32"/>
          <w:lang w:eastAsia="zh-CN"/>
        </w:rPr>
        <w:t>中央水利发展资金（地下水超采）</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农村饮水安全</w:t>
      </w:r>
      <w:r>
        <w:rPr>
          <w:rFonts w:hint="eastAsia" w:ascii="仿宋_GB2312" w:hAnsi="Times New Roman" w:eastAsia="仿宋_GB2312"/>
          <w:color w:val="000000"/>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机关运行经费共计安排71.51万元，主要用于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办公区的</w:t>
      </w:r>
      <w:r>
        <w:rPr>
          <w:rFonts w:ascii="Times New Roman" w:hAnsi="Times New Roman" w:eastAsia="仿宋_GB2312" w:cs="Times New Roman"/>
          <w:sz w:val="32"/>
          <w:szCs w:val="32"/>
        </w:rPr>
        <w:t>日常维修、办公用房水电费、办公用房取暖费</w:t>
      </w:r>
      <w:r>
        <w:rPr>
          <w:rFonts w:hint="eastAsia" w:ascii="Times New Roman" w:hAnsi="Times New Roman" w:eastAsia="仿宋_GB2312" w:cs="Times New Roman"/>
          <w:sz w:val="32"/>
          <w:szCs w:val="32"/>
          <w:lang w:eastAsia="zh-CN"/>
        </w:rPr>
        <w:t>、</w:t>
      </w:r>
      <w:r>
        <w:rPr>
          <w:rFonts w:hint="eastAsia" w:ascii="仿宋_GB2312" w:hAnsi="Times New Roman" w:eastAsia="仿宋_GB2312"/>
          <w:sz w:val="32"/>
          <w:szCs w:val="32"/>
        </w:rPr>
        <w:t>公务用车运行维护费</w:t>
      </w:r>
      <w:r>
        <w:rPr>
          <w:rFonts w:hint="eastAsia" w:ascii="仿宋_GB2312" w:hAnsi="仿宋_GB2312" w:eastAsia="仿宋_GB2312" w:cs="仿宋_GB2312"/>
          <w:sz w:val="32"/>
          <w:szCs w:val="32"/>
        </w:rPr>
        <w:t>等日常运行支出。</w:t>
      </w:r>
      <w:bookmarkStart w:id="4" w:name="_GoBack"/>
      <w:bookmarkEnd w:id="4"/>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hint="eastAsia" w:ascii="仿宋_GB2312" w:hAnsi="仿宋_GB2312" w:eastAsia="仿宋_GB2312" w:cs="仿宋_GB2312"/>
          <w:sz w:val="32"/>
          <w:szCs w:val="32"/>
        </w:rPr>
        <w:t>因公出国（境）费与201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年持平，无增减变化；</w:t>
      </w:r>
      <w:r>
        <w:rPr>
          <w:rFonts w:ascii="Times New Roman" w:hAnsi="Times New Roman" w:eastAsia="仿宋_GB2312" w:cs="Times New Roman"/>
          <w:sz w:val="32"/>
          <w:szCs w:val="32"/>
        </w:rPr>
        <w:t>公务用车购置及运维费</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年持平，无增减变化</w:t>
      </w:r>
      <w:r>
        <w:rPr>
          <w:rFonts w:hint="eastAsia" w:ascii="仿宋_GB2312" w:hAnsi="仿宋_GB2312" w:eastAsia="仿宋_GB2312" w:cs="仿宋_GB2312"/>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2019年目标任务是深入学习和贯彻落实“十九大”精神，进一步解放思想，加大工作创新力度，确保水利支撑县域经济发展的力度进一步加强。完成西万灯桥的重建工程，建成后为解决3000多群众的生活和生产提供交通便利；完成13座农村集中供水水厂的日常维护和更新改造，保障农村集中供水水厂的正常运行；完成南水北调原水水费的缴纳工作，确保水厂正常运行，解决城区70000名群众的饮水问题；完成水库移民后期扶持专项基金的发放，改善44名水库移民群众的生活条件；完成农村基层防汛预警体系建设。通过加强基层防汛能力建设，进一步明确防汛责任制，完善防汛预案体系，强化监测预警手段，细化人员转移方案，改善设施设备，及时组织防汛和开展抢险救灾，保证人民群众生命安全；完成河长公示牌维护及时更新河长公示牌的信息、河长制宣传培训、河渠管护、巡河护河志愿者巡河和河长制信息平台建设、深入推进24条河渠的有限管理保护等工作；完成2019年防汛抗旱项目，项目涉及9个镇的15个村街，主要购置PP管材2958米，潜水泵11台，项目完成后能改善1000亩农田的灌溉条件。</w:t>
      </w:r>
    </w:p>
    <w:p>
      <w:pPr>
        <w:spacing w:line="584" w:lineRule="exact"/>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332</w:t>
            </w:r>
            <w:r>
              <w:rPr>
                <w:rFonts w:hint="eastAsia" w:ascii="方正小标宋_GBK" w:eastAsia="方正小标宋_GBK"/>
                <w:sz w:val="24"/>
              </w:rPr>
              <w:t>大城县水务局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一、水利水电项目建设与管理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2668.11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水利水电项目的建设与维护管理。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1775.68</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组织实施水利工程项目建设。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按期保质保量完成水利项目建设任务</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工程质量合格率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实施工程建设管理和质量监督工作完成率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水利工程除险加固及治理工作完成率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、水利工程运行与维护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605.79</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水利工程运行与维护项目验收合格率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、农田水利建设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建设小型农田水利设施，实施节水灌溉、推广综合节水技术。</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发展节水灌溉面积，推广综合节水技术</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节水灌溉面积</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小型农田水利设施建设完成量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、保障农村饮水安全</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284.01</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解决农村饮用水安全人口情况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农村饮用水安全工程完成量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、水库移民安置及后期管理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2.64</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增加移民收入，改善移民生产生活条件，促进移民稳定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移民生产生活条件改善情况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明显改善</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改善</w:t>
            </w:r>
          </w:p>
        </w:tc>
        <w:tc>
          <w:tcPr>
            <w:tcW w:w="737" w:type="dxa"/>
            <w:noWrap w:val="0"/>
            <w:vAlign w:val="center"/>
          </w:tcPr>
          <w:p>
            <w:pPr>
              <w:spacing w:line="300" w:lineRule="exact"/>
              <w:jc w:val="center"/>
              <w:rPr>
                <w:rFonts w:hint="eastAsia" w:ascii="方正书宋_GBK" w:eastAsia="方正书宋_GBK"/>
              </w:rPr>
            </w:pPr>
            <w:r>
              <w:rPr>
                <w:rFonts w:hint="cs" w:ascii="方正书宋_GBK" w:eastAsia="方正书宋_GBK"/>
                <w:cs/>
              </w:rPr>
              <w:t>——</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、农村水电建设与管理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农村水电建设、质量和安全监督管理、绿色小水电建设。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充分利用水能资源，提供清洁可再生能源，促进节能减排，保护生态环境，服务</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安全生产达标评级电站完成率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cs" w:ascii="方正书宋_GBK" w:eastAsia="方正书宋_GBK"/>
                <w:cs/>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水电站更新改造完成率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二、水资源保护和生态建设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1227.92</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组织实施全县水资源管理和水土保持相关工作。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促进水资源可持续发展，保护生态环境</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、水资源管理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1227.92</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统一管理全县水资源，组织实施全县水资源节约、保护、配置、监督管理等工作。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用水总量、地下水开采总量、万元工业增加值用水量都控制在计划范围以内</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地下水开采量</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万元工业增加值用水量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水资源节约、保护、配置、监督管理等工作完成率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用水总量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、水土保持</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负责全县水土保持工作。制定水土保持规划，承担水土流失综合防治工作；依法开展水土保持监督管理工作；开展水土保持宣传教育工作。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保护和合理利用水土资源，改善生态环境，维护生态安全。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水土流失治理率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三、水利科技支撑和公共服务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组织全县水利事业建设的科技创新和技术示范推广，为水利事业科学发展提供公共支撑。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示范推广水利工程和管理技术，提高水利事业管理水平。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、水文测报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地表、地下水量水质监测，墒情监测，水文资料整编，水文设施运行、维护及更新，水文信息系统运行。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为防汛、抗旱、减灾、水资源保护管理、水利工程建设准确、及时提供水文资料。</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水情报汛准确率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、防汛抗旱</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390.00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负责全县防汛抗旱组织管理、应急调度，储备管理防汛抗旱物资，提高全县抗御水旱灾害能力。</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防汛抗旱投资完成率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四、水利政务管理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56.40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依法依规履行机关日常管理职责，确保水利工作正常运行。</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56.40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水利规划，组织开展全县水利行业安全生产监管工作，工作部署、协调推动、普查统计、督促指导、行政审批、业务监管、水利执法、法制宣传、处理水事纠纷，监督检查、人事管理及其他依法行政管理活动。县委、政府交办的其他事项等行政管理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依法依规完成工作任务，推进科学决策</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综合业务管理工作任务完成率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确保机关工作正常运行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center"/>
        <w:outlineLvl w:val="0"/>
        <w:rPr>
          <w:rFonts w:ascii="Times New Roman" w:hAnsi="Times New Roman" w:eastAsia="仿宋_GB2312" w:cs="Times New Roman"/>
          <w:b/>
          <w:sz w:val="32"/>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444.94</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7"/>
        <w:gridCol w:w="1068"/>
        <w:gridCol w:w="943"/>
        <w:gridCol w:w="1371"/>
        <w:gridCol w:w="730"/>
        <w:gridCol w:w="730"/>
        <w:gridCol w:w="846"/>
        <w:gridCol w:w="905"/>
        <w:gridCol w:w="932"/>
        <w:gridCol w:w="932"/>
        <w:gridCol w:w="932"/>
        <w:gridCol w:w="935"/>
        <w:gridCol w:w="935"/>
        <w:gridCol w:w="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05"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332</w:t>
            </w:r>
            <w:r>
              <w:rPr>
                <w:rFonts w:hint="eastAsia" w:ascii="方正小标宋_GBK" w:eastAsia="方正小标宋_GBK"/>
                <w:sz w:val="24"/>
              </w:rPr>
              <w:t>大城县水务局</w:t>
            </w:r>
          </w:p>
        </w:tc>
        <w:tc>
          <w:tcPr>
            <w:tcW w:w="646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85"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7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3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3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63"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43" w:type="dxa"/>
            <w:vMerge w:val="continue"/>
            <w:shd w:val="clear" w:color="auto" w:fill="auto"/>
            <w:noWrap w:val="0"/>
            <w:vAlign w:val="center"/>
          </w:tcPr>
          <w:p>
            <w:pPr>
              <w:spacing w:line="300" w:lineRule="exact"/>
              <w:jc w:val="left"/>
              <w:outlineLvl w:val="0"/>
            </w:pPr>
          </w:p>
        </w:tc>
        <w:tc>
          <w:tcPr>
            <w:tcW w:w="1371"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90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66"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9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17" w:type="dxa"/>
            <w:vMerge w:val="continue"/>
            <w:shd w:val="clear" w:color="auto" w:fill="auto"/>
            <w:noWrap w:val="0"/>
            <w:vAlign w:val="center"/>
          </w:tcPr>
          <w:p>
            <w:pPr>
              <w:spacing w:line="300" w:lineRule="exact"/>
              <w:jc w:val="left"/>
              <w:outlineLvl w:val="0"/>
            </w:pPr>
          </w:p>
        </w:tc>
        <w:tc>
          <w:tcPr>
            <w:tcW w:w="1068" w:type="dxa"/>
            <w:vMerge w:val="continue"/>
            <w:shd w:val="clear" w:color="auto" w:fill="auto"/>
            <w:noWrap w:val="0"/>
            <w:vAlign w:val="center"/>
          </w:tcPr>
          <w:p>
            <w:pPr>
              <w:spacing w:line="300" w:lineRule="exact"/>
              <w:jc w:val="left"/>
              <w:outlineLvl w:val="0"/>
            </w:pPr>
          </w:p>
        </w:tc>
        <w:tc>
          <w:tcPr>
            <w:tcW w:w="943" w:type="dxa"/>
            <w:vMerge w:val="continue"/>
            <w:shd w:val="clear" w:color="auto" w:fill="auto"/>
            <w:noWrap w:val="0"/>
            <w:vAlign w:val="center"/>
          </w:tcPr>
          <w:p>
            <w:pPr>
              <w:spacing w:line="300" w:lineRule="exact"/>
              <w:jc w:val="left"/>
              <w:outlineLvl w:val="0"/>
            </w:pPr>
          </w:p>
        </w:tc>
        <w:tc>
          <w:tcPr>
            <w:tcW w:w="1371"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905" w:type="dxa"/>
            <w:vMerge w:val="continue"/>
            <w:shd w:val="clear" w:color="auto" w:fill="auto"/>
            <w:noWrap w:val="0"/>
            <w:vAlign w:val="center"/>
          </w:tcPr>
          <w:p>
            <w:pPr>
              <w:spacing w:line="300" w:lineRule="exact"/>
              <w:jc w:val="left"/>
              <w:outlineLvl w:val="0"/>
            </w:pP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92"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8" w:type="dxa"/>
            <w:shd w:val="clear" w:color="auto" w:fill="auto"/>
            <w:noWrap w:val="0"/>
            <w:vAlign w:val="center"/>
          </w:tcPr>
          <w:p>
            <w:pPr>
              <w:spacing w:line="300" w:lineRule="exact"/>
              <w:jc w:val="right"/>
              <w:rPr>
                <w:rFonts w:ascii="方正书宋_GBK" w:eastAsia="方正书宋_GBK"/>
                <w:b/>
              </w:rPr>
            </w:pPr>
          </w:p>
        </w:tc>
        <w:tc>
          <w:tcPr>
            <w:tcW w:w="943" w:type="dxa"/>
            <w:shd w:val="clear" w:color="auto" w:fill="auto"/>
            <w:noWrap w:val="0"/>
            <w:vAlign w:val="center"/>
          </w:tcPr>
          <w:p>
            <w:pPr>
              <w:spacing w:line="300" w:lineRule="exact"/>
              <w:jc w:val="left"/>
              <w:rPr>
                <w:rFonts w:ascii="方正书宋_GBK" w:eastAsia="方正书宋_GBK"/>
                <w:b/>
              </w:rPr>
            </w:pPr>
          </w:p>
        </w:tc>
        <w:tc>
          <w:tcPr>
            <w:tcW w:w="1371"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righ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90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892"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大城县水务局小计</w:t>
            </w:r>
          </w:p>
        </w:tc>
        <w:tc>
          <w:tcPr>
            <w:tcW w:w="1068" w:type="dxa"/>
            <w:shd w:val="clear" w:color="auto" w:fill="auto"/>
            <w:noWrap w:val="0"/>
            <w:vAlign w:val="center"/>
          </w:tcPr>
          <w:p>
            <w:pPr>
              <w:spacing w:line="300" w:lineRule="exact"/>
              <w:jc w:val="right"/>
              <w:rPr>
                <w:rFonts w:ascii="方正书宋_GBK" w:eastAsia="方正书宋_GBK"/>
                <w:b/>
              </w:rPr>
            </w:pPr>
          </w:p>
        </w:tc>
        <w:tc>
          <w:tcPr>
            <w:tcW w:w="943" w:type="dxa"/>
            <w:shd w:val="clear" w:color="auto" w:fill="auto"/>
            <w:noWrap w:val="0"/>
            <w:vAlign w:val="center"/>
          </w:tcPr>
          <w:p>
            <w:pPr>
              <w:spacing w:line="300" w:lineRule="exact"/>
              <w:jc w:val="left"/>
              <w:rPr>
                <w:rFonts w:ascii="方正书宋_GBK" w:eastAsia="方正书宋_GBK"/>
                <w:b/>
              </w:rPr>
            </w:pPr>
          </w:p>
        </w:tc>
        <w:tc>
          <w:tcPr>
            <w:tcW w:w="1371"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righ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90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892"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71.51</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A0209</w:t>
            </w:r>
          </w:p>
        </w:tc>
        <w:tc>
          <w:tcPr>
            <w:tcW w:w="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台</w:t>
            </w: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0.16</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71.51</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0.25</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西万灯桥重建工程项目资金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桥梁工程施工</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B0207</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年河长制工作经费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232.42</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年省级水利发展资金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171.00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年省级水利发展资金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171.00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年中央水利发展资金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bl>
    <w:p>
      <w:pPr>
        <w:spacing w:line="584" w:lineRule="exact"/>
        <w:jc w:val="center"/>
        <w:outlineLvl w:val="0"/>
        <w:rPr>
          <w:rFonts w:ascii="Times New Roman" w:hAnsi="Times New Roman" w:eastAsia="仿宋_GB2312" w:cs="Times New Roman"/>
          <w:sz w:val="32"/>
        </w:rPr>
      </w:pPr>
    </w:p>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1116.13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1.94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电视机、空调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大城县水务局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1116.13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10259</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813.5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10259</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813.5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25.33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lang w:val="en-US" w:eastAsia="zh-CN"/>
              </w:rPr>
              <w:t>277.30</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A6E07BD"/>
    <w:rsid w:val="0AE21771"/>
    <w:rsid w:val="21AA4A7C"/>
    <w:rsid w:val="2A0D42C5"/>
    <w:rsid w:val="2B536F82"/>
    <w:rsid w:val="2D4579BA"/>
    <w:rsid w:val="3A3805E5"/>
    <w:rsid w:val="3BFA4DB1"/>
    <w:rsid w:val="59C5557E"/>
    <w:rsid w:val="6CF45121"/>
    <w:rsid w:val="6DAF6741"/>
    <w:rsid w:val="7AA03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19</TotalTime>
  <ScaleCrop>false</ScaleCrop>
  <LinksUpToDate>false</LinksUpToDate>
  <CharactersWithSpaces>2835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2019-02-28T03:47:16Z</cp:lastPrinted>
  <dcterms:modified xsi:type="dcterms:W3CDTF">2019-02-28T03:47:48Z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