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大城县</w:t>
      </w:r>
      <w:r>
        <w:rPr>
          <w:rFonts w:hint="eastAsia" w:ascii="方正小标宋简体" w:hAnsi="方正小标宋简体" w:eastAsia="方正小标宋简体" w:cs="方正小标宋简体"/>
          <w:sz w:val="44"/>
          <w:szCs w:val="44"/>
          <w:lang w:eastAsia="zh-CN"/>
        </w:rPr>
        <w:t>人力资源和社会保障局</w:t>
      </w:r>
      <w:r>
        <w:rPr>
          <w:rFonts w:hint="eastAsia" w:ascii="方正小标宋简体" w:hAnsi="方正小标宋简体" w:eastAsia="方正小标宋简体" w:cs="方正小标宋简体"/>
          <w:sz w:val="44"/>
          <w:szCs w:val="44"/>
        </w:rPr>
        <w:t>2020年部门预算信息公开情况说明</w:t>
      </w:r>
    </w:p>
    <w:p>
      <w:pPr>
        <w:spacing w:line="584" w:lineRule="exact"/>
        <w:ind w:firstLine="880" w:firstLineChars="200"/>
        <w:jc w:val="center"/>
        <w:rPr>
          <w:rFonts w:ascii="Times New Roman" w:hAnsi="Times New Roman" w:eastAsia="仿宋_GB2312"/>
          <w:sz w:val="44"/>
          <w:szCs w:val="44"/>
        </w:rPr>
      </w:pPr>
    </w:p>
    <w:p>
      <w:pPr>
        <w:spacing w:line="584" w:lineRule="exact"/>
        <w:ind w:firstLine="640" w:firstLineChars="200"/>
        <w:rPr>
          <w:rFonts w:ascii="Times New Roman" w:hAnsi="Times New Roman" w:eastAsia="仿宋_GB2312"/>
          <w:sz w:val="32"/>
          <w:szCs w:val="32"/>
        </w:rPr>
      </w:pPr>
      <w:r>
        <w:rPr>
          <w:rFonts w:hint="eastAsia" w:ascii="仿宋_GB2312" w:hAnsi="仿宋_GB2312" w:eastAsia="仿宋_GB2312" w:cs="仿宋_GB2312"/>
          <w:sz w:val="32"/>
          <w:szCs w:val="32"/>
        </w:rPr>
        <w:t>按照《预算法》、《地方预决算公开操作规程》和《河北省省级预算公开办法》规定，现将大城县</w:t>
      </w:r>
      <w:r>
        <w:rPr>
          <w:rFonts w:hint="eastAsia" w:ascii="仿宋_GB2312" w:hAnsi="仿宋_GB2312" w:eastAsia="仿宋_GB2312" w:cs="仿宋_GB2312"/>
          <w:sz w:val="32"/>
          <w:szCs w:val="32"/>
          <w:lang w:eastAsia="zh-CN"/>
        </w:rPr>
        <w:t>人力资源和社会保障局</w:t>
      </w:r>
      <w:r>
        <w:rPr>
          <w:rFonts w:hint="eastAsia" w:ascii="仿宋_GB2312" w:hAnsi="仿宋_GB2312" w:eastAsia="仿宋_GB2312" w:cs="仿宋_GB2312"/>
          <w:sz w:val="32"/>
          <w:szCs w:val="32"/>
        </w:rPr>
        <w:t>2020年部门预算公开如下：</w:t>
      </w:r>
    </w:p>
    <w:p>
      <w:pPr>
        <w:spacing w:line="584" w:lineRule="exact"/>
        <w:ind w:firstLine="640" w:firstLineChars="200"/>
        <w:rPr>
          <w:rFonts w:ascii="Times New Roman" w:hAnsi="Times New Roman" w:eastAsia="黑体"/>
          <w:sz w:val="32"/>
          <w:szCs w:val="32"/>
        </w:rPr>
      </w:pPr>
      <w:r>
        <w:rPr>
          <w:rFonts w:ascii="Times New Roman" w:hAnsi="黑体" w:eastAsia="黑体"/>
          <w:sz w:val="32"/>
          <w:szCs w:val="32"/>
        </w:rPr>
        <w:t>一、部门职责及机构设置情况</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部门职责：</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贯彻落实党中央、省委、市委和县委关于人力资源和社会保障工作的方针政策和决策部署，坚持和加强党对人力资源和社会保障工作的集中统一领导。主要职责是：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（一）</w:t>
      </w:r>
      <w:r>
        <w:rPr>
          <w:rFonts w:hint="eastAsia" w:ascii="仿宋_GB2312" w:eastAsia="仿宋_GB2312"/>
          <w:sz w:val="32"/>
          <w:szCs w:val="32"/>
        </w:rPr>
        <w:t>拟订全县人力资源和社会保障事业发展政策、规划，起草人力资源和社会保障地方性政策并组织实施。</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拟订全县人力资源市场发展规划和人力资源服务业发展、人力资源流动政策，促进人力资源合理流动、有效配置。按照管理权限拟订人员（不含公务员）调配政策和特殊人员安置政策。</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rPr>
        <w:t>负责促进就业创业工作，贯彻落实统筹城乡的就业发展规划和促进就业创业扶持政策，完善公共就业服务体系，促进公平就业，统筹建立面向城乡劳动者的职业技能培训制度，贯彻落实技工学校和职业培训机构发展规划和管理规则并进行监督。加强就业服务和就业培训，拟订就业援助制度，牵头贯彻落实高校毕业生就业政策，按规定负责中专以上毕业生（非师范类）的就业工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w:t>
      </w:r>
      <w:r>
        <w:rPr>
          <w:rFonts w:hint="eastAsia" w:ascii="仿宋_GB2312" w:eastAsia="仿宋_GB2312"/>
          <w:sz w:val="32"/>
          <w:szCs w:val="32"/>
        </w:rPr>
        <w:t>统筹推进建立覆盖城乡的多层次社会保障体系。贯彻执行养老、失业、工伤等社会保险及其补充保险政策和标准，统筹拟订城乡社会保险及其补充保险政策和标准，贯彻执行养老、失业、工伤保险关系转续办法和基金统筹办法、基金管理及监督制度。编制全县相关社会保险基金预决算草案，负责对全县社会保险基金支付、管理工作实施监督，负责对相关社会保险经办机构的管理，贯彻执行企业年金和职业年金政策。</w:t>
      </w:r>
      <w:r>
        <w:rPr>
          <w:rFonts w:hint="eastAsia" w:ascii="仿宋_GB2312" w:eastAsia="仿宋_GB2312"/>
          <w:sz w:val="32"/>
        </w:rPr>
        <w:t>负责组织申报工伤认定和劳动能力鉴定工作。</w:t>
      </w:r>
      <w:r>
        <w:rPr>
          <w:rFonts w:hint="eastAsia" w:ascii="仿宋_GB2312" w:eastAsia="仿宋_GB2312"/>
          <w:sz w:val="32"/>
          <w:szCs w:val="32"/>
        </w:rPr>
        <w:t>会同有关部门实施全民参保计划并建立全省统一的社会保险公共服务平台。</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五</w:t>
      </w:r>
      <w:r>
        <w:rPr>
          <w:rFonts w:hint="eastAsia" w:ascii="仿宋_GB2312" w:eastAsia="仿宋_GB2312"/>
          <w:sz w:val="32"/>
          <w:szCs w:val="32"/>
          <w:lang w:eastAsia="zh-CN"/>
        </w:rPr>
        <w:t>）</w:t>
      </w:r>
      <w:r>
        <w:rPr>
          <w:rFonts w:hint="eastAsia" w:ascii="仿宋_GB2312" w:eastAsia="仿宋_GB2312"/>
          <w:sz w:val="32"/>
          <w:szCs w:val="32"/>
        </w:rPr>
        <w:t>负责就业、失业和相关社会保险基金预测预警和信息引导，拟订应对预案，实施预防、调节和控制，保持就业形势稳定和社会保险基金总体收支平衡。</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六</w:t>
      </w:r>
      <w:r>
        <w:rPr>
          <w:rFonts w:hint="eastAsia" w:ascii="仿宋_GB2312" w:eastAsia="仿宋_GB2312"/>
          <w:sz w:val="32"/>
          <w:szCs w:val="32"/>
          <w:lang w:eastAsia="zh-CN"/>
        </w:rPr>
        <w:t>）</w:t>
      </w:r>
      <w:r>
        <w:rPr>
          <w:rFonts w:hint="eastAsia" w:ascii="仿宋_GB2312" w:eastAsia="仿宋_GB2312"/>
          <w:sz w:val="32"/>
          <w:szCs w:val="32"/>
        </w:rPr>
        <w:t>贯彻执行劳动、人事争议调解仲裁制度和劳动关系政策，完善劳动关系协商协调机制，贯彻执行职工工作时间、休息休假和假期相关政策，贯彻执行消除非法使用童工政策和女工、未成年工的特殊劳动保护政策，组织实施劳动保障监察，协调劳动者维权工作，依法查处重大案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b/>
          <w:bCs/>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七</w:t>
      </w:r>
      <w:r>
        <w:rPr>
          <w:rFonts w:hint="eastAsia" w:ascii="仿宋_GB2312" w:eastAsia="仿宋_GB2312"/>
          <w:sz w:val="32"/>
          <w:szCs w:val="32"/>
          <w:lang w:eastAsia="zh-CN"/>
        </w:rPr>
        <w:t>）</w:t>
      </w:r>
      <w:r>
        <w:rPr>
          <w:rFonts w:hint="eastAsia" w:ascii="仿宋_GB2312" w:eastAsia="仿宋_GB2312"/>
          <w:sz w:val="32"/>
          <w:szCs w:val="32"/>
        </w:rPr>
        <w:t>拟订人才工作有关目标，参与全县人才工作的指导、组织、协调和管理，承办有关人才工作。推动建立健全市场化、社会化的人才管理服务体系。负责人事考试工作。负责人才分类评价机制推进实施，牵头推进深化职称制度改革，贯彻执行专业技术人员管理、继续教育管理等政策，负责相关高层次专业技术人才选拔和培养，负责综合管理吸引留学人员来县（回国）工作或定居工作。组织实施技能人才培养、评价、使用和激励制度、职业资格制度，健全职业技能多元化评价政策。</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八</w:t>
      </w:r>
      <w:r>
        <w:rPr>
          <w:rFonts w:hint="eastAsia" w:ascii="仿宋_GB2312" w:eastAsia="仿宋_GB2312"/>
          <w:sz w:val="32"/>
          <w:szCs w:val="32"/>
          <w:lang w:eastAsia="zh-CN"/>
        </w:rPr>
        <w:t>）</w:t>
      </w:r>
      <w:r>
        <w:rPr>
          <w:rFonts w:hint="eastAsia" w:ascii="仿宋_GB2312" w:eastAsia="仿宋_GB2312"/>
          <w:sz w:val="32"/>
          <w:szCs w:val="32"/>
        </w:rPr>
        <w:t>会同有关部门推进事业单位人事制度改革，按照管理权限负责规范事业单位岗位设置、公开招聘、聘用合同等人事综合管理工作，贯彻执行事业单位工作人员和机关工勤人员管理政策。</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九</w:t>
      </w:r>
      <w:r>
        <w:rPr>
          <w:rFonts w:hint="eastAsia" w:ascii="仿宋_GB2312" w:eastAsia="仿宋_GB2312"/>
          <w:sz w:val="32"/>
          <w:szCs w:val="32"/>
          <w:lang w:eastAsia="zh-CN"/>
        </w:rPr>
        <w:t>）</w:t>
      </w:r>
      <w:r>
        <w:rPr>
          <w:rFonts w:hint="eastAsia" w:ascii="仿宋_GB2312" w:eastAsia="仿宋_GB2312"/>
          <w:sz w:val="32"/>
          <w:szCs w:val="32"/>
        </w:rPr>
        <w:t>按照管理权限，负责全县评比达标表彰工作管理。贯彻执行省市表彰奖励办法</w:t>
      </w:r>
      <w:r>
        <w:rPr>
          <w:rFonts w:hint="eastAsia" w:ascii="仿宋_GB2312" w:eastAsia="仿宋_GB2312"/>
          <w:sz w:val="32"/>
          <w:szCs w:val="32"/>
          <w:lang w:eastAsia="zh-CN"/>
        </w:rPr>
        <w:t>（</w:t>
      </w:r>
      <w:r>
        <w:rPr>
          <w:rFonts w:hint="eastAsia" w:ascii="仿宋_GB2312" w:eastAsia="仿宋_GB2312"/>
          <w:sz w:val="32"/>
          <w:szCs w:val="32"/>
          <w:lang w:val="en-US" w:eastAsia="zh-CN"/>
        </w:rPr>
        <w:t>不含中国共产党党内表彰、公务员奖励</w:t>
      </w:r>
      <w:r>
        <w:rPr>
          <w:rFonts w:hint="eastAsia" w:ascii="仿宋_GB2312" w:eastAsia="仿宋_GB2312"/>
          <w:sz w:val="32"/>
          <w:szCs w:val="32"/>
          <w:lang w:eastAsia="zh-CN"/>
        </w:rPr>
        <w:t>）</w:t>
      </w:r>
      <w:r>
        <w:rPr>
          <w:rFonts w:hint="eastAsia" w:ascii="仿宋_GB2312" w:eastAsia="仿宋_GB2312"/>
          <w:sz w:val="32"/>
          <w:szCs w:val="32"/>
        </w:rPr>
        <w:t>，组织指导县直各部门的评比达标表彰活动。负责评比达标表彰奖励获得者管理，落实享受待遇的相关政策。</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十</w:t>
      </w:r>
      <w:r>
        <w:rPr>
          <w:rFonts w:hint="eastAsia" w:ascii="仿宋_GB2312" w:eastAsia="仿宋_GB2312"/>
          <w:sz w:val="32"/>
          <w:szCs w:val="32"/>
          <w:lang w:eastAsia="zh-CN"/>
        </w:rPr>
        <w:t>）</w:t>
      </w:r>
      <w:r>
        <w:rPr>
          <w:rFonts w:hint="eastAsia" w:ascii="仿宋_GB2312" w:eastAsia="仿宋_GB2312"/>
          <w:sz w:val="32"/>
          <w:szCs w:val="32"/>
        </w:rPr>
        <w:t>会同有关部门拟定全县事业单位人员工资收入分配政策。建立全县企事业单位人员工资决定、正常增长和支付保障机制。贯彻执行企事业单位人员福利和离退休政策，并负责监督检查。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十一</w:t>
      </w:r>
      <w:r>
        <w:rPr>
          <w:rFonts w:hint="eastAsia" w:ascii="仿宋_GB2312" w:eastAsia="仿宋_GB2312"/>
          <w:sz w:val="32"/>
          <w:szCs w:val="32"/>
          <w:lang w:eastAsia="zh-CN"/>
        </w:rPr>
        <w:t>）</w:t>
      </w:r>
      <w:r>
        <w:rPr>
          <w:rFonts w:hint="eastAsia" w:ascii="仿宋_GB2312" w:eastAsia="仿宋_GB2312"/>
          <w:sz w:val="32"/>
          <w:szCs w:val="32"/>
          <w:lang w:val="en-US" w:eastAsia="zh-CN"/>
        </w:rPr>
        <w:t>会同有关部门拟订农民工工作综合性政策和规划，推动相关政策的落实，协调解决重点难点问题，维护农民工合法权益。</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（十二）负责机关及所属单位国际交流与合作。</w:t>
      </w:r>
    </w:p>
    <w:p>
      <w:pPr>
        <w:ind w:firstLine="640" w:firstLineChars="200"/>
        <w:rPr>
          <w:rFonts w:hint="eastAsia" w:ascii="楷体_GB2312" w:hAnsi="楷体_GB2312" w:eastAsia="楷体_GB2312" w:cs="楷体_GB2312"/>
          <w:b/>
          <w:sz w:val="32"/>
          <w:szCs w:val="32"/>
          <w:highlight w:val="red"/>
        </w:rPr>
      </w:pPr>
      <w:r>
        <w:rPr>
          <w:rFonts w:hint="eastAsia" w:ascii="仿宋_GB2312" w:eastAsia="仿宋_GB2312"/>
          <w:sz w:val="32"/>
          <w:szCs w:val="32"/>
          <w:lang w:eastAsia="zh-CN"/>
        </w:rPr>
        <w:t>（</w:t>
      </w:r>
      <w:r>
        <w:rPr>
          <w:rFonts w:hint="eastAsia" w:ascii="仿宋_GB2312" w:eastAsia="仿宋_GB2312"/>
          <w:sz w:val="32"/>
          <w:szCs w:val="32"/>
          <w:lang w:val="en-US" w:eastAsia="zh-CN"/>
        </w:rPr>
        <w:t>十三</w:t>
      </w:r>
      <w:r>
        <w:rPr>
          <w:rFonts w:hint="eastAsia" w:ascii="仿宋_GB2312" w:eastAsia="仿宋_GB2312"/>
          <w:sz w:val="32"/>
          <w:szCs w:val="32"/>
          <w:lang w:eastAsia="zh-CN"/>
        </w:rPr>
        <w:t>）</w:t>
      </w:r>
      <w:r>
        <w:rPr>
          <w:rFonts w:hint="eastAsia" w:ascii="仿宋_GB2312" w:eastAsia="仿宋_GB2312"/>
          <w:sz w:val="32"/>
          <w:szCs w:val="32"/>
        </w:rPr>
        <w:t>完成县委、县政府交办的其他事项。</w:t>
      </w:r>
    </w:p>
    <w:p>
      <w:pPr>
        <w:autoSpaceDE w:val="0"/>
        <w:autoSpaceDN w:val="0"/>
        <w:adjustRightInd w:val="0"/>
        <w:spacing w:line="584" w:lineRule="exact"/>
        <w:ind w:firstLine="630" w:firstLineChars="196"/>
        <w:jc w:val="left"/>
        <w:rPr>
          <w:rFonts w:ascii="Times New Roman" w:hAnsi="仿宋" w:eastAsia="仿宋"/>
          <w:color w:val="FF0000"/>
          <w:sz w:val="32"/>
          <w:szCs w:val="32"/>
        </w:rPr>
      </w:pPr>
      <w:r>
        <w:rPr>
          <w:rFonts w:ascii="Times New Roman" w:hAnsi="Times New Roman" w:eastAsia="楷体_GB2312"/>
          <w:b/>
          <w:sz w:val="32"/>
          <w:szCs w:val="32"/>
        </w:rPr>
        <w:t>机构设置：</w:t>
      </w:r>
    </w:p>
    <w:p>
      <w:pPr>
        <w:jc w:val="center"/>
        <w:outlineLvl w:val="0"/>
        <w:rPr>
          <w:rFonts w:hint="eastAsia" w:ascii="仿宋_GB2312" w:hAnsi="仿宋_GB2312" w:eastAsia="仿宋_GB2312" w:cs="仿宋_GB2312"/>
          <w:b/>
          <w:bCs/>
          <w:sz w:val="32"/>
          <w:szCs w:val="24"/>
        </w:rPr>
      </w:pPr>
      <w:r>
        <w:rPr>
          <w:rFonts w:hint="eastAsia" w:ascii="仿宋_GB2312" w:hAnsi="仿宋_GB2312" w:eastAsia="仿宋_GB2312" w:cs="仿宋_GB2312"/>
          <w:b/>
          <w:bCs/>
          <w:sz w:val="32"/>
          <w:szCs w:val="24"/>
        </w:rPr>
        <w:t>部门机构设置情况</w:t>
      </w:r>
    </w:p>
    <w:tbl>
      <w:tblPr>
        <w:tblStyle w:val="5"/>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noWrap w:val="0"/>
            <w:vAlign w:val="center"/>
          </w:tcPr>
          <w:p>
            <w:pPr>
              <w:spacing w:line="300" w:lineRule="exact"/>
              <w:jc w:val="center"/>
              <w:rPr>
                <w:rFonts w:ascii="Times New Roman" w:hAnsi="Times New Roman" w:eastAsia="方正书宋_GBK"/>
                <w:b/>
                <w:szCs w:val="24"/>
              </w:rPr>
            </w:pPr>
            <w:r>
              <w:rPr>
                <w:rFonts w:ascii="Times New Roman" w:hAnsi="Times New Roman" w:eastAsia="方正书宋_GBK"/>
                <w:b/>
                <w:szCs w:val="24"/>
              </w:rPr>
              <w:t>单位名称</w:t>
            </w:r>
          </w:p>
        </w:tc>
        <w:tc>
          <w:tcPr>
            <w:tcW w:w="1134" w:type="dxa"/>
            <w:vMerge w:val="restart"/>
            <w:noWrap w:val="0"/>
            <w:vAlign w:val="center"/>
          </w:tcPr>
          <w:p>
            <w:pPr>
              <w:spacing w:line="300" w:lineRule="exact"/>
              <w:jc w:val="center"/>
              <w:rPr>
                <w:rFonts w:ascii="Times New Roman" w:hAnsi="Times New Roman" w:eastAsia="方正书宋_GBK"/>
                <w:b/>
                <w:szCs w:val="24"/>
              </w:rPr>
            </w:pPr>
            <w:r>
              <w:rPr>
                <w:rFonts w:ascii="Times New Roman" w:hAnsi="Times New Roman" w:eastAsia="方正书宋_GBK"/>
                <w:b/>
                <w:szCs w:val="24"/>
              </w:rPr>
              <w:t>单位性质</w:t>
            </w:r>
          </w:p>
        </w:tc>
        <w:tc>
          <w:tcPr>
            <w:tcW w:w="1276" w:type="dxa"/>
            <w:vMerge w:val="restart"/>
            <w:noWrap w:val="0"/>
            <w:vAlign w:val="center"/>
          </w:tcPr>
          <w:p>
            <w:pPr>
              <w:spacing w:line="300" w:lineRule="exact"/>
              <w:jc w:val="center"/>
              <w:rPr>
                <w:rFonts w:ascii="Times New Roman" w:hAnsi="Times New Roman" w:eastAsia="方正书宋_GBK"/>
                <w:b/>
                <w:szCs w:val="24"/>
              </w:rPr>
            </w:pPr>
            <w:r>
              <w:rPr>
                <w:rFonts w:ascii="Times New Roman" w:hAnsi="Times New Roman" w:eastAsia="方正书宋_GBK"/>
                <w:b/>
                <w:szCs w:val="24"/>
              </w:rPr>
              <w:t>单位规格</w:t>
            </w:r>
          </w:p>
        </w:tc>
        <w:tc>
          <w:tcPr>
            <w:tcW w:w="2902" w:type="dxa"/>
            <w:vMerge w:val="restart"/>
            <w:noWrap w:val="0"/>
            <w:vAlign w:val="center"/>
          </w:tcPr>
          <w:p>
            <w:pPr>
              <w:spacing w:line="300" w:lineRule="exact"/>
              <w:jc w:val="center"/>
              <w:rPr>
                <w:rFonts w:ascii="Times New Roman" w:hAnsi="Times New Roman" w:eastAsia="方正书宋_GBK"/>
                <w:b/>
                <w:szCs w:val="24"/>
              </w:rPr>
            </w:pPr>
            <w:r>
              <w:rPr>
                <w:rFonts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noWrap w:val="0"/>
            <w:vAlign w:val="center"/>
          </w:tcPr>
          <w:p>
            <w:pPr>
              <w:spacing w:line="300" w:lineRule="exact"/>
              <w:jc w:val="left"/>
              <w:outlineLvl w:val="0"/>
              <w:rPr>
                <w:rFonts w:ascii="Times New Roman" w:hAnsi="Times New Roman"/>
                <w:szCs w:val="24"/>
              </w:rPr>
            </w:pPr>
          </w:p>
        </w:tc>
        <w:tc>
          <w:tcPr>
            <w:tcW w:w="1134" w:type="dxa"/>
            <w:vMerge w:val="continue"/>
            <w:noWrap w:val="0"/>
            <w:vAlign w:val="center"/>
          </w:tcPr>
          <w:p>
            <w:pPr>
              <w:spacing w:line="300" w:lineRule="exact"/>
              <w:jc w:val="left"/>
              <w:outlineLvl w:val="0"/>
              <w:rPr>
                <w:rFonts w:ascii="Times New Roman" w:hAnsi="Times New Roman"/>
                <w:szCs w:val="24"/>
              </w:rPr>
            </w:pPr>
          </w:p>
        </w:tc>
        <w:tc>
          <w:tcPr>
            <w:tcW w:w="1276" w:type="dxa"/>
            <w:vMerge w:val="continue"/>
            <w:noWrap w:val="0"/>
            <w:vAlign w:val="center"/>
          </w:tcPr>
          <w:p>
            <w:pPr>
              <w:spacing w:line="300" w:lineRule="exact"/>
              <w:jc w:val="left"/>
              <w:outlineLvl w:val="0"/>
              <w:rPr>
                <w:rFonts w:ascii="Times New Roman" w:hAnsi="Times New Roman"/>
                <w:szCs w:val="24"/>
              </w:rPr>
            </w:pPr>
          </w:p>
        </w:tc>
        <w:tc>
          <w:tcPr>
            <w:tcW w:w="2902" w:type="dxa"/>
            <w:vMerge w:val="continue"/>
            <w:noWrap w:val="0"/>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noWrap w:val="0"/>
            <w:vAlign w:val="center"/>
          </w:tcPr>
          <w:p>
            <w:pPr>
              <w:spacing w:line="300" w:lineRule="exact"/>
              <w:jc w:val="left"/>
              <w:rPr>
                <w:rFonts w:hint="eastAsia" w:ascii="Times New Roman" w:hAnsi="Times New Roman" w:eastAsia="方正书宋_GBK"/>
                <w:szCs w:val="24"/>
                <w:lang w:eastAsia="zh-CN"/>
              </w:rPr>
            </w:pPr>
            <w:r>
              <w:rPr>
                <w:rFonts w:hint="eastAsia" w:ascii="Times New Roman" w:hAnsi="Times New Roman" w:eastAsia="方正书宋_GBK"/>
                <w:szCs w:val="24"/>
                <w:lang w:eastAsia="zh-CN"/>
              </w:rPr>
              <w:t>大城县人力资源和社会保障局</w:t>
            </w:r>
          </w:p>
        </w:tc>
        <w:tc>
          <w:tcPr>
            <w:tcW w:w="1134" w:type="dxa"/>
            <w:noWrap w:val="0"/>
            <w:vAlign w:val="center"/>
          </w:tcPr>
          <w:p>
            <w:pPr>
              <w:spacing w:line="300" w:lineRule="exact"/>
              <w:jc w:val="left"/>
              <w:rPr>
                <w:rFonts w:hint="eastAsia" w:ascii="Times New Roman" w:hAnsi="Times New Roman" w:eastAsia="方正书宋_GBK"/>
                <w:szCs w:val="24"/>
                <w:lang w:eastAsia="zh-CN"/>
              </w:rPr>
            </w:pPr>
            <w:r>
              <w:rPr>
                <w:rFonts w:hint="eastAsia" w:ascii="Times New Roman" w:hAnsi="Times New Roman" w:eastAsia="方正书宋_GBK"/>
                <w:szCs w:val="24"/>
                <w:lang w:eastAsia="zh-CN"/>
              </w:rPr>
              <w:t>机关</w:t>
            </w:r>
          </w:p>
        </w:tc>
        <w:tc>
          <w:tcPr>
            <w:tcW w:w="1276" w:type="dxa"/>
            <w:noWrap w:val="0"/>
            <w:vAlign w:val="center"/>
          </w:tcPr>
          <w:p>
            <w:pPr>
              <w:spacing w:line="300" w:lineRule="exact"/>
              <w:jc w:val="left"/>
              <w:rPr>
                <w:rFonts w:hint="eastAsia" w:ascii="Times New Roman" w:hAnsi="Times New Roman" w:eastAsia="方正书宋_GBK"/>
                <w:szCs w:val="24"/>
                <w:lang w:eastAsia="zh-CN"/>
              </w:rPr>
            </w:pPr>
            <w:r>
              <w:rPr>
                <w:rFonts w:hint="eastAsia" w:ascii="Times New Roman" w:hAnsi="Times New Roman" w:eastAsia="方正书宋_GBK"/>
                <w:szCs w:val="24"/>
                <w:lang w:eastAsia="zh-CN"/>
              </w:rPr>
              <w:t>正科级</w:t>
            </w:r>
          </w:p>
        </w:tc>
        <w:tc>
          <w:tcPr>
            <w:tcW w:w="2902" w:type="dxa"/>
            <w:noWrap w:val="0"/>
            <w:vAlign w:val="center"/>
          </w:tcPr>
          <w:p>
            <w:pPr>
              <w:spacing w:line="300" w:lineRule="exact"/>
              <w:jc w:val="left"/>
              <w:rPr>
                <w:rFonts w:hint="eastAsia" w:ascii="Times New Roman" w:hAnsi="Times New Roman" w:eastAsia="方正书宋_GBK"/>
                <w:szCs w:val="24"/>
                <w:lang w:eastAsia="zh-CN"/>
              </w:rPr>
            </w:pPr>
            <w:r>
              <w:rPr>
                <w:rFonts w:hint="eastAsia" w:ascii="Times New Roman" w:hAnsi="Times New Roman" w:eastAsia="方正书宋_GBK"/>
                <w:szCs w:val="24"/>
                <w:lang w:eastAsia="zh-CN"/>
              </w:rPr>
              <w:t>财政拨款</w:t>
            </w:r>
          </w:p>
        </w:tc>
      </w:tr>
    </w:tbl>
    <w:p>
      <w:pPr>
        <w:outlineLvl w:val="0"/>
        <w:rPr>
          <w:rFonts w:hint="eastAsia" w:ascii="仿宋_GB2312" w:hAnsi="仿宋_GB2312" w:eastAsia="仿宋_GB2312" w:cs="仿宋_GB2312"/>
          <w:b/>
          <w:bCs/>
          <w:sz w:val="32"/>
          <w:szCs w:val="24"/>
        </w:rPr>
      </w:pPr>
    </w:p>
    <w:p>
      <w:pPr>
        <w:spacing w:line="584" w:lineRule="exact"/>
        <w:ind w:firstLine="640" w:firstLineChars="200"/>
        <w:rPr>
          <w:rFonts w:ascii="Times New Roman" w:hAnsi="Times New Roman" w:eastAsia="黑体"/>
          <w:sz w:val="32"/>
          <w:szCs w:val="32"/>
        </w:rPr>
      </w:pPr>
      <w:r>
        <w:rPr>
          <w:rFonts w:ascii="Times New Roman" w:hAnsi="黑体" w:eastAsia="黑体"/>
          <w:sz w:val="32"/>
          <w:szCs w:val="32"/>
        </w:rPr>
        <w:t>二、部门预算安排的总体情况</w:t>
      </w:r>
    </w:p>
    <w:p>
      <w:pPr>
        <w:spacing w:line="58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按照预算管理有关规定，目前我</w:t>
      </w:r>
      <w:r>
        <w:rPr>
          <w:rFonts w:hint="eastAsia" w:ascii="Times New Roman" w:hAnsi="Times New Roman" w:eastAsia="仿宋_GB2312"/>
          <w:sz w:val="32"/>
          <w:szCs w:val="32"/>
        </w:rPr>
        <w:t>县</w:t>
      </w:r>
      <w:r>
        <w:rPr>
          <w:rFonts w:ascii="Times New Roman" w:hAnsi="Times New Roman" w:eastAsia="仿宋_GB2312"/>
          <w:sz w:val="32"/>
          <w:szCs w:val="32"/>
        </w:rPr>
        <w:t>部门预算的编制实行综合预算制度，即全部收入和支出都反映在预算中。</w:t>
      </w:r>
      <w:r>
        <w:rPr>
          <w:rFonts w:hint="eastAsia" w:ascii="Times New Roman" w:hAnsi="Times New Roman" w:eastAsia="仿宋_GB2312"/>
          <w:sz w:val="32"/>
          <w:szCs w:val="32"/>
        </w:rPr>
        <w:t>大城县</w:t>
      </w:r>
      <w:r>
        <w:rPr>
          <w:rFonts w:hint="eastAsia" w:ascii="Times New Roman" w:hAnsi="Times New Roman" w:eastAsia="仿宋_GB2312"/>
          <w:sz w:val="32"/>
          <w:szCs w:val="32"/>
          <w:lang w:eastAsia="zh-CN"/>
        </w:rPr>
        <w:t>人力资源和社会保障局</w:t>
      </w:r>
      <w:r>
        <w:rPr>
          <w:rFonts w:ascii="Times New Roman" w:hAnsi="Times New Roman" w:eastAsia="仿宋_GB2312"/>
          <w:sz w:val="32"/>
          <w:szCs w:val="32"/>
        </w:rPr>
        <w:t>的收支包含在部门预算中。</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1、收入说明</w:t>
      </w:r>
    </w:p>
    <w:p>
      <w:pPr>
        <w:spacing w:line="584" w:lineRule="exact"/>
        <w:ind w:firstLine="640"/>
        <w:rPr>
          <w:rFonts w:ascii="Times New Roman" w:hAnsi="Times New Roman" w:eastAsia="仿宋_GB2312"/>
          <w:sz w:val="32"/>
          <w:szCs w:val="32"/>
        </w:rPr>
      </w:pPr>
      <w:r>
        <w:rPr>
          <w:rFonts w:hint="eastAsia" w:ascii="仿宋_GB2312" w:hAnsi="仿宋_GB2312" w:eastAsia="仿宋_GB2312" w:cs="仿宋_GB2312"/>
          <w:sz w:val="32"/>
          <w:szCs w:val="32"/>
        </w:rPr>
        <w:t>反映本部门当年全部收入。2020年预算收入</w:t>
      </w:r>
      <w:r>
        <w:rPr>
          <w:rFonts w:hint="eastAsia" w:ascii="仿宋_GB2312" w:hAnsi="仿宋_GB2312" w:eastAsia="仿宋_GB2312" w:cs="仿宋_GB2312"/>
          <w:bCs/>
          <w:sz w:val="32"/>
          <w:szCs w:val="32"/>
        </w:rPr>
        <w:t>19325.98</w:t>
      </w:r>
      <w:r>
        <w:rPr>
          <w:rFonts w:hint="eastAsia" w:ascii="仿宋_GB2312" w:hAnsi="仿宋_GB2312" w:eastAsia="仿宋_GB2312" w:cs="仿宋_GB2312"/>
          <w:sz w:val="32"/>
          <w:szCs w:val="32"/>
        </w:rPr>
        <w:t>万元，其中：一般公共预算收入</w:t>
      </w:r>
      <w:r>
        <w:rPr>
          <w:rFonts w:hint="eastAsia" w:ascii="仿宋_GB2312" w:hAnsi="仿宋_GB2312" w:eastAsia="仿宋_GB2312" w:cs="仿宋_GB2312"/>
          <w:bCs/>
          <w:sz w:val="32"/>
          <w:szCs w:val="32"/>
        </w:rPr>
        <w:t>19325.98</w:t>
      </w:r>
      <w:r>
        <w:rPr>
          <w:rFonts w:hint="eastAsia" w:ascii="仿宋_GB2312" w:hAnsi="仿宋_GB2312" w:eastAsia="仿宋_GB2312" w:cs="仿宋_GB2312"/>
          <w:sz w:val="32"/>
          <w:szCs w:val="32"/>
        </w:rPr>
        <w:t>万元，基金预算收入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万元，财政专户核拨收入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万元，其他来源收入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2、支出说明</w:t>
      </w:r>
    </w:p>
    <w:p>
      <w:pPr>
        <w:spacing w:line="584"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收支预算总表支出栏、基本支出表、项目支出表按经济分类和支出功能分类科目编制，反映大城县</w:t>
      </w:r>
      <w:r>
        <w:rPr>
          <w:rFonts w:hint="eastAsia" w:ascii="仿宋_GB2312" w:hAnsi="仿宋_GB2312" w:eastAsia="仿宋_GB2312" w:cs="仿宋_GB2312"/>
          <w:sz w:val="32"/>
          <w:szCs w:val="32"/>
          <w:lang w:eastAsia="zh-CN"/>
        </w:rPr>
        <w:t>人力资源和社会保障局</w:t>
      </w:r>
      <w:r>
        <w:rPr>
          <w:rFonts w:hint="eastAsia" w:ascii="仿宋_GB2312" w:hAnsi="仿宋_GB2312" w:eastAsia="仿宋_GB2312" w:cs="仿宋_GB2312"/>
          <w:sz w:val="32"/>
          <w:szCs w:val="32"/>
        </w:rPr>
        <w:t>年度部门预算中支出预算的总体情况。2020年支出预算</w:t>
      </w:r>
      <w:r>
        <w:rPr>
          <w:rFonts w:hint="eastAsia" w:ascii="仿宋_GB2312" w:hAnsi="仿宋_GB2312" w:eastAsia="仿宋_GB2312" w:cs="仿宋_GB2312"/>
          <w:bCs/>
          <w:sz w:val="32"/>
          <w:szCs w:val="32"/>
        </w:rPr>
        <w:t>19325.98</w:t>
      </w:r>
      <w:r>
        <w:rPr>
          <w:rFonts w:hint="eastAsia" w:ascii="仿宋_GB2312" w:hAnsi="仿宋_GB2312" w:eastAsia="仿宋_GB2312" w:cs="仿宋_GB2312"/>
          <w:sz w:val="32"/>
          <w:szCs w:val="32"/>
        </w:rPr>
        <w:t>万元，其中基本支出6124.05万元，包括人员经费6021.84万元和日常公用经费102.21万元；项目支出13201.93万元，全部为本级支出，主要为</w:t>
      </w:r>
      <w:r>
        <w:rPr>
          <w:rFonts w:hint="eastAsia" w:ascii="仿宋_GB2312" w:hAnsi="仿宋_GB2312" w:eastAsia="仿宋_GB2312" w:cs="仿宋_GB2312"/>
          <w:sz w:val="32"/>
          <w:szCs w:val="32"/>
          <w:lang w:eastAsia="zh-CN"/>
        </w:rPr>
        <w:t>社会保障和就业支出</w:t>
      </w:r>
      <w:r>
        <w:rPr>
          <w:rFonts w:hint="eastAsia" w:ascii="仿宋_GB2312" w:hAnsi="仿宋_GB2312" w:eastAsia="仿宋_GB2312" w:cs="仿宋_GB2312"/>
          <w:sz w:val="32"/>
          <w:szCs w:val="32"/>
        </w:rPr>
        <w:t>。</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3、比上年增减情况</w:t>
      </w:r>
    </w:p>
    <w:p>
      <w:pPr>
        <w:spacing w:line="584"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2020年预算收支安排</w:t>
      </w:r>
      <w:r>
        <w:rPr>
          <w:rFonts w:hint="eastAsia" w:ascii="仿宋_GB2312" w:hAnsi="仿宋_GB2312" w:eastAsia="仿宋_GB2312" w:cs="仿宋_GB2312"/>
          <w:bCs/>
          <w:sz w:val="32"/>
          <w:szCs w:val="32"/>
        </w:rPr>
        <w:t>19325.98</w:t>
      </w:r>
      <w:r>
        <w:rPr>
          <w:rFonts w:hint="eastAsia" w:ascii="仿宋_GB2312" w:hAnsi="仿宋_GB2312" w:eastAsia="仿宋_GB2312" w:cs="仿宋_GB2312"/>
          <w:sz w:val="32"/>
          <w:szCs w:val="32"/>
        </w:rPr>
        <w:t>万元，较2019年预算减少</w:t>
      </w:r>
      <w:r>
        <w:rPr>
          <w:rFonts w:hint="eastAsia" w:ascii="仿宋_GB2312" w:hAnsi="仿宋_GB2312" w:eastAsia="仿宋_GB2312" w:cs="仿宋_GB2312"/>
          <w:sz w:val="32"/>
          <w:szCs w:val="32"/>
          <w:lang w:val="en-US" w:eastAsia="zh-CN"/>
        </w:rPr>
        <w:t>17177.84</w:t>
      </w:r>
      <w:r>
        <w:rPr>
          <w:rFonts w:hint="eastAsia" w:ascii="仿宋_GB2312" w:hAnsi="仿宋_GB2312" w:eastAsia="仿宋_GB2312" w:cs="仿宋_GB2312"/>
          <w:sz w:val="32"/>
          <w:szCs w:val="32"/>
        </w:rPr>
        <w:t>万元，其中：基本支出增加</w:t>
      </w:r>
      <w:r>
        <w:rPr>
          <w:rFonts w:hint="eastAsia" w:ascii="仿宋_GB2312" w:hAnsi="仿宋_GB2312" w:eastAsia="仿宋_GB2312" w:cs="仿宋_GB2312"/>
          <w:sz w:val="32"/>
          <w:szCs w:val="32"/>
          <w:lang w:val="en-US" w:eastAsia="zh-CN"/>
        </w:rPr>
        <w:t>1166.69</w:t>
      </w:r>
      <w:r>
        <w:rPr>
          <w:rFonts w:hint="eastAsia" w:ascii="仿宋_GB2312" w:hAnsi="仿宋_GB2312" w:eastAsia="仿宋_GB2312" w:cs="仿宋_GB2312"/>
          <w:sz w:val="32"/>
          <w:szCs w:val="32"/>
        </w:rPr>
        <w:t>万元，主要为人员经费支出较去年增加</w:t>
      </w:r>
      <w:r>
        <w:rPr>
          <w:rFonts w:hint="eastAsia" w:ascii="仿宋_GB2312" w:hAnsi="仿宋_GB2312" w:eastAsia="仿宋_GB2312" w:cs="仿宋_GB2312"/>
          <w:sz w:val="32"/>
          <w:szCs w:val="32"/>
          <w:lang w:val="en-US" w:eastAsia="zh-CN"/>
        </w:rPr>
        <w:t>1187.99</w:t>
      </w:r>
      <w:r>
        <w:rPr>
          <w:rFonts w:hint="eastAsia" w:ascii="仿宋_GB2312" w:hAnsi="仿宋_GB2312" w:eastAsia="仿宋_GB2312" w:cs="仿宋_GB2312"/>
          <w:sz w:val="32"/>
          <w:szCs w:val="32"/>
        </w:rPr>
        <w:t>万元，日常公用较去年减少</w:t>
      </w:r>
      <w:r>
        <w:rPr>
          <w:rFonts w:hint="eastAsia" w:ascii="仿宋_GB2312" w:hAnsi="仿宋_GB2312" w:eastAsia="仿宋_GB2312" w:cs="仿宋_GB2312"/>
          <w:sz w:val="32"/>
          <w:szCs w:val="32"/>
          <w:lang w:val="en-US" w:eastAsia="zh-CN"/>
        </w:rPr>
        <w:t>21.3</w:t>
      </w:r>
      <w:r>
        <w:rPr>
          <w:rFonts w:hint="eastAsia" w:ascii="仿宋_GB2312" w:hAnsi="仿宋_GB2312" w:eastAsia="仿宋_GB2312" w:cs="仿宋_GB2312"/>
          <w:sz w:val="32"/>
          <w:szCs w:val="32"/>
        </w:rPr>
        <w:t>万元；项目支出减少</w:t>
      </w:r>
      <w:r>
        <w:rPr>
          <w:rFonts w:hint="eastAsia" w:ascii="仿宋_GB2312" w:hAnsi="仿宋_GB2312" w:eastAsia="仿宋_GB2312" w:cs="仿宋_GB2312"/>
          <w:sz w:val="32"/>
          <w:szCs w:val="32"/>
          <w:lang w:val="en-US" w:eastAsia="zh-CN"/>
        </w:rPr>
        <w:t>18344.53</w:t>
      </w:r>
      <w:r>
        <w:rPr>
          <w:rFonts w:hint="eastAsia" w:ascii="仿宋_GB2312" w:hAnsi="仿宋_GB2312" w:eastAsia="仿宋_GB2312" w:cs="仿宋_GB2312"/>
          <w:sz w:val="32"/>
          <w:szCs w:val="32"/>
        </w:rPr>
        <w:t>万元，主要为</w:t>
      </w:r>
      <w:r>
        <w:rPr>
          <w:rFonts w:hint="eastAsia" w:ascii="仿宋_GB2312" w:hAnsi="仿宋_GB2312" w:eastAsia="仿宋_GB2312" w:cs="仿宋_GB2312"/>
          <w:sz w:val="32"/>
          <w:szCs w:val="32"/>
          <w:lang w:eastAsia="zh-CN"/>
        </w:rPr>
        <w:t>城乡居民医疗保险缴费减少</w:t>
      </w:r>
      <w:r>
        <w:rPr>
          <w:rFonts w:hint="eastAsia" w:ascii="仿宋_GB2312" w:hAnsi="仿宋_GB2312" w:eastAsia="仿宋_GB2312" w:cs="仿宋_GB2312"/>
          <w:sz w:val="32"/>
          <w:szCs w:val="32"/>
        </w:rPr>
        <w:t>。</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ascii="Times New Roman" w:hAnsi="黑体" w:eastAsia="黑体"/>
          <w:sz w:val="32"/>
          <w:szCs w:val="32"/>
        </w:rPr>
        <w:t>三、机关运行经费安排情况</w:t>
      </w:r>
    </w:p>
    <w:p>
      <w:pPr>
        <w:autoSpaceDE w:val="0"/>
        <w:autoSpaceDN w:val="0"/>
        <w:adjustRightInd w:val="0"/>
        <w:spacing w:line="584"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2020年，我部门机关运行经费共计安排</w:t>
      </w:r>
      <w:r>
        <w:rPr>
          <w:rFonts w:hint="eastAsia" w:ascii="仿宋_GB2312" w:hAnsi="仿宋_GB2312" w:eastAsia="仿宋_GB2312" w:cs="仿宋_GB2312"/>
          <w:sz w:val="32"/>
          <w:szCs w:val="32"/>
          <w:lang w:val="en-US" w:eastAsia="zh-CN"/>
        </w:rPr>
        <w:t>102.21</w:t>
      </w:r>
      <w:r>
        <w:rPr>
          <w:rFonts w:hint="eastAsia" w:ascii="仿宋_GB2312" w:hAnsi="仿宋_GB2312" w:eastAsia="仿宋_GB2312" w:cs="仿宋_GB2312"/>
          <w:sz w:val="32"/>
          <w:szCs w:val="32"/>
        </w:rPr>
        <w:t>万元，主要用于我部门的</w:t>
      </w:r>
      <w:r>
        <w:rPr>
          <w:rFonts w:hint="eastAsia" w:ascii="仿宋_GB2312" w:hAnsi="仿宋_GB2312" w:eastAsia="仿宋_GB2312" w:cs="仿宋_GB2312"/>
          <w:sz w:val="32"/>
          <w:szCs w:val="32"/>
          <w:lang w:eastAsia="zh-CN"/>
        </w:rPr>
        <w:t>办公费、印刷费、邮电费、手续费、差旅费、维修（护）费、接待费、租赁费、工会经费、福利费、公务用车运行维护费、其他交通费、办公设备购置、其他商品和服务</w:t>
      </w:r>
      <w:r>
        <w:rPr>
          <w:rFonts w:hint="eastAsia" w:ascii="仿宋_GB2312" w:hAnsi="仿宋_GB2312" w:eastAsia="仿宋_GB2312" w:cs="仿宋_GB2312"/>
          <w:sz w:val="32"/>
          <w:szCs w:val="32"/>
        </w:rPr>
        <w:t>方面等日常运行支出。</w:t>
      </w:r>
    </w:p>
    <w:p>
      <w:pPr>
        <w:autoSpaceDE w:val="0"/>
        <w:autoSpaceDN w:val="0"/>
        <w:adjustRightInd w:val="0"/>
        <w:spacing w:line="584" w:lineRule="exact"/>
        <w:ind w:firstLine="640" w:firstLineChars="200"/>
        <w:jc w:val="left"/>
        <w:rPr>
          <w:rFonts w:ascii="Times New Roman" w:hAnsi="黑体" w:eastAsia="黑体"/>
          <w:sz w:val="32"/>
          <w:szCs w:val="32"/>
        </w:rPr>
      </w:pPr>
      <w:r>
        <w:rPr>
          <w:rFonts w:ascii="Times New Roman" w:hAnsi="黑体" w:eastAsia="黑体"/>
          <w:sz w:val="32"/>
          <w:szCs w:val="32"/>
        </w:rPr>
        <w:t>四、财政拨款“三公”经费预算情况及增减变化原因</w:t>
      </w:r>
    </w:p>
    <w:p>
      <w:pPr>
        <w:spacing w:line="584"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2020年，我部门财政拨款“三公”经费预算安排7.2万元。其中，因公出国（境）费未安排；公务用车购置及运维费</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万元（其中：公务用车购置费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万元，公务用车运维费</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万元。与2019年相比减少</w:t>
      </w:r>
      <w:r>
        <w:rPr>
          <w:rFonts w:hint="eastAsia" w:ascii="仿宋_GB2312" w:hAnsi="仿宋_GB2312" w:eastAsia="仿宋_GB2312" w:cs="仿宋_GB2312"/>
          <w:sz w:val="32"/>
          <w:szCs w:val="32"/>
          <w:lang w:val="en-US" w:eastAsia="zh-CN"/>
        </w:rPr>
        <w:t>18.3</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000000"/>
          <w:sz w:val="32"/>
          <w:szCs w:val="32"/>
        </w:rPr>
        <w:t>其中，</w:t>
      </w:r>
      <w:r>
        <w:rPr>
          <w:rFonts w:hint="eastAsia" w:ascii="仿宋_GB2312" w:hAnsi="仿宋_GB2312" w:eastAsia="仿宋_GB2312" w:cs="仿宋_GB2312"/>
          <w:sz w:val="32"/>
          <w:szCs w:val="32"/>
        </w:rPr>
        <w:t>因公出国（境）费与2019年相比，无增减变化；公务用车购置及运维费减少</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auto"/>
          <w:sz w:val="32"/>
          <w:szCs w:val="32"/>
          <w:highlight w:val="none"/>
        </w:rPr>
        <w:t>，其中公务用车购置费减少</w:t>
      </w:r>
      <w:r>
        <w:rPr>
          <w:rFonts w:hint="eastAsia" w:ascii="仿宋_GB2312" w:hAnsi="仿宋_GB2312" w:eastAsia="仿宋_GB2312" w:cs="仿宋_GB2312"/>
          <w:color w:val="auto"/>
          <w:sz w:val="32"/>
          <w:szCs w:val="32"/>
          <w:highlight w:val="none"/>
          <w:lang w:val="en-US" w:eastAsia="zh-CN"/>
        </w:rPr>
        <w:t>18</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,主要原因是新车购置减少</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rPr>
        <w:t>公务用车运维费</w:t>
      </w:r>
      <w:bookmarkStart w:id="0" w:name="_Toc471398463"/>
      <w:r>
        <w:rPr>
          <w:rFonts w:hint="eastAsia" w:ascii="仿宋_GB2312" w:hAnsi="仿宋_GB2312" w:eastAsia="仿宋_GB2312" w:cs="仿宋_GB2312"/>
          <w:sz w:val="32"/>
          <w:szCs w:val="32"/>
        </w:rPr>
        <w:t>无增减变化</w:t>
      </w:r>
      <w:r>
        <w:rPr>
          <w:rFonts w:hint="eastAsia" w:ascii="仿宋_GB2312" w:hAnsi="仿宋_GB2312" w:eastAsia="仿宋_GB2312" w:cs="仿宋_GB2312"/>
          <w:sz w:val="32"/>
          <w:szCs w:val="32"/>
          <w:lang w:eastAsia="zh-CN"/>
        </w:rPr>
        <w:t>。</w:t>
      </w:r>
    </w:p>
    <w:p>
      <w:pPr>
        <w:numPr>
          <w:ilvl w:val="0"/>
          <w:numId w:val="1"/>
        </w:numPr>
        <w:spacing w:line="584" w:lineRule="exact"/>
        <w:ind w:firstLine="640" w:firstLineChars="200"/>
        <w:rPr>
          <w:rFonts w:ascii="Times New Roman" w:hAnsi="黑体" w:eastAsia="黑体"/>
          <w:sz w:val="32"/>
          <w:szCs w:val="32"/>
        </w:rPr>
      </w:pPr>
      <w:r>
        <w:rPr>
          <w:rFonts w:ascii="Times New Roman" w:hAnsi="黑体" w:eastAsia="黑体"/>
          <w:sz w:val="32"/>
          <w:szCs w:val="32"/>
        </w:rPr>
        <w:t>绩效预算信息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 部门整体绩效目标</w:t>
      </w:r>
    </w:p>
    <w:p>
      <w:pPr>
        <w:numPr>
          <w:numId w:val="0"/>
        </w:numPr>
        <w:spacing w:line="584" w:lineRule="exact"/>
        <w:rPr>
          <w:rFonts w:ascii="Times New Roman" w:hAnsi="黑体" w:eastAsia="黑体"/>
          <w:sz w:val="32"/>
          <w:szCs w:val="32"/>
        </w:rPr>
      </w:pPr>
    </w:p>
    <w:p>
      <w:pPr>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lang w:eastAsia="zh-CN"/>
        </w:rPr>
        <w:t>（一）</w:t>
      </w:r>
      <w:r>
        <w:rPr>
          <w:rFonts w:ascii="Times New Roman" w:hAnsi="Times New Roman" w:eastAsia="楷体_GB2312"/>
          <w:b/>
          <w:sz w:val="32"/>
          <w:szCs w:val="32"/>
        </w:rPr>
        <w:t>总体绩效目标：</w:t>
      </w:r>
    </w:p>
    <w:p>
      <w:pPr>
        <w:ind w:firstLine="640" w:firstLineChars="200"/>
        <w:rPr>
          <w:rFonts w:hint="eastAsia" w:ascii="仿宋_GB2312" w:hAnsi="仿宋_GB2312" w:eastAsia="仿宋_GB2312" w:cs="仿宋_GB2312"/>
          <w:sz w:val="32"/>
          <w:szCs w:val="24"/>
          <w:lang w:val="en-US" w:eastAsia="zh-CN"/>
        </w:rPr>
      </w:pPr>
      <w:r>
        <w:rPr>
          <w:rFonts w:hint="eastAsia" w:ascii="仿宋_GB2312" w:hAnsi="仿宋_GB2312" w:eastAsia="仿宋_GB2312" w:cs="仿宋_GB2312"/>
          <w:sz w:val="32"/>
          <w:szCs w:val="24"/>
        </w:rPr>
        <w:t>健全公共就业服务体系，按照统一规划指导公共就业服务信息管理</w:t>
      </w: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sz w:val="32"/>
          <w:szCs w:val="24"/>
        </w:rPr>
        <w:t>办理毕业生就业工作等</w:t>
      </w:r>
      <w:r>
        <w:rPr>
          <w:rFonts w:hint="eastAsia" w:ascii="仿宋_GB2312" w:hAnsi="仿宋_GB2312" w:eastAsia="仿宋_GB2312" w:cs="仿宋_GB2312"/>
          <w:sz w:val="32"/>
          <w:szCs w:val="24"/>
          <w:lang w:val="en-US" w:eastAsia="zh-CN"/>
        </w:rPr>
        <w:t>,实施免费的公共就业服务,提高劳动者素质，打造我县职业技术工人队伍，实现稳定就业。完成养老保险扩面征缴任务，确保养老金按时足额发放，防范基金风险，确保参保人员权益。提高工伤保险参保率，确保工伤保险待遇落实到位。失业保险费应收尽收，全县失业人员待遇落实。提高我县高技能人才的比例，培养建设高技能人才队伍,促进人力资源有效流动和合理配置,加强工资管理，确保政策落实到位。提高调解仲裁办案质量,提高劳动保障监察案件结案率,接受社会监督，为群众提供优质的政务服务。</w:t>
      </w:r>
    </w:p>
    <w:p>
      <w:pPr>
        <w:ind w:firstLine="643" w:firstLineChars="200"/>
        <w:outlineLvl w:val="0"/>
        <w:rPr>
          <w:rFonts w:ascii="Times New Roman" w:hAnsi="Times New Roman" w:eastAsia="楷体_GB2312"/>
          <w:b/>
          <w:sz w:val="32"/>
          <w:szCs w:val="32"/>
        </w:rPr>
      </w:pPr>
      <w:r>
        <w:rPr>
          <w:rFonts w:hint="eastAsia" w:ascii="Times New Roman" w:hAnsi="Times New Roman" w:eastAsia="楷体_GB2312"/>
          <w:b/>
          <w:sz w:val="32"/>
          <w:szCs w:val="32"/>
          <w:lang w:eastAsia="zh-CN"/>
        </w:rPr>
        <w:t>（二）</w:t>
      </w:r>
      <w:r>
        <w:rPr>
          <w:rFonts w:ascii="Times New Roman" w:hAnsi="Times New Roman" w:eastAsia="楷体_GB2312"/>
          <w:b/>
          <w:sz w:val="32"/>
          <w:szCs w:val="32"/>
        </w:rPr>
        <w:t>部门职责及工作活动绩效目标指标：</w:t>
      </w:r>
    </w:p>
    <w:p>
      <w:pPr>
        <w:pStyle w:val="2"/>
        <w:keepNext w:val="0"/>
        <w:keepLines w:val="0"/>
        <w:pageBreakBefore w:val="0"/>
        <w:numPr>
          <w:ilvl w:val="0"/>
          <w:numId w:val="0"/>
        </w:numPr>
        <w:tabs>
          <w:tab w:val="left" w:pos="440"/>
          <w:tab w:val="left" w:pos="880"/>
          <w:tab w:val="left" w:pos="1980"/>
        </w:tabs>
        <w:kinsoku/>
        <w:wordWrap/>
        <w:overflowPunct/>
        <w:topLinePunct w:val="0"/>
        <w:autoSpaceDE w:val="0"/>
        <w:autoSpaceDN w:val="0"/>
        <w:bidi w:val="0"/>
        <w:adjustRightInd/>
        <w:snapToGrid/>
        <w:spacing w:before="15"/>
        <w:ind w:left="1968" w:leftChars="0" w:right="0" w:rightChars="0" w:hanging="1968" w:hangingChars="615"/>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1、绩效目标：健全公共就业服务体系，按照统一规划指导公共就业服务信息管理；办理毕业生就业工作等</w:t>
      </w:r>
    </w:p>
    <w:p>
      <w:pPr>
        <w:keepNext w:val="0"/>
        <w:keepLines w:val="0"/>
        <w:pageBreakBefore w:val="0"/>
        <w:widowControl/>
        <w:tabs>
          <w:tab w:val="left" w:pos="440"/>
          <w:tab w:val="left" w:pos="840"/>
          <w:tab w:val="left" w:pos="8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snapToGrid/>
        <w:spacing w:beforeLines="0" w:afterLines="0"/>
        <w:ind w:left="1943" w:leftChars="200" w:hanging="1523" w:hangingChars="476"/>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绩效指标：公益性岗位补贴到位率</w:t>
      </w:r>
    </w:p>
    <w:p>
      <w:pPr>
        <w:keepNext w:val="0"/>
        <w:keepLines w:val="0"/>
        <w:pageBreakBefore w:val="0"/>
        <w:widowControl/>
        <w:tabs>
          <w:tab w:val="left" w:pos="440"/>
          <w:tab w:val="left" w:pos="840"/>
          <w:tab w:val="left" w:pos="8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snapToGrid/>
        <w:spacing w:beforeLines="0" w:afterLines="0"/>
        <w:ind w:left="1968" w:leftChars="0" w:hanging="1968" w:hangingChars="615"/>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2、绩效目标:实施免费的公共就业服务</w:t>
      </w:r>
    </w:p>
    <w:p>
      <w:pPr>
        <w:keepNext w:val="0"/>
        <w:keepLines w:val="0"/>
        <w:pageBreakBefore w:val="0"/>
        <w:widowControl/>
        <w:tabs>
          <w:tab w:val="left" w:pos="440"/>
          <w:tab w:val="left" w:pos="840"/>
          <w:tab w:val="left" w:pos="8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snapToGrid/>
        <w:spacing w:beforeLines="0" w:afterLines="0"/>
        <w:ind w:left="1943" w:leftChars="200" w:hanging="1523" w:hangingChars="476"/>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绩效指标：开展就业服务指导培训次数，新增就业人员数量，就业服务到位率，人事档案公共管理服务工作完成率</w:t>
      </w:r>
    </w:p>
    <w:p>
      <w:pPr>
        <w:keepNext w:val="0"/>
        <w:keepLines w:val="0"/>
        <w:pageBreakBefore w:val="0"/>
        <w:widowControl/>
        <w:tabs>
          <w:tab w:val="left" w:pos="440"/>
          <w:tab w:val="left" w:pos="840"/>
          <w:tab w:val="left" w:pos="8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snapToGrid/>
        <w:spacing w:beforeLines="0" w:afterLines="0"/>
        <w:ind w:left="1968" w:leftChars="0" w:hanging="1968" w:hangingChars="615"/>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3、绩效目标:提高劳动者素质，打造我县职业技术工人队伍，实现稳定就业</w:t>
      </w:r>
    </w:p>
    <w:p>
      <w:pPr>
        <w:keepNext w:val="0"/>
        <w:keepLines w:val="0"/>
        <w:pageBreakBefore w:val="0"/>
        <w:widowControl/>
        <w:tabs>
          <w:tab w:val="left" w:pos="440"/>
          <w:tab w:val="left" w:pos="840"/>
          <w:tab w:val="left" w:pos="8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snapToGrid/>
        <w:spacing w:beforeLines="0" w:afterLines="0"/>
        <w:ind w:left="1943" w:leftChars="200" w:hanging="1523" w:hangingChars="476"/>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绩效指标：职业培训人数</w:t>
      </w:r>
    </w:p>
    <w:p>
      <w:pPr>
        <w:keepNext w:val="0"/>
        <w:keepLines w:val="0"/>
        <w:pageBreakBefore w:val="0"/>
        <w:widowControl/>
        <w:tabs>
          <w:tab w:val="left" w:pos="440"/>
          <w:tab w:val="left" w:pos="840"/>
          <w:tab w:val="left" w:pos="8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snapToGrid/>
        <w:spacing w:beforeLines="0" w:afterLines="0"/>
        <w:ind w:left="1968" w:leftChars="0" w:hanging="1968" w:hangingChars="615"/>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4、绩效目标:完成养老保险扩面征缴任务，确保养老金按时足额发放，防范基金风险，确保参保人员权益</w:t>
      </w:r>
    </w:p>
    <w:p>
      <w:pPr>
        <w:keepNext w:val="0"/>
        <w:keepLines w:val="0"/>
        <w:pageBreakBefore w:val="0"/>
        <w:widowControl/>
        <w:tabs>
          <w:tab w:val="left" w:pos="440"/>
          <w:tab w:val="left" w:pos="840"/>
          <w:tab w:val="left" w:pos="880"/>
          <w:tab w:val="left" w:pos="1260"/>
          <w:tab w:val="left" w:pos="1680"/>
          <w:tab w:val="left" w:pos="198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snapToGrid/>
        <w:spacing w:beforeLines="0" w:afterLines="0"/>
        <w:ind w:left="1946" w:leftChars="200" w:hanging="1526" w:hangingChars="477"/>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绩效指标：养老保险扩面任务完成率，征缴任务完成率，养老金发放到位率</w:t>
      </w:r>
    </w:p>
    <w:p>
      <w:pPr>
        <w:keepNext w:val="0"/>
        <w:keepLines w:val="0"/>
        <w:pageBreakBefore w:val="0"/>
        <w:widowControl/>
        <w:tabs>
          <w:tab w:val="left" w:pos="440"/>
          <w:tab w:val="left" w:pos="840"/>
          <w:tab w:val="left" w:pos="8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snapToGrid/>
        <w:spacing w:beforeLines="0" w:afterLines="0"/>
        <w:ind w:left="1968" w:leftChars="0" w:hanging="1968" w:hangingChars="615"/>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5、绩效目标:提高工伤保险参保率，确保工伤保险待遇落实到位</w:t>
      </w:r>
    </w:p>
    <w:p>
      <w:pPr>
        <w:keepNext w:val="0"/>
        <w:keepLines w:val="0"/>
        <w:pageBreakBefore w:val="0"/>
        <w:widowControl/>
        <w:tabs>
          <w:tab w:val="left" w:pos="440"/>
          <w:tab w:val="left" w:pos="840"/>
          <w:tab w:val="left" w:pos="8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snapToGrid/>
        <w:spacing w:beforeLines="0" w:afterLines="0"/>
        <w:ind w:left="1946" w:leftChars="200" w:hanging="1526" w:hangingChars="477"/>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绩效指标：工伤保险国家计划完成率，已参保的工伤保险待遇到位率</w:t>
      </w:r>
    </w:p>
    <w:p>
      <w:pPr>
        <w:keepNext w:val="0"/>
        <w:keepLines w:val="0"/>
        <w:pageBreakBefore w:val="0"/>
        <w:widowControl/>
        <w:tabs>
          <w:tab w:val="left" w:pos="440"/>
          <w:tab w:val="left" w:pos="840"/>
          <w:tab w:val="left" w:pos="8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snapToGrid/>
        <w:spacing w:beforeLines="0" w:afterLines="0"/>
        <w:ind w:left="1968" w:leftChars="0" w:hanging="1968" w:hangingChars="615"/>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6、绩效目标:失业保险费应收尽收，全县失业人员待遇落实。</w:t>
      </w:r>
    </w:p>
    <w:p>
      <w:pPr>
        <w:keepNext w:val="0"/>
        <w:keepLines w:val="0"/>
        <w:pageBreakBefore w:val="0"/>
        <w:widowControl/>
        <w:tabs>
          <w:tab w:val="left" w:pos="440"/>
          <w:tab w:val="left" w:pos="840"/>
          <w:tab w:val="left" w:pos="8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snapToGrid/>
        <w:spacing w:beforeLines="0" w:afterLines="0"/>
        <w:ind w:left="1946" w:leftChars="200" w:hanging="1526" w:hangingChars="477"/>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绩效指标:失业保险征收完成率</w:t>
      </w:r>
    </w:p>
    <w:p>
      <w:pPr>
        <w:keepNext w:val="0"/>
        <w:keepLines w:val="0"/>
        <w:pageBreakBefore w:val="0"/>
        <w:widowControl/>
        <w:tabs>
          <w:tab w:val="left" w:pos="440"/>
          <w:tab w:val="left" w:pos="840"/>
          <w:tab w:val="left" w:pos="8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snapToGrid/>
        <w:spacing w:beforeLines="0" w:afterLines="0"/>
        <w:ind w:left="1968" w:leftChars="0" w:hanging="1968" w:hangingChars="615"/>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7、绩效目标:加强工资管理，确保政策落实到位；与预算编制对接，实现高效快捷审核</w:t>
      </w:r>
    </w:p>
    <w:p>
      <w:pPr>
        <w:keepNext w:val="0"/>
        <w:keepLines w:val="0"/>
        <w:pageBreakBefore w:val="0"/>
        <w:widowControl/>
        <w:tabs>
          <w:tab w:val="left" w:pos="440"/>
          <w:tab w:val="left" w:pos="840"/>
          <w:tab w:val="left" w:pos="8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snapToGrid/>
        <w:spacing w:beforeLines="0" w:afterLines="0"/>
        <w:ind w:left="1946" w:leftChars="200" w:hanging="1526" w:hangingChars="477"/>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绩效指标：工资政策落实率,退休手续办理及时率</w:t>
      </w:r>
    </w:p>
    <w:p>
      <w:pPr>
        <w:keepNext w:val="0"/>
        <w:keepLines w:val="0"/>
        <w:pageBreakBefore w:val="0"/>
        <w:widowControl/>
        <w:tabs>
          <w:tab w:val="left" w:pos="440"/>
          <w:tab w:val="left" w:pos="840"/>
          <w:tab w:val="left" w:pos="8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snapToGrid/>
        <w:spacing w:beforeLines="0" w:afterLines="0"/>
        <w:ind w:left="1968" w:leftChars="0" w:hanging="1968" w:hangingChars="615"/>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8、绩效目标:提高调解仲裁办案质量</w:t>
      </w:r>
    </w:p>
    <w:p>
      <w:pPr>
        <w:keepNext w:val="0"/>
        <w:keepLines w:val="0"/>
        <w:pageBreakBefore w:val="0"/>
        <w:widowControl/>
        <w:tabs>
          <w:tab w:val="left" w:pos="440"/>
          <w:tab w:val="left" w:pos="840"/>
          <w:tab w:val="left" w:pos="8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snapToGrid/>
        <w:spacing w:beforeLines="0" w:afterLines="0"/>
        <w:ind w:left="1946" w:leftChars="200" w:hanging="1526" w:hangingChars="477"/>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绩效指标:劳动仲裁到期结案率</w:t>
      </w:r>
    </w:p>
    <w:p>
      <w:pPr>
        <w:keepNext w:val="0"/>
        <w:keepLines w:val="0"/>
        <w:pageBreakBefore w:val="0"/>
        <w:widowControl/>
        <w:tabs>
          <w:tab w:val="left" w:pos="440"/>
          <w:tab w:val="left" w:pos="840"/>
          <w:tab w:val="left" w:pos="8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snapToGrid/>
        <w:spacing w:beforeLines="0" w:afterLines="0"/>
        <w:ind w:left="1968" w:leftChars="0" w:hanging="1968" w:hangingChars="615"/>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9、绩效目标:提高劳动保障监察案件结案率</w:t>
      </w:r>
    </w:p>
    <w:p>
      <w:pPr>
        <w:keepNext w:val="0"/>
        <w:keepLines w:val="0"/>
        <w:pageBreakBefore w:val="0"/>
        <w:widowControl/>
        <w:tabs>
          <w:tab w:val="left" w:pos="440"/>
          <w:tab w:val="left" w:pos="840"/>
          <w:tab w:val="left" w:pos="8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snapToGrid/>
        <w:spacing w:beforeLines="0" w:afterLines="0"/>
        <w:ind w:left="1946" w:leftChars="200" w:hanging="1526" w:hangingChars="477"/>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绩效指标:劳动保障监察案件结案率</w:t>
      </w:r>
    </w:p>
    <w:p>
      <w:pPr>
        <w:keepNext w:val="0"/>
        <w:keepLines w:val="0"/>
        <w:pageBreakBefore w:val="0"/>
        <w:widowControl/>
        <w:tabs>
          <w:tab w:val="left" w:pos="440"/>
          <w:tab w:val="left" w:pos="660"/>
          <w:tab w:val="left" w:pos="840"/>
          <w:tab w:val="left" w:pos="8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snapToGrid/>
        <w:spacing w:beforeLines="0" w:afterLines="0"/>
        <w:ind w:left="1968" w:leftChars="0" w:hanging="1968" w:hangingChars="615"/>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10、绩效目标:保障机关正常运转</w:t>
      </w:r>
    </w:p>
    <w:p>
      <w:pPr>
        <w:keepNext w:val="0"/>
        <w:keepLines w:val="0"/>
        <w:pageBreakBefore w:val="0"/>
        <w:widowControl/>
        <w:tabs>
          <w:tab w:val="left" w:pos="440"/>
          <w:tab w:val="left" w:pos="840"/>
          <w:tab w:val="left" w:pos="88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snapToGrid/>
        <w:spacing w:beforeLines="0" w:afterLines="0"/>
        <w:ind w:left="1946" w:leftChars="200" w:hanging="1526" w:hangingChars="477"/>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绩效指标:综合事务管理工作完成率</w:t>
      </w:r>
    </w:p>
    <w:p>
      <w:pPr>
        <w:keepNext w:val="0"/>
        <w:keepLines w:val="0"/>
        <w:pageBreakBefore w:val="0"/>
        <w:tabs>
          <w:tab w:val="left" w:pos="440"/>
        </w:tabs>
        <w:kinsoku/>
        <w:wordWrap/>
        <w:overflowPunct/>
        <w:topLinePunct w:val="0"/>
        <w:autoSpaceDE w:val="0"/>
        <w:autoSpaceDN w:val="0"/>
        <w:bidi w:val="0"/>
        <w:adjustRightInd/>
        <w:snapToGrid/>
        <w:spacing w:after="0"/>
        <w:jc w:val="left"/>
        <w:textAlignment w:val="auto"/>
        <w:outlineLvl w:val="9"/>
        <w:rPr>
          <w:rFonts w:hint="eastAsia" w:ascii="仿宋_GB2312" w:hAnsi="仿宋_GB2312" w:eastAsia="仿宋_GB2312" w:cs="仿宋_GB2312"/>
          <w:kern w:val="2"/>
          <w:sz w:val="32"/>
          <w:szCs w:val="24"/>
          <w:lang w:val="en-US" w:eastAsia="zh-CN" w:bidi="ar-SA"/>
        </w:rPr>
      </w:pPr>
    </w:p>
    <w:p>
      <w:pPr>
        <w:keepNext w:val="0"/>
        <w:keepLines w:val="0"/>
        <w:pageBreakBefore w:val="0"/>
        <w:tabs>
          <w:tab w:val="left" w:pos="440"/>
        </w:tabs>
        <w:kinsoku/>
        <w:wordWrap/>
        <w:overflowPunct/>
        <w:topLinePunct w:val="0"/>
        <w:autoSpaceDE w:val="0"/>
        <w:autoSpaceDN w:val="0"/>
        <w:bidi w:val="0"/>
        <w:adjustRightInd/>
        <w:snapToGrid/>
        <w:spacing w:after="0"/>
        <w:jc w:val="left"/>
        <w:textAlignment w:val="auto"/>
        <w:outlineLvl w:val="9"/>
        <w:rPr>
          <w:rFonts w:hint="eastAsia" w:ascii="仿宋_GB2312" w:hAnsi="仿宋_GB2312" w:eastAsia="仿宋_GB2312" w:cs="仿宋_GB2312"/>
          <w:kern w:val="2"/>
          <w:sz w:val="32"/>
          <w:szCs w:val="24"/>
          <w:lang w:val="en-US" w:eastAsia="zh-CN" w:bidi="ar-SA"/>
        </w:rPr>
      </w:pPr>
      <w:r>
        <w:rPr>
          <w:rFonts w:hint="eastAsia" w:ascii="Times New Roman" w:hAnsi="Times New Roman" w:eastAsia="楷体_GB2312"/>
          <w:b/>
          <w:sz w:val="32"/>
          <w:szCs w:val="32"/>
          <w:lang w:val="en-US" w:eastAsia="zh-CN"/>
        </w:rPr>
        <w:t>（三）工作保障措施</w:t>
      </w:r>
    </w:p>
    <w:p>
      <w:pPr>
        <w:keepNext w:val="0"/>
        <w:keepLines w:val="0"/>
        <w:pageBreakBefore w:val="0"/>
        <w:tabs>
          <w:tab w:val="left" w:pos="440"/>
        </w:tabs>
        <w:kinsoku/>
        <w:wordWrap/>
        <w:overflowPunct/>
        <w:topLinePunct w:val="0"/>
        <w:autoSpaceDE w:val="0"/>
        <w:autoSpaceDN w:val="0"/>
        <w:bidi w:val="0"/>
        <w:adjustRightInd/>
        <w:snapToGrid/>
        <w:spacing w:after="0"/>
        <w:ind w:firstLine="640" w:firstLineChars="200"/>
        <w:jc w:val="left"/>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一、强化“两服务”：公共就业服务和人才服务。</w:t>
      </w:r>
    </w:p>
    <w:p>
      <w:pPr>
        <w:keepNext w:val="0"/>
        <w:keepLines w:val="0"/>
        <w:pageBreakBefore w:val="0"/>
        <w:tabs>
          <w:tab w:val="left" w:pos="440"/>
        </w:tabs>
        <w:kinsoku/>
        <w:wordWrap/>
        <w:overflowPunct/>
        <w:topLinePunct w:val="0"/>
        <w:autoSpaceDE w:val="0"/>
        <w:autoSpaceDN w:val="0"/>
        <w:bidi w:val="0"/>
        <w:adjustRightInd/>
        <w:snapToGrid/>
        <w:spacing w:after="0"/>
        <w:ind w:firstLine="640" w:firstLineChars="200"/>
        <w:jc w:val="left"/>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（一）强化公共就业服务</w:t>
      </w:r>
    </w:p>
    <w:p>
      <w:pPr>
        <w:keepNext w:val="0"/>
        <w:keepLines w:val="0"/>
        <w:pageBreakBefore w:val="0"/>
        <w:tabs>
          <w:tab w:val="left" w:pos="440"/>
        </w:tabs>
        <w:kinsoku/>
        <w:wordWrap/>
        <w:overflowPunct/>
        <w:topLinePunct w:val="0"/>
        <w:autoSpaceDE w:val="0"/>
        <w:autoSpaceDN w:val="0"/>
        <w:bidi w:val="0"/>
        <w:adjustRightInd/>
        <w:snapToGrid/>
        <w:spacing w:after="0"/>
        <w:ind w:firstLine="640" w:firstLineChars="200"/>
        <w:jc w:val="left"/>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一是全力做好促就业工作。深入实施就业优先战略和更加积极的就业政策，进一步完善公共就业服务，立足我县主导行业发展，积极组织召开招聘洽谈会、专场招聘会，促进城乡劳动者就业。进一步完善高校毕业生就业服务，落实离校未就业高校毕业生实名登记，加强分类指导，提供有针对性的就业、培训和见习服务，促进高校毕业生多渠道就业。做好就业援助工作，加大公益性岗位开发力度，帮助就业困难人员实现就业。同时，结合县内主导产业岗位供需情况，加大力度开展职业技能培训，并为培训合格人员进行职业技能鉴定，严明鉴定考试纪律，提高培训鉴定工作质量，进一步提高劳动者技能水平。落实失业保险支持企业稳岗政策，进一步增加就业稳定性。</w:t>
      </w:r>
    </w:p>
    <w:p>
      <w:pPr>
        <w:keepNext w:val="0"/>
        <w:keepLines w:val="0"/>
        <w:pageBreakBefore w:val="0"/>
        <w:tabs>
          <w:tab w:val="left" w:pos="440"/>
        </w:tabs>
        <w:kinsoku/>
        <w:wordWrap/>
        <w:overflowPunct/>
        <w:topLinePunct w:val="0"/>
        <w:autoSpaceDE w:val="0"/>
        <w:autoSpaceDN w:val="0"/>
        <w:bidi w:val="0"/>
        <w:adjustRightInd/>
        <w:snapToGrid/>
        <w:spacing w:after="0"/>
        <w:ind w:firstLine="640" w:firstLineChars="200"/>
        <w:jc w:val="left"/>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二是鼓励全民创业，坚持创业带动就业。开展创业培训专项行动，推进优质创业培训资源下基层，对有培训需求的创业人员开展创业培训，进一步规避创业风险，提高创业成功率。建立创业贷款担保基金持续补充机制，充分发挥创业担保贷款政策在扶持创业方面的作用，为符合条件的创业人员提供资金支持。同时，推进创业孵化基地建设，为劳动者创业提供低成本、便利化、全要素的开放式综合服务平台，积极开拓众创空间。</w:t>
      </w:r>
    </w:p>
    <w:p>
      <w:pPr>
        <w:keepNext w:val="0"/>
        <w:keepLines w:val="0"/>
        <w:pageBreakBefore w:val="0"/>
        <w:tabs>
          <w:tab w:val="left" w:pos="440"/>
        </w:tabs>
        <w:kinsoku/>
        <w:wordWrap/>
        <w:overflowPunct/>
        <w:topLinePunct w:val="0"/>
        <w:autoSpaceDE w:val="0"/>
        <w:autoSpaceDN w:val="0"/>
        <w:bidi w:val="0"/>
        <w:adjustRightInd/>
        <w:snapToGrid/>
        <w:spacing w:after="0"/>
        <w:ind w:firstLine="640" w:firstLineChars="200"/>
        <w:jc w:val="left"/>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（二）强化人才服务</w:t>
      </w:r>
    </w:p>
    <w:p>
      <w:pPr>
        <w:keepNext w:val="0"/>
        <w:keepLines w:val="0"/>
        <w:pageBreakBefore w:val="0"/>
        <w:tabs>
          <w:tab w:val="left" w:pos="440"/>
        </w:tabs>
        <w:kinsoku/>
        <w:wordWrap/>
        <w:overflowPunct/>
        <w:topLinePunct w:val="0"/>
        <w:autoSpaceDE w:val="0"/>
        <w:autoSpaceDN w:val="0"/>
        <w:bidi w:val="0"/>
        <w:adjustRightInd/>
        <w:snapToGrid/>
        <w:spacing w:after="0"/>
        <w:ind w:firstLine="640" w:firstLineChars="200"/>
        <w:jc w:val="left"/>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一是进一步提升人才服务。积极宣传我县人事代理政策，做好档案接收工作，为有需要的毕业生提供人事代理服务。组织高校毕业生参加现场与网上人才交流洽谈会，积极引导高校毕业生面向企业和基层就业。严格职称申报条件，进一步规范职称评审流程，确保职称评审公平、公正，</w:t>
      </w:r>
    </w:p>
    <w:p>
      <w:pPr>
        <w:keepNext w:val="0"/>
        <w:keepLines w:val="0"/>
        <w:pageBreakBefore w:val="0"/>
        <w:tabs>
          <w:tab w:val="left" w:pos="440"/>
        </w:tabs>
        <w:kinsoku/>
        <w:wordWrap/>
        <w:overflowPunct/>
        <w:topLinePunct w:val="0"/>
        <w:autoSpaceDE w:val="0"/>
        <w:autoSpaceDN w:val="0"/>
        <w:bidi w:val="0"/>
        <w:adjustRightInd/>
        <w:snapToGrid/>
        <w:spacing w:after="0"/>
        <w:jc w:val="left"/>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服务好我县专业技术人才。</w:t>
      </w:r>
    </w:p>
    <w:p>
      <w:pPr>
        <w:keepNext w:val="0"/>
        <w:keepLines w:val="0"/>
        <w:pageBreakBefore w:val="0"/>
        <w:tabs>
          <w:tab w:val="left" w:pos="440"/>
        </w:tabs>
        <w:kinsoku/>
        <w:wordWrap/>
        <w:overflowPunct/>
        <w:topLinePunct w:val="0"/>
        <w:autoSpaceDE w:val="0"/>
        <w:autoSpaceDN w:val="0"/>
        <w:bidi w:val="0"/>
        <w:adjustRightInd/>
        <w:snapToGrid/>
        <w:spacing w:after="0"/>
        <w:ind w:firstLine="640" w:firstLineChars="200"/>
        <w:jc w:val="left"/>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二是进一步引进人才。强化人才引进工作举措，以我县行业发展为导向，立足企业需求，发挥人才市场导向作用的同时，主动加强与县域内重点项目、企事业单位的联系，收集掌握企业人才需求的动态信息，帮助企业引进急需型、适用型人才。</w:t>
      </w:r>
    </w:p>
    <w:p>
      <w:pPr>
        <w:keepNext w:val="0"/>
        <w:keepLines w:val="0"/>
        <w:pageBreakBefore w:val="0"/>
        <w:tabs>
          <w:tab w:val="left" w:pos="440"/>
        </w:tabs>
        <w:kinsoku/>
        <w:wordWrap/>
        <w:overflowPunct/>
        <w:topLinePunct w:val="0"/>
        <w:autoSpaceDE w:val="0"/>
        <w:autoSpaceDN w:val="0"/>
        <w:bidi w:val="0"/>
        <w:adjustRightInd/>
        <w:snapToGrid/>
        <w:spacing w:after="0"/>
        <w:ind w:firstLine="640" w:firstLineChars="200"/>
        <w:jc w:val="left"/>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二、抓好“一保障”：即进一步完善城乡社会保障体系。</w:t>
      </w:r>
    </w:p>
    <w:p>
      <w:pPr>
        <w:keepNext w:val="0"/>
        <w:keepLines w:val="0"/>
        <w:pageBreakBefore w:val="0"/>
        <w:tabs>
          <w:tab w:val="left" w:pos="440"/>
        </w:tabs>
        <w:kinsoku/>
        <w:wordWrap/>
        <w:overflowPunct/>
        <w:topLinePunct w:val="0"/>
        <w:autoSpaceDE w:val="0"/>
        <w:autoSpaceDN w:val="0"/>
        <w:bidi w:val="0"/>
        <w:adjustRightInd/>
        <w:snapToGrid/>
        <w:spacing w:after="0"/>
        <w:ind w:firstLine="640" w:firstLineChars="200"/>
        <w:jc w:val="left"/>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一）做实做细扩面、征缴工作，进一步扩大覆盖面。进一步做好养老保险、工伤保险、失业保险的扩面征缴工作，确保圆满完成上级下达的任务目标。以扩面、基金征收工作为重点，进一步扩大社会保险覆盖面，做到应保尽保、应收尽收。</w:t>
      </w:r>
    </w:p>
    <w:p>
      <w:pPr>
        <w:keepNext w:val="0"/>
        <w:keepLines w:val="0"/>
        <w:pageBreakBefore w:val="0"/>
        <w:tabs>
          <w:tab w:val="left" w:pos="440"/>
        </w:tabs>
        <w:kinsoku/>
        <w:wordWrap/>
        <w:overflowPunct/>
        <w:topLinePunct w:val="0"/>
        <w:autoSpaceDE w:val="0"/>
        <w:autoSpaceDN w:val="0"/>
        <w:bidi w:val="0"/>
        <w:adjustRightInd/>
        <w:snapToGrid/>
        <w:spacing w:after="0"/>
        <w:ind w:firstLine="640" w:firstLineChars="200"/>
        <w:jc w:val="left"/>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二）进一步提升社会保障服务水平和保障能力。按照要求，做好养老金、丧葬补助金、工伤职工待遇、失业金审核发放工作，确保各项社保待遇按时足额发放。进一步规范养老保险关系转移接续、工伤待遇审批等工作流程，提升服务水平。严格按政策规定审核各项待遇，规范基金支付，防止基金流失，确保基金安全。同时，按照上级政策要求，做好相关待遇调整工作。持续做好社会保险待遇类信访问题及相关历史遗留问题的处理工作，积极化解矛盾，维护社会稳定。</w:t>
      </w:r>
    </w:p>
    <w:p>
      <w:pPr>
        <w:keepNext w:val="0"/>
        <w:keepLines w:val="0"/>
        <w:pageBreakBefore w:val="0"/>
        <w:tabs>
          <w:tab w:val="left" w:pos="440"/>
        </w:tabs>
        <w:kinsoku/>
        <w:wordWrap/>
        <w:overflowPunct/>
        <w:topLinePunct w:val="0"/>
        <w:autoSpaceDE w:val="0"/>
        <w:autoSpaceDN w:val="0"/>
        <w:bidi w:val="0"/>
        <w:adjustRightInd/>
        <w:snapToGrid/>
        <w:spacing w:after="0"/>
        <w:ind w:firstLine="640" w:firstLineChars="200"/>
        <w:jc w:val="left"/>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三、加强“两建设”：和谐劳动关系建设和人社机关建设。</w:t>
      </w:r>
    </w:p>
    <w:p>
      <w:pPr>
        <w:keepNext w:val="0"/>
        <w:keepLines w:val="0"/>
        <w:pageBreakBefore w:val="0"/>
        <w:tabs>
          <w:tab w:val="left" w:pos="440"/>
        </w:tabs>
        <w:kinsoku/>
        <w:wordWrap/>
        <w:overflowPunct/>
        <w:topLinePunct w:val="0"/>
        <w:autoSpaceDE w:val="0"/>
        <w:autoSpaceDN w:val="0"/>
        <w:bidi w:val="0"/>
        <w:adjustRightInd/>
        <w:snapToGrid/>
        <w:spacing w:after="0"/>
        <w:ind w:firstLine="640" w:firstLineChars="200"/>
        <w:jc w:val="left"/>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一）加强和谐劳动关系建设。一是依法保障农民工工资报酬权益。一方面，加大劳动监察执法力度，通过开展农民工工资支付专项检查及不定期的日常巡查，对欠薪问题做到早发现、早预防、早处置。进一步建立健全农民工工资保证金、工工资预储金、应急周转金制度，建立农民工工资风险监测预警机制。另一方面，妥善处理欠薪案件。畅通渠道，对举报投诉案件，符合条件的及时立案，及时调查，及时办理。二是做好劳动争议仲裁调解，维护劳动者合法权益。强化基层调解组织建设，提高基层解决劳动争议能力。加强劳动人事争议调解仲裁机构建设，提升调解员和仲裁员队伍专业化水平。畅通举报投诉渠道，认真接待群众来信、来电和来访，按照“调裁结合、以调为主”原则，妥善调处劳动争议案件，依法维护劳动者合法权益。</w:t>
      </w:r>
    </w:p>
    <w:p>
      <w:pPr>
        <w:keepNext w:val="0"/>
        <w:keepLines w:val="0"/>
        <w:pageBreakBefore w:val="0"/>
        <w:tabs>
          <w:tab w:val="left" w:pos="440"/>
        </w:tabs>
        <w:kinsoku/>
        <w:wordWrap/>
        <w:overflowPunct/>
        <w:topLinePunct w:val="0"/>
        <w:autoSpaceDE w:val="0"/>
        <w:autoSpaceDN w:val="0"/>
        <w:bidi w:val="0"/>
        <w:adjustRightInd/>
        <w:snapToGrid/>
        <w:spacing w:after="0"/>
        <w:ind w:firstLine="640" w:firstLineChars="200"/>
        <w:jc w:val="left"/>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二）加强机关自身建设。一是深化干部学习教育。深入开展干部职工学习教育，坚持干部职工学习制度，组织干部职工认真学习习近平总书记系列讲话精神，学习十八届历次全会、省委八届十二次全会、市委五届八次全会和县委十一届七次全会精神等，学习上级相关纪律要求、法律法规及规章制度，学习人社最新政策法规、上级文件精神及业务知识，进一步提升人员素质，努力打造一支“作风硬，业务精，服务优”的干部队伍。二是进一步改善服务环境。从硬件和软件建设入手，进一步优化办事环境，树立“人人是窗口，处处是窗口”的服务理念，模范执行人社系统窗口单位服务规范，大力推行“五制度、四公开、三亮明、四杜绝”为主体的“5434”工作方法，努力使服务环境更优，效率更高，质量更好，群众满意度更高。三是深入推进党风廉政建设。局领导班子成员和党支部要牢固树立“抓党风廉政建设是本职、不抓是失职、抓不好就是渎职”的理念，适应党风廉政建设新常态，全面落实“一岗双责”责任制，统筹抓好全局党风廉政建设，紧盯关键环节和重点部位，强化日常监督检查，加强作风建设，深化党务、政务公开，为全面落实各项人社工作提供强有力的组织保证。</w:t>
      </w:r>
    </w:p>
    <w:p>
      <w:pPr>
        <w:keepNext w:val="0"/>
        <w:keepLines w:val="0"/>
        <w:pageBreakBefore w:val="0"/>
        <w:tabs>
          <w:tab w:val="left" w:pos="440"/>
        </w:tabs>
        <w:kinsoku/>
        <w:wordWrap/>
        <w:overflowPunct/>
        <w:topLinePunct w:val="0"/>
        <w:autoSpaceDE w:val="0"/>
        <w:autoSpaceDN w:val="0"/>
        <w:bidi w:val="0"/>
        <w:adjustRightInd/>
        <w:snapToGrid/>
        <w:spacing w:after="0"/>
        <w:ind w:firstLine="640" w:firstLineChars="200"/>
        <w:jc w:val="left"/>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四、规范“一管理”：即进一步规范人事管理。</w:t>
      </w:r>
    </w:p>
    <w:p>
      <w:pPr>
        <w:keepNext w:val="0"/>
        <w:keepLines w:val="0"/>
        <w:pageBreakBefore w:val="0"/>
        <w:tabs>
          <w:tab w:val="left" w:pos="440"/>
        </w:tabs>
        <w:kinsoku/>
        <w:wordWrap/>
        <w:overflowPunct/>
        <w:topLinePunct w:val="0"/>
        <w:autoSpaceDE w:val="0"/>
        <w:autoSpaceDN w:val="0"/>
        <w:bidi w:val="0"/>
        <w:adjustRightInd/>
        <w:snapToGrid/>
        <w:spacing w:after="0"/>
        <w:ind w:firstLine="640" w:firstLineChars="200"/>
        <w:jc w:val="left"/>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一）做好考核任免工作。按照省市有关文件规定要求，认真细致地做好行政事业单位年度考核工作，做到公开、公平、公正，确保奖励、惩戒到位。严格按规范的程序操作，严格审查拟任人员的职数、资格等客观条件，深入核实干部人事档案，进一步规范股级干部任免工作。</w:t>
      </w:r>
    </w:p>
    <w:p>
      <w:pPr>
        <w:keepNext w:val="0"/>
        <w:keepLines w:val="0"/>
        <w:pageBreakBefore w:val="0"/>
        <w:tabs>
          <w:tab w:val="left" w:pos="440"/>
        </w:tabs>
        <w:kinsoku/>
        <w:wordWrap/>
        <w:overflowPunct/>
        <w:topLinePunct w:val="0"/>
        <w:autoSpaceDE w:val="0"/>
        <w:autoSpaceDN w:val="0"/>
        <w:bidi w:val="0"/>
        <w:adjustRightInd/>
        <w:snapToGrid/>
        <w:spacing w:after="0"/>
        <w:ind w:firstLine="640" w:firstLineChars="200"/>
        <w:jc w:val="left"/>
        <w:textAlignment w:val="auto"/>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二）进一步规范事业单位人员管理。深入贯彻落实《事业单位人事管理条例》，规范事业单位人事管理，推进事业单位人事制度改革，全面推行事业单位人员岗位管理。保持好目前我县事业单位工作人员岗位聘用工作的良好态势，继续稳步推进岗位聘用工作，加强聘用合同管理，实现岗位聘用工作的规范化、制度化。</w:t>
      </w:r>
    </w:p>
    <w:p>
      <w:pPr>
        <w:keepNext w:val="0"/>
        <w:keepLines w:val="0"/>
        <w:pageBreakBefore w:val="0"/>
        <w:tabs>
          <w:tab w:val="left" w:pos="440"/>
        </w:tabs>
        <w:kinsoku/>
        <w:wordWrap/>
        <w:overflowPunct/>
        <w:topLinePunct w:val="0"/>
        <w:autoSpaceDE w:val="0"/>
        <w:autoSpaceDN w:val="0"/>
        <w:bidi w:val="0"/>
        <w:adjustRightInd/>
        <w:snapToGrid/>
        <w:spacing w:after="0"/>
        <w:ind w:firstLine="640" w:firstLineChars="200"/>
        <w:jc w:val="left"/>
        <w:textAlignment w:val="auto"/>
        <w:outlineLvl w:val="9"/>
        <w:rPr>
          <w:rFonts w:hint="eastAsia" w:ascii="仿宋_GB2312" w:hAnsi="仿宋_GB2312" w:eastAsia="仿宋_GB2312" w:cs="仿宋_GB2312"/>
          <w:kern w:val="2"/>
          <w:sz w:val="32"/>
          <w:szCs w:val="24"/>
          <w:lang w:val="en-US" w:eastAsia="zh-CN" w:bidi="ar-SA"/>
        </w:rPr>
        <w:sectPr>
          <w:pgSz w:w="16840" w:h="11910" w:orient="landscape"/>
          <w:pgMar w:top="1400" w:right="1580" w:bottom="1200" w:left="1720" w:header="0" w:footer="1537" w:gutter="0"/>
          <w:cols w:space="720" w:num="1"/>
          <w:docGrid w:type="lines" w:linePitch="312" w:charSpace="0"/>
        </w:sectPr>
      </w:pPr>
      <w:r>
        <w:rPr>
          <w:rFonts w:hint="eastAsia" w:ascii="仿宋_GB2312" w:hAnsi="仿宋_GB2312" w:eastAsia="仿宋_GB2312" w:cs="仿宋_GB2312"/>
          <w:kern w:val="2"/>
          <w:sz w:val="32"/>
          <w:szCs w:val="24"/>
          <w:lang w:val="en-US" w:eastAsia="zh-CN" w:bidi="ar-SA"/>
        </w:rPr>
        <w:t>（三）进一步规范事业单位公开招聘工作。按照我县事业单位公开招聘工作人员实施办法的要求，做好事业单位公开招聘工作，充实我县事业单位工作人员队伍，优化事业单位人员结构。</w:t>
      </w:r>
    </w:p>
    <w:bookmarkEnd w:id="0"/>
    <w:p>
      <w:pPr>
        <w:numPr>
          <w:ilvl w:val="0"/>
          <w:numId w:val="2"/>
        </w:numPr>
        <w:tabs>
          <w:tab w:val="left" w:pos="589"/>
        </w:tabs>
        <w:spacing w:line="584" w:lineRule="exact"/>
        <w:ind w:firstLine="640" w:firstLineChars="200"/>
        <w:rPr>
          <w:rFonts w:hint="eastAsia" w:ascii="Times New Roman" w:hAnsi="黑体" w:eastAsia="黑体"/>
          <w:sz w:val="32"/>
          <w:szCs w:val="32"/>
        </w:rPr>
      </w:pPr>
      <w:r>
        <w:rPr>
          <w:rFonts w:hint="eastAsia" w:ascii="Times New Roman" w:hAnsi="黑体" w:eastAsia="黑体"/>
          <w:sz w:val="32"/>
          <w:szCs w:val="32"/>
        </w:rPr>
        <w:t>资金绩效目标</w:t>
      </w:r>
    </w:p>
    <w:tbl>
      <w:tblPr>
        <w:tblStyle w:val="5"/>
        <w:tblW w:w="144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79"/>
        <w:gridCol w:w="1328"/>
        <w:gridCol w:w="369"/>
        <w:gridCol w:w="1400"/>
        <w:gridCol w:w="369"/>
        <w:gridCol w:w="3698"/>
        <w:gridCol w:w="369"/>
        <w:gridCol w:w="959"/>
        <w:gridCol w:w="375"/>
        <w:gridCol w:w="524"/>
        <w:gridCol w:w="370"/>
        <w:gridCol w:w="1697"/>
        <w:gridCol w:w="369"/>
        <w:gridCol w:w="1081"/>
        <w:gridCol w:w="3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358" w:type="dxa"/>
          <w:trHeight w:val="600" w:hRule="atLeast"/>
        </w:trPr>
        <w:tc>
          <w:tcPr>
            <w:tcW w:w="14087" w:type="dxa"/>
            <w:gridSpan w:val="14"/>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kern w:val="0"/>
                <w:sz w:val="28"/>
                <w:szCs w:val="2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1、安监经费项目绩效目标表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286" w:hRule="atLeast"/>
        </w:trPr>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08"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增强安全生产意识，确保局内安全生产设施稳定运行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375" w:hRule="atLeast"/>
        </w:trPr>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9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4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37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286" w:hRule="atLeast"/>
        </w:trPr>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安全覆盖人数</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反映安全覆盖人数</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156.00</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67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质量达标</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提高使用效率</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286"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及时使用</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正常运行</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286"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成本控制</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成本控制在预算额度内</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675" w:hRule="atLeast"/>
        </w:trPr>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职工工作效果</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增加投入，对提高职工工作效果的影响</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显著</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67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67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286" w:hRule="atLeast"/>
        </w:trPr>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职工满意度</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职工对项目实施的满意度</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59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445" w:type="dxa"/>
            <w:gridSpan w:val="15"/>
            <w:shd w:val="clear" w:color="auto" w:fill="E4ECF7"/>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2、城乡居民养老、就业服务村级代办员补助资金项目绩效目标表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3266"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提供就业岗位,更好服务好人民群众城乡居民养老业务和就业服务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69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9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43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4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人均财政投入水平</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养老就业服务人均财政补助标准</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统一标准 </w:t>
            </w: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登记人数</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根据实际报名登记人数</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根据实际情况</w:t>
            </w: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符合条件申报对象覆盖率</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政策人数占符合条件申报对象总数的比例</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财政补助资金到位率 </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实际拨入金额/最少应拨入财政专户的补助资金 </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社会稳定水平</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通过实施代办员补助政策促进社会稳定水平逐步提高</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接受居民养老、就业服务的重点人群对基层机构所提供服务的满意程度</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通过群众反馈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600" w:hRule="atLeast"/>
        </w:trPr>
        <w:tc>
          <w:tcPr>
            <w:tcW w:w="14087" w:type="dxa"/>
            <w:gridSpan w:val="14"/>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3、城乡居民养老人脸生存认证系统经费项目绩效目标表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480" w:hRule="atLeast"/>
        </w:trPr>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08"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通过项目的开展，杜绝养老金死亡冒领，促进城乡居民基本养老保险制度健康发展。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375" w:hRule="atLeast"/>
        </w:trPr>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9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4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37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675" w:hRule="atLeast"/>
        </w:trPr>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登记人数</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16-59周岁参加城乡居民基本养老保险年末数</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224512.00</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85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60周待遇领取人数</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60周岁以上城乡居民基本养老保险待遇领取人数（累计数）</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75000.00</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37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财政补助资金到位率</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实际拨入金额/最少应拨入财政专户的补助资金</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财政原始凭证拨款日期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85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政府对60周岁以上领取基础养老金月人均补助水平</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平均待遇标准</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118.00</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375" w:hRule="atLeast"/>
        </w:trPr>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城乡居民政策知晓率</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抽查知晓人数/抽查总人数</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37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37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375" w:hRule="atLeast"/>
        </w:trPr>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城乡参保对象满意度</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抽查知晓人数/抽查总人数</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286"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286"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600" w:hRule="atLeast"/>
        </w:trPr>
        <w:tc>
          <w:tcPr>
            <w:tcW w:w="14087" w:type="dxa"/>
            <w:gridSpan w:val="14"/>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4、创业担保贷款工作经费项目目标绩效表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286" w:hRule="atLeast"/>
        </w:trPr>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08"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助力大众创业，万众创新，以创业创新带动就业,广泛地宣传，让更多创业人员享受到国家优惠政策。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375" w:hRule="atLeast"/>
        </w:trPr>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9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4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37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675" w:hRule="atLeast"/>
        </w:trPr>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宣传材料发放 </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宣传材料发放数量 </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10000.00</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份</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37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宣传到位率</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反映宣传到位率</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37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宣传及时性</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反映宣传及时性</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37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宣传资料印刷</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降低印刷成本</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375" w:hRule="atLeast"/>
        </w:trPr>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扶持更多的创业者</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新增创业者人数</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103.00</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37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37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375" w:hRule="atLeast"/>
        </w:trPr>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接受服务的重点人群满意程度</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286"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58" w:type="dxa"/>
          <w:trHeight w:val="286"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bl>
    <w:p>
      <w:pPr>
        <w:widowControl w:val="0"/>
        <w:numPr>
          <w:ilvl w:val="0"/>
          <w:numId w:val="0"/>
        </w:numPr>
        <w:spacing w:line="584" w:lineRule="exact"/>
        <w:jc w:val="both"/>
        <w:rPr>
          <w:rFonts w:hint="eastAsia" w:ascii="Times New Roman" w:hAnsi="黑体" w:eastAsia="黑体"/>
          <w:sz w:val="32"/>
          <w:szCs w:val="32"/>
        </w:rPr>
      </w:pPr>
    </w:p>
    <w:p>
      <w:pPr>
        <w:widowControl w:val="0"/>
        <w:numPr>
          <w:ilvl w:val="0"/>
          <w:numId w:val="0"/>
        </w:numPr>
        <w:spacing w:line="584" w:lineRule="exact"/>
        <w:jc w:val="both"/>
        <w:rPr>
          <w:rFonts w:hint="eastAsia" w:ascii="Times New Roman" w:hAnsi="黑体" w:eastAsia="黑体"/>
          <w:sz w:val="32"/>
          <w:szCs w:val="32"/>
        </w:rPr>
      </w:pPr>
    </w:p>
    <w:p>
      <w:pPr>
        <w:widowControl w:val="0"/>
        <w:numPr>
          <w:ilvl w:val="0"/>
          <w:numId w:val="0"/>
        </w:numPr>
        <w:spacing w:line="584" w:lineRule="exact"/>
        <w:jc w:val="both"/>
        <w:rPr>
          <w:rFonts w:hint="eastAsia" w:ascii="Times New Roman" w:hAnsi="黑体" w:eastAsia="黑体"/>
          <w:sz w:val="32"/>
          <w:szCs w:val="32"/>
        </w:rPr>
      </w:pPr>
    </w:p>
    <w:tbl>
      <w:tblPr>
        <w:tblStyle w:val="5"/>
        <w:tblW w:w="140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80"/>
        <w:gridCol w:w="1328"/>
        <w:gridCol w:w="1769"/>
        <w:gridCol w:w="4061"/>
        <w:gridCol w:w="1328"/>
        <w:gridCol w:w="893"/>
        <w:gridCol w:w="2066"/>
        <w:gridCol w:w="1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4070" w:type="dxa"/>
            <w:gridSpan w:val="8"/>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5、创业担保贷款贴息资金项目绩效目标表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89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开展创业担保贷款贴息资金审批,实现创业担保贷款免息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4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符合政策人数</w:t>
            </w: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符合政策人数覆盖率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创业担保贷款还款率</w:t>
            </w: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足额还款百分比</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创业担保贷款及时发放率</w:t>
            </w: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按时还款百分比</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符合政策贴息资金发放标准</w:t>
            </w: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对符合条件的贴息资金发放标准</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创业担保贷款人数</w:t>
            </w: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新增加人数</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创业担保贷款额度</w:t>
            </w: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最高额度15万元</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创业担保贷款满意度</w:t>
            </w: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群众调查满意度</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bl>
    <w:p>
      <w:pPr>
        <w:widowControl w:val="0"/>
        <w:numPr>
          <w:ilvl w:val="0"/>
          <w:numId w:val="0"/>
        </w:numPr>
        <w:spacing w:line="584" w:lineRule="exact"/>
        <w:jc w:val="both"/>
        <w:rPr>
          <w:rFonts w:hint="eastAsia" w:ascii="Times New Roman" w:hAnsi="黑体" w:eastAsia="黑体"/>
          <w:sz w:val="32"/>
          <w:szCs w:val="32"/>
        </w:rPr>
      </w:pPr>
    </w:p>
    <w:p>
      <w:pPr>
        <w:widowControl w:val="0"/>
        <w:numPr>
          <w:ilvl w:val="0"/>
          <w:numId w:val="0"/>
        </w:numPr>
        <w:spacing w:line="584" w:lineRule="exact"/>
        <w:jc w:val="both"/>
        <w:rPr>
          <w:rFonts w:hint="eastAsia" w:ascii="Times New Roman" w:hAnsi="黑体" w:eastAsia="黑体"/>
          <w:sz w:val="32"/>
          <w:szCs w:val="32"/>
        </w:rPr>
      </w:pPr>
    </w:p>
    <w:p>
      <w:pPr>
        <w:widowControl w:val="0"/>
        <w:numPr>
          <w:ilvl w:val="0"/>
          <w:numId w:val="0"/>
        </w:numPr>
        <w:spacing w:line="584" w:lineRule="exact"/>
        <w:jc w:val="both"/>
        <w:rPr>
          <w:rFonts w:hint="eastAsia" w:ascii="Times New Roman" w:hAnsi="黑体" w:eastAsia="黑体"/>
          <w:sz w:val="32"/>
          <w:szCs w:val="32"/>
        </w:rPr>
      </w:pPr>
    </w:p>
    <w:tbl>
      <w:tblPr>
        <w:tblStyle w:val="5"/>
        <w:tblW w:w="140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80"/>
        <w:gridCol w:w="1328"/>
        <w:gridCol w:w="1769"/>
        <w:gridCol w:w="4061"/>
        <w:gridCol w:w="1328"/>
        <w:gridCol w:w="893"/>
        <w:gridCol w:w="2066"/>
        <w:gridCol w:w="1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4070" w:type="dxa"/>
            <w:gridSpan w:val="8"/>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6、创业担保贷款贴息资金项目绩效目标表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89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开展创业担保贷款贴息资金审批,实现创业担保贷款免息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4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符合政策人数</w:t>
            </w: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符合政策人数覆盖率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创业担保贷款还款率</w:t>
            </w: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足额还款百分比</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创业担保贷款及时发放率</w:t>
            </w: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按时还款百分比</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符合政策贴息资金发放标准</w:t>
            </w: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对符合条件的贴息资金发放标准</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创业担保贷款人数</w:t>
            </w: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新增加人数</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创业担保贷款额度</w:t>
            </w: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最高额度15万元</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创业担保贷款满意度</w:t>
            </w: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群众调查满意度</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bl>
    <w:p>
      <w:pPr>
        <w:widowControl w:val="0"/>
        <w:numPr>
          <w:ilvl w:val="0"/>
          <w:numId w:val="0"/>
        </w:numPr>
        <w:spacing w:line="584" w:lineRule="exact"/>
        <w:jc w:val="both"/>
        <w:rPr>
          <w:rFonts w:hint="eastAsia" w:ascii="Times New Roman" w:hAnsi="黑体" w:eastAsia="黑体"/>
          <w:sz w:val="32"/>
          <w:szCs w:val="32"/>
        </w:rPr>
      </w:pPr>
    </w:p>
    <w:p>
      <w:pPr>
        <w:widowControl w:val="0"/>
        <w:numPr>
          <w:ilvl w:val="0"/>
          <w:numId w:val="0"/>
        </w:numPr>
        <w:spacing w:line="584" w:lineRule="exact"/>
        <w:jc w:val="both"/>
        <w:rPr>
          <w:rFonts w:hint="eastAsia" w:ascii="Times New Roman" w:hAnsi="黑体" w:eastAsia="黑体"/>
          <w:sz w:val="32"/>
          <w:szCs w:val="32"/>
        </w:rPr>
      </w:pPr>
    </w:p>
    <w:tbl>
      <w:tblPr>
        <w:tblStyle w:val="5"/>
        <w:tblW w:w="143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53"/>
        <w:gridCol w:w="27"/>
        <w:gridCol w:w="1270"/>
        <w:gridCol w:w="337"/>
        <w:gridCol w:w="1389"/>
        <w:gridCol w:w="384"/>
        <w:gridCol w:w="3580"/>
        <w:gridCol w:w="487"/>
        <w:gridCol w:w="810"/>
        <w:gridCol w:w="524"/>
        <w:gridCol w:w="360"/>
        <w:gridCol w:w="539"/>
        <w:gridCol w:w="1483"/>
        <w:gridCol w:w="583"/>
        <w:gridCol w:w="1144"/>
        <w:gridCol w:w="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4355" w:type="dxa"/>
            <w:gridSpan w:val="16"/>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7、待遇人员丧葬补助金项目绩效目标表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317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主要解决60周岁以上城乡居民死亡后丧葬补贴,确保补贴及时到位.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60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7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9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42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4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登记人数</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16-59周岁参加城乡居民基本养老保险年末数</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224512.00</w:t>
            </w: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1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60周待遇领取人数</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60周岁以上城乡居民基本养老保险待遇领取人数（累计数）</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74440.00</w:t>
            </w: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16-59周岁人员参保政府代缴率</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政府实际代缴人数/16-59周岁参保人员数</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w:t>
            </w: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财政补助资金到位率</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实际拨入金额/最少应拨入财政专户的补助资金</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财政原始凭证拨款日期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1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政府对60周岁以上领取基础养老金月人均补助水平</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平均待遇标准</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118.00</w:t>
            </w: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城乡居民政策知晓率 </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城乡居民政策知晓率 </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城乡参保对象满意度</w:t>
            </w:r>
          </w:p>
        </w:tc>
        <w:tc>
          <w:tcPr>
            <w:tcW w:w="4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城乡参保对象满意度</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85" w:type="dxa"/>
          <w:trHeight w:val="600" w:hRule="atLeast"/>
        </w:trPr>
        <w:tc>
          <w:tcPr>
            <w:tcW w:w="14070" w:type="dxa"/>
            <w:gridSpan w:val="15"/>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8、档案管理费项目绩效目标表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85" w:type="dxa"/>
          <w:trHeight w:val="286"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17"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通过项目的开展实现档案管理专业、规范等战略,保障档案规范化的实现。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85" w:type="dxa"/>
          <w:trHeight w:val="375" w:hRule="atLeast"/>
        </w:trPr>
        <w:tc>
          <w:tcPr>
            <w:tcW w:w="11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29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2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39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0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7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85" w:type="dxa"/>
          <w:trHeight w:val="375"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2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39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7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85" w:type="dxa"/>
          <w:trHeight w:val="286" w:hRule="atLeast"/>
        </w:trPr>
        <w:tc>
          <w:tcPr>
            <w:tcW w:w="11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管理档案成本</w:t>
            </w:r>
          </w:p>
        </w:tc>
        <w:tc>
          <w:tcPr>
            <w:tcW w:w="3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降低档案管理成本比率</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&lt;=</w:t>
            </w:r>
          </w:p>
        </w:tc>
        <w:tc>
          <w:tcPr>
            <w:tcW w:w="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98.00</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85" w:type="dxa"/>
          <w:trHeight w:val="286"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管理数量</w:t>
            </w:r>
          </w:p>
        </w:tc>
        <w:tc>
          <w:tcPr>
            <w:tcW w:w="3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反映档案管理的数量</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逐年增加</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累计数据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85" w:type="dxa"/>
          <w:trHeight w:val="675"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档案规范管理  </w:t>
            </w:r>
          </w:p>
        </w:tc>
        <w:tc>
          <w:tcPr>
            <w:tcW w:w="3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规范管理的档案占所有档案的比例</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85" w:type="dxa"/>
          <w:trHeight w:val="675"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完成率</w:t>
            </w:r>
          </w:p>
        </w:tc>
        <w:tc>
          <w:tcPr>
            <w:tcW w:w="3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破损档案更换情况</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85" w:type="dxa"/>
          <w:trHeight w:val="855" w:hRule="atLeast"/>
        </w:trPr>
        <w:tc>
          <w:tcPr>
            <w:tcW w:w="11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7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档案管理服务水平</w:t>
            </w:r>
          </w:p>
        </w:tc>
        <w:tc>
          <w:tcPr>
            <w:tcW w:w="3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反映我县档案管理服务的能力和效果</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99.00</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是否规范</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按照省市文件要求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85" w:type="dxa"/>
          <w:trHeight w:val="375"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85" w:type="dxa"/>
          <w:trHeight w:val="375"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85" w:type="dxa"/>
          <w:trHeight w:val="855" w:hRule="atLeast"/>
        </w:trPr>
        <w:tc>
          <w:tcPr>
            <w:tcW w:w="11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群众满意度</w:t>
            </w:r>
          </w:p>
        </w:tc>
        <w:tc>
          <w:tcPr>
            <w:tcW w:w="3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群众满意数量占总数的比例。</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85" w:type="dxa"/>
          <w:trHeight w:val="375"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85" w:type="dxa"/>
          <w:trHeight w:val="375"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bl>
    <w:p>
      <w:pPr>
        <w:spacing w:line="584" w:lineRule="exact"/>
        <w:ind w:firstLine="640" w:firstLineChars="200"/>
        <w:rPr>
          <w:rFonts w:ascii="仿宋_GB2312" w:hAnsi="仿宋_GB2312" w:eastAsia="仿宋_GB2312" w:cs="仿宋_GB2312"/>
          <w:sz w:val="32"/>
          <w:szCs w:val="32"/>
        </w:rPr>
      </w:pPr>
    </w:p>
    <w:tbl>
      <w:tblPr>
        <w:tblStyle w:val="5"/>
        <w:tblW w:w="145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70"/>
        <w:gridCol w:w="1317"/>
        <w:gridCol w:w="456"/>
        <w:gridCol w:w="1304"/>
        <w:gridCol w:w="454"/>
        <w:gridCol w:w="3577"/>
        <w:gridCol w:w="453"/>
        <w:gridCol w:w="862"/>
        <w:gridCol w:w="465"/>
        <w:gridCol w:w="435"/>
        <w:gridCol w:w="455"/>
        <w:gridCol w:w="1595"/>
        <w:gridCol w:w="453"/>
        <w:gridCol w:w="1079"/>
        <w:gridCol w:w="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460" w:type="dxa"/>
          <w:trHeight w:val="600" w:hRule="atLeast"/>
        </w:trPr>
        <w:tc>
          <w:tcPr>
            <w:tcW w:w="14075" w:type="dxa"/>
            <w:gridSpan w:val="14"/>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9、个人缴费补贴-县级补贴项目绩效目标表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0" w:type="dxa"/>
          <w:trHeight w:val="286"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05"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解决16-59周岁城乡居民参保补贴问题,确保补贴及时到位。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0" w:type="dxa"/>
          <w:trHeight w:val="375" w:hRule="atLeast"/>
        </w:trPr>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3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3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0" w:type="dxa"/>
          <w:trHeight w:val="375"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0" w:type="dxa"/>
          <w:trHeight w:val="675" w:hRule="atLeast"/>
        </w:trPr>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登记人数</w:t>
            </w:r>
          </w:p>
        </w:tc>
        <w:tc>
          <w:tcPr>
            <w:tcW w:w="40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16-59周岁参加城乡居民基本养老保险年末数</w:t>
            </w:r>
          </w:p>
        </w:tc>
        <w:tc>
          <w:tcPr>
            <w:tcW w:w="1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224512.00</w:t>
            </w:r>
          </w:p>
        </w:tc>
        <w:tc>
          <w:tcPr>
            <w:tcW w:w="2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0" w:type="dxa"/>
          <w:trHeight w:val="855"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16-59周岁参保缴费人数</w:t>
            </w:r>
          </w:p>
        </w:tc>
        <w:tc>
          <w:tcPr>
            <w:tcW w:w="40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16-59周岁参见城乡居民基本养老保险缴费人数（累计数）</w:t>
            </w:r>
          </w:p>
        </w:tc>
        <w:tc>
          <w:tcPr>
            <w:tcW w:w="1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205559.00</w:t>
            </w:r>
          </w:p>
        </w:tc>
        <w:tc>
          <w:tcPr>
            <w:tcW w:w="2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0" w:type="dxa"/>
          <w:trHeight w:val="48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16-59周岁人员参保政府代缴率</w:t>
            </w:r>
          </w:p>
        </w:tc>
        <w:tc>
          <w:tcPr>
            <w:tcW w:w="40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政府实际代缴人数/16-59周岁参保人员数</w:t>
            </w:r>
          </w:p>
        </w:tc>
        <w:tc>
          <w:tcPr>
            <w:tcW w:w="1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w:t>
            </w:r>
          </w:p>
        </w:tc>
        <w:tc>
          <w:tcPr>
            <w:tcW w:w="2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0" w:type="dxa"/>
          <w:trHeight w:val="375"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财政补助资金到位率</w:t>
            </w:r>
          </w:p>
        </w:tc>
        <w:tc>
          <w:tcPr>
            <w:tcW w:w="40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最少应拨入财政专户的补助资金</w:t>
            </w:r>
          </w:p>
        </w:tc>
        <w:tc>
          <w:tcPr>
            <w:tcW w:w="1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财政原始凭证拨款日期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0" w:type="dxa"/>
          <w:trHeight w:val="855"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政府对16-59周岁参保人口平均缴费补贴水平</w:t>
            </w:r>
          </w:p>
        </w:tc>
        <w:tc>
          <w:tcPr>
            <w:tcW w:w="40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平均缴费补贴标准</w:t>
            </w:r>
          </w:p>
        </w:tc>
        <w:tc>
          <w:tcPr>
            <w:tcW w:w="1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2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0" w:type="dxa"/>
          <w:trHeight w:val="375" w:hRule="atLeast"/>
        </w:trPr>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城乡居民政策知晓率</w:t>
            </w:r>
          </w:p>
        </w:tc>
        <w:tc>
          <w:tcPr>
            <w:tcW w:w="40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抽查知晓人数/抽查总人数</w:t>
            </w:r>
          </w:p>
        </w:tc>
        <w:tc>
          <w:tcPr>
            <w:tcW w:w="1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0" w:type="dxa"/>
          <w:trHeight w:val="375"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0" w:type="dxa"/>
          <w:trHeight w:val="375"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0" w:type="dxa"/>
          <w:trHeight w:val="375" w:hRule="atLeast"/>
        </w:trPr>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城乡参保对象满意度</w:t>
            </w:r>
          </w:p>
        </w:tc>
        <w:tc>
          <w:tcPr>
            <w:tcW w:w="40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抽查知晓人数/抽查总人数</w:t>
            </w:r>
          </w:p>
        </w:tc>
        <w:tc>
          <w:tcPr>
            <w:tcW w:w="1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0" w:type="dxa"/>
          <w:trHeight w:val="286"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535" w:type="dxa"/>
            <w:gridSpan w:val="15"/>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10、公共服务岗位费用项目绩效目标表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336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解决因家庭、年龄、身体等因素制约，不宜离家外出且不能通过市场就业的贫困户弱劳动力通过到公共服务性岗位就业,提高就业稳定性，增加工资性收入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77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5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3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帮扶贫困劳动力人数</w:t>
            </w:r>
          </w:p>
        </w:tc>
        <w:tc>
          <w:tcPr>
            <w:tcW w:w="4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以政府购买公服岗位的方式帮扶贫困劳动力就业</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w:t>
            </w:r>
          </w:p>
        </w:tc>
        <w:tc>
          <w:tcPr>
            <w:tcW w:w="20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大人劳[2018]61号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贫困劳动力稳定就业率</w:t>
            </w:r>
          </w:p>
        </w:tc>
        <w:tc>
          <w:tcPr>
            <w:tcW w:w="4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实现贫困劳动力连续3个月以上稳定就业</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大人劳[2018]61号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岗位补贴发放率</w:t>
            </w:r>
          </w:p>
        </w:tc>
        <w:tc>
          <w:tcPr>
            <w:tcW w:w="4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及时足额发放到位</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大人劳[2018]61号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贫困户扶助资金发放标准</w:t>
            </w:r>
          </w:p>
        </w:tc>
        <w:tc>
          <w:tcPr>
            <w:tcW w:w="4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对符合条件的贫困家庭发放特别扶助金</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大人劳[2018]61号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符合条件的贫困劳动力稳定就业率</w:t>
            </w:r>
          </w:p>
        </w:tc>
        <w:tc>
          <w:tcPr>
            <w:tcW w:w="4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符合政策要求条件的贫困劳动力实现稳定就业率</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w:t>
            </w:r>
          </w:p>
        </w:tc>
        <w:tc>
          <w:tcPr>
            <w:tcW w:w="4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贫困劳动力对政策实施的满意度</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bl>
    <w:p>
      <w:pPr>
        <w:spacing w:line="584" w:lineRule="exact"/>
        <w:rPr>
          <w:rFonts w:ascii="仿宋_GB2312" w:hAnsi="仿宋_GB2312" w:eastAsia="仿宋_GB2312" w:cs="仿宋_GB2312"/>
          <w:sz w:val="32"/>
          <w:szCs w:val="32"/>
        </w:rPr>
      </w:pPr>
    </w:p>
    <w:p>
      <w:pPr>
        <w:spacing w:line="584" w:lineRule="exact"/>
        <w:rPr>
          <w:rFonts w:ascii="仿宋_GB2312" w:hAnsi="仿宋_GB2312" w:eastAsia="仿宋_GB2312" w:cs="仿宋_GB2312"/>
          <w:sz w:val="32"/>
          <w:szCs w:val="32"/>
        </w:rPr>
      </w:pPr>
    </w:p>
    <w:tbl>
      <w:tblPr>
        <w:tblStyle w:val="5"/>
        <w:tblW w:w="145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78"/>
        <w:gridCol w:w="1325"/>
        <w:gridCol w:w="488"/>
        <w:gridCol w:w="1283"/>
        <w:gridCol w:w="486"/>
        <w:gridCol w:w="3573"/>
        <w:gridCol w:w="486"/>
        <w:gridCol w:w="839"/>
        <w:gridCol w:w="495"/>
        <w:gridCol w:w="405"/>
        <w:gridCol w:w="489"/>
        <w:gridCol w:w="1576"/>
        <w:gridCol w:w="486"/>
        <w:gridCol w:w="987"/>
        <w:gridCol w:w="4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469" w:type="dxa"/>
          <w:trHeight w:val="600" w:hRule="atLeast"/>
        </w:trPr>
        <w:tc>
          <w:tcPr>
            <w:tcW w:w="14096" w:type="dxa"/>
            <w:gridSpan w:val="14"/>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11、机关事业单位考核表、奖励证书工本费项目绩效目标表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420" w:hRule="atLeast"/>
        </w:trPr>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18"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正确评价事业单位工作人员的德才表现和工作实绩,为晋升、聘任、奖惩、培训以及调整工资待遇提供依据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3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47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4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286"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年度考核人数</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反映年度考核人数</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11000.00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上年度考核人数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286"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授奖人数</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反映授奖人数</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1700.00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上年度授奖人数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286"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考核准确率</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反映考核准确率</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286"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按时完成率</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反映按时完成率</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6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工本费、考核表</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降低成本</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6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评价事业单位工作人员的德才表现和工作实绩</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反映评价事业单位工作人员的德才表现和工作实绩</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1700.00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85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3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服务对象晋升、聘任、奖惩的满意程度</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85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600" w:hRule="atLeast"/>
        </w:trPr>
        <w:tc>
          <w:tcPr>
            <w:tcW w:w="14096" w:type="dxa"/>
            <w:gridSpan w:val="14"/>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12、基础养老金补贴-省级专款项目绩效目标表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420" w:hRule="atLeast"/>
        </w:trPr>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18"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开展本项目主要解决60周岁以上城乡居民基础养老金补贴,确保补贴及时到位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3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47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4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6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登记人数</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16-59周岁参加城乡居民基本养老保险年末数</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224512.00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85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60周待遇领取人数</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60周岁以上城乡居民基本养老保险待遇领取人数（累计数）</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74440.00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16-59周岁人员参保政府代缴率</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政府实际代缴人数/16-59周岁参保人员数</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财政补助资金到位率</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实际拨入金额/最少应拨入财政专户的补助资金</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财政原始凭证拨款日期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85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政府对60周岁以上领取基础养老金月人均补助水平</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平均待遇标准</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118.00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3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城乡居民政策知晓率</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抽查知晓人数/抽查总人数</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3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城乡参保对象满意度</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抽查知晓人数/抽查总人数</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286"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600" w:hRule="atLeast"/>
        </w:trPr>
        <w:tc>
          <w:tcPr>
            <w:tcW w:w="14096" w:type="dxa"/>
            <w:gridSpan w:val="14"/>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13、基础养老金补贴-中央专款项目绩效目标表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286" w:hRule="atLeast"/>
        </w:trPr>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18"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开展本项目主要解决60周岁以上城乡居民基础养老金补贴,确保补贴及时到位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540"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47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4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6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登记人数</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16-59周岁参加城乡居民基本养老保险年末数</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224512.00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85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60周待遇领取人数</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60周岁以上城乡居民基本养老保险待遇领取人数（累计数）</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74440.00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16-59周岁人员参保政府代缴率</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政府实际代缴人数/16-59周岁参保人员数</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财政补助资金到位率</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实际拨入金额/最少应拨入财政专户的补助资金</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财政原始凭证拨款日期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85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政府对60周岁以上领取基础养老金月人均补助水平</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平均待遇标准</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118.00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3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城乡居民政策知晓率</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抽查知晓人数/抽查总人数</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3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城乡参保对象满意度</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抽查知晓人数/抽查总人数</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9" w:type="dxa"/>
          <w:trHeight w:val="286"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565" w:type="dxa"/>
            <w:gridSpan w:val="15"/>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14、建档立卡帮扶专项经费项目绩效目标表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3387"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要解决建档立卡贫困问题,确保建档立卡贫困户满意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81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4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8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4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户数</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反映扶贫户数</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户数</w:t>
            </w:r>
          </w:p>
        </w:tc>
        <w:tc>
          <w:tcPr>
            <w:tcW w:w="1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符合条件申报对象覆盖率</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享受扶助政策人数占符合条件申报对象总数的比例</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贫困家庭扶助资金发放标准</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对符合条件的贫困家庭发放特别扶助金</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2000.00</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1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及时性</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是否及时补贴慰问到户</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贫困人口评价</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贫困人口评价好评率</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建档立卡户满意度</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建档立卡户是否满意</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8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bl>
    <w:p>
      <w:pPr>
        <w:spacing w:line="584" w:lineRule="exact"/>
        <w:rPr>
          <w:rFonts w:ascii="仿宋_GB2312" w:hAnsi="仿宋_GB2312" w:eastAsia="仿宋_GB2312" w:cs="仿宋_GB2312"/>
          <w:sz w:val="32"/>
          <w:szCs w:val="32"/>
        </w:rPr>
      </w:pPr>
    </w:p>
    <w:p>
      <w:pPr>
        <w:spacing w:line="584" w:lineRule="exact"/>
        <w:rPr>
          <w:rFonts w:ascii="仿宋_GB2312" w:hAnsi="仿宋_GB2312" w:eastAsia="仿宋_GB2312" w:cs="仿宋_GB2312"/>
          <w:sz w:val="32"/>
          <w:szCs w:val="32"/>
        </w:rPr>
      </w:pPr>
    </w:p>
    <w:p>
      <w:pPr>
        <w:spacing w:line="584" w:lineRule="exact"/>
        <w:rPr>
          <w:rFonts w:ascii="仿宋_GB2312" w:hAnsi="仿宋_GB2312" w:eastAsia="仿宋_GB2312" w:cs="仿宋_GB2312"/>
          <w:sz w:val="32"/>
          <w:szCs w:val="32"/>
        </w:rPr>
      </w:pPr>
    </w:p>
    <w:tbl>
      <w:tblPr>
        <w:tblStyle w:val="5"/>
        <w:tblW w:w="146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78"/>
        <w:gridCol w:w="1325"/>
        <w:gridCol w:w="528"/>
        <w:gridCol w:w="1241"/>
        <w:gridCol w:w="530"/>
        <w:gridCol w:w="3530"/>
        <w:gridCol w:w="529"/>
        <w:gridCol w:w="796"/>
        <w:gridCol w:w="532"/>
        <w:gridCol w:w="360"/>
        <w:gridCol w:w="539"/>
        <w:gridCol w:w="1532"/>
        <w:gridCol w:w="529"/>
        <w:gridCol w:w="936"/>
        <w:gridCol w:w="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4610" w:type="dxa"/>
            <w:gridSpan w:val="15"/>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15、基础养老金补贴-县级补贴项目绩效目标表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3432"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60周岁以上城乡居民基础养老金补贴,确保补贴及时到位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85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8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46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8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4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登记人数</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16-59周岁参加城乡居民基本养老保险年末数</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224512.00</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4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60周待遇领取人数</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60周岁以上城乡居民基本养老保险待遇领取人数（累计数）</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74440.00</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4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16-59周岁人员参保政府代缴率</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政府实际代缴人数/16-59周岁参保人员数</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财政补助资金到位率</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实际拨入金额/最少应拨入财政专户的补助资金</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财政原始凭证拨款日期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政府对60周岁以上领取基础养老金月人均补助水平</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平均待遇标准</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118.00</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14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城乡居民政策知晓率 </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抽查知晓人数/抽查总人数</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城乡参保对象满意度</w:t>
            </w: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抽查知晓人数/抽查总人数</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25" w:type="dxa"/>
          <w:trHeight w:val="600" w:hRule="atLeast"/>
        </w:trPr>
        <w:tc>
          <w:tcPr>
            <w:tcW w:w="14085" w:type="dxa"/>
            <w:gridSpan w:val="14"/>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16、就业活动经费项目绩效目标表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25" w:type="dxa"/>
          <w:trHeight w:val="286" w:hRule="atLeast"/>
        </w:trPr>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07"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通过招聘会的开展、就业创业政策的宣传、下乡培训的监督检查，促进就业创业政策的深入落实,通过政策落实，反映公共服务对象的满意度。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25" w:type="dxa"/>
          <w:trHeight w:val="3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8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4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25" w:type="dxa"/>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4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25" w:type="dxa"/>
          <w:trHeight w:val="6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召开招聘会场次及政策宣传次数</w:t>
            </w:r>
          </w:p>
        </w:tc>
        <w:tc>
          <w:tcPr>
            <w:tcW w:w="4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召开现场招聘会及开展政策宣传专项活动</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w:t>
            </w:r>
          </w:p>
        </w:tc>
        <w:tc>
          <w:tcPr>
            <w:tcW w:w="2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场</w:t>
            </w: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25" w:type="dxa"/>
          <w:trHeight w:val="85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按时召开春、秋季招聘会及专场政策宣传活动率</w:t>
            </w:r>
          </w:p>
        </w:tc>
        <w:tc>
          <w:tcPr>
            <w:tcW w:w="4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按年度工作计划，召开春、秋季招聘会及专场政策宣传活动率</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25" w:type="dxa"/>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就业服务政策落实</w:t>
            </w:r>
          </w:p>
        </w:tc>
        <w:tc>
          <w:tcPr>
            <w:tcW w:w="4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反映就业服务政策的落实到位率</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25" w:type="dxa"/>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成本节约率</w:t>
            </w:r>
          </w:p>
        </w:tc>
        <w:tc>
          <w:tcPr>
            <w:tcW w:w="4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反映成本节约率</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2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25" w:type="dxa"/>
          <w:trHeight w:val="3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把就业创业政策宣传发布率</w:t>
            </w:r>
          </w:p>
        </w:tc>
        <w:tc>
          <w:tcPr>
            <w:tcW w:w="4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就业创业政策宣传</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25" w:type="dxa"/>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25" w:type="dxa"/>
          <w:trHeight w:val="3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25" w:type="dxa"/>
          <w:trHeight w:val="480"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对公共就业服务的满意度</w:t>
            </w:r>
          </w:p>
        </w:tc>
        <w:tc>
          <w:tcPr>
            <w:tcW w:w="4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群众对公共就业服务的满意度</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25" w:type="dxa"/>
          <w:trHeight w:val="286"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25" w:type="dxa"/>
          <w:trHeight w:val="286"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bl>
    <w:p>
      <w:pPr>
        <w:spacing w:line="584" w:lineRule="exact"/>
        <w:rPr>
          <w:rFonts w:ascii="仿宋_GB2312" w:hAnsi="仿宋_GB2312" w:eastAsia="仿宋_GB2312" w:cs="仿宋_GB2312"/>
          <w:sz w:val="32"/>
          <w:szCs w:val="32"/>
        </w:rPr>
      </w:pPr>
    </w:p>
    <w:tbl>
      <w:tblPr>
        <w:tblStyle w:val="5"/>
        <w:tblW w:w="140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75"/>
        <w:gridCol w:w="1322"/>
        <w:gridCol w:w="1761"/>
        <w:gridCol w:w="4042"/>
        <w:gridCol w:w="1322"/>
        <w:gridCol w:w="892"/>
        <w:gridCol w:w="2058"/>
        <w:gridCol w:w="14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4070" w:type="dxa"/>
            <w:gridSpan w:val="8"/>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17、劳动监察经费，培训费项目绩效目标表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8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通过劳动合同的签订，法律法规知识的宣传以及维权知识的普及，形成劳动用工双方知法、懂法、守法的良好局面,通过项目的开展劳动违法案件发生率降低20%。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4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劳动违法案件数量</w:t>
            </w:r>
          </w:p>
        </w:tc>
        <w:tc>
          <w:tcPr>
            <w:tcW w:w="4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比上年度减少</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劳动违法案件结案率</w:t>
            </w:r>
          </w:p>
        </w:tc>
        <w:tc>
          <w:tcPr>
            <w:tcW w:w="4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占案件总数比率</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结案及时</w:t>
            </w:r>
          </w:p>
        </w:tc>
        <w:tc>
          <w:tcPr>
            <w:tcW w:w="4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反映结案及时情况</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是否及时结案</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统计结果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宣传成本</w:t>
            </w:r>
          </w:p>
        </w:tc>
        <w:tc>
          <w:tcPr>
            <w:tcW w:w="4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降低成本</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统计结果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社会影响力</w:t>
            </w:r>
          </w:p>
        </w:tc>
        <w:tc>
          <w:tcPr>
            <w:tcW w:w="4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与上年度相比</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w:t>
            </w:r>
          </w:p>
        </w:tc>
        <w:tc>
          <w:tcPr>
            <w:tcW w:w="4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办案人员满意程度</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bl>
    <w:p>
      <w:pPr>
        <w:spacing w:line="584" w:lineRule="exact"/>
        <w:rPr>
          <w:rFonts w:ascii="仿宋_GB2312" w:hAnsi="仿宋_GB2312" w:eastAsia="仿宋_GB2312" w:cs="仿宋_GB2312"/>
          <w:sz w:val="32"/>
          <w:szCs w:val="32"/>
        </w:rPr>
      </w:pPr>
    </w:p>
    <w:tbl>
      <w:tblPr>
        <w:tblStyle w:val="5"/>
        <w:tblW w:w="144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75"/>
        <w:gridCol w:w="1322"/>
        <w:gridCol w:w="367"/>
        <w:gridCol w:w="1394"/>
        <w:gridCol w:w="366"/>
        <w:gridCol w:w="3679"/>
        <w:gridCol w:w="368"/>
        <w:gridCol w:w="954"/>
        <w:gridCol w:w="373"/>
        <w:gridCol w:w="525"/>
        <w:gridCol w:w="373"/>
        <w:gridCol w:w="1690"/>
        <w:gridCol w:w="367"/>
        <w:gridCol w:w="1132"/>
        <w:gridCol w:w="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360" w:type="dxa"/>
          <w:trHeight w:val="600" w:hRule="atLeast"/>
        </w:trPr>
        <w:tc>
          <w:tcPr>
            <w:tcW w:w="14085" w:type="dxa"/>
            <w:gridSpan w:val="14"/>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18、流动人员档案数字化工作经费项目绩效目标表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60" w:type="dxa"/>
          <w:trHeight w:val="286"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1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二次支付能有效保证档案数字化整理施工质量,验收合格后完成支付。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60" w:type="dxa"/>
          <w:trHeight w:val="375"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6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49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60" w:type="dxa"/>
          <w:trHeight w:val="37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4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60" w:type="dxa"/>
          <w:trHeight w:val="675"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不合格档案重新加工数量 </w:t>
            </w:r>
          </w:p>
        </w:tc>
        <w:tc>
          <w:tcPr>
            <w:tcW w:w="4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不合格档案重新整理的占整体比例 </w:t>
            </w: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&lt;</w:t>
            </w: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20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档案验收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60" w:type="dxa"/>
          <w:trHeight w:val="67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数字化整理的档案合格率 </w:t>
            </w:r>
          </w:p>
        </w:tc>
        <w:tc>
          <w:tcPr>
            <w:tcW w:w="4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合格的档案占数字化整理档案总数的比例 </w:t>
            </w: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0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档案验收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60" w:type="dxa"/>
          <w:trHeight w:val="67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资金到位率</w:t>
            </w:r>
          </w:p>
        </w:tc>
        <w:tc>
          <w:tcPr>
            <w:tcW w:w="4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实际到位资金占应到位资金的比例</w:t>
            </w: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按照合同文件要求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60" w:type="dxa"/>
          <w:trHeight w:val="286"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服务年限</w:t>
            </w:r>
          </w:p>
        </w:tc>
        <w:tc>
          <w:tcPr>
            <w:tcW w:w="4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根据工作量</w:t>
            </w: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20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p>
        </w:tc>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按照合同文件要求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60" w:type="dxa"/>
          <w:trHeight w:val="855"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档案管理服务水平 </w:t>
            </w:r>
          </w:p>
        </w:tc>
        <w:tc>
          <w:tcPr>
            <w:tcW w:w="4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反映我县流动人员档案数字化管理服务的能力水平</w:t>
            </w:r>
            <w:r>
              <w:rPr>
                <w:rFonts w:hint="eastAsia" w:ascii="宋体" w:hAnsi="宋体" w:cs="宋体"/>
                <w:i w:val="0"/>
                <w:color w:val="000000"/>
                <w:kern w:val="0"/>
                <w:sz w:val="18"/>
                <w:szCs w:val="18"/>
                <w:u w:val="none"/>
                <w:lang w:val="en-US" w:eastAsia="zh-CN" w:bidi="ar"/>
              </w:rPr>
              <w:t>率</w:t>
            </w:r>
            <w:r>
              <w:rPr>
                <w:rFonts w:hint="eastAsia" w:ascii="宋体" w:hAnsi="宋体" w:eastAsia="宋体" w:cs="宋体"/>
                <w:i w:val="0"/>
                <w:color w:val="000000"/>
                <w:kern w:val="0"/>
                <w:sz w:val="18"/>
                <w:szCs w:val="18"/>
                <w:u w:val="none"/>
                <w:lang w:val="en-US" w:eastAsia="zh-CN" w:bidi="ar"/>
              </w:rPr>
              <w:t xml:space="preserve"> </w:t>
            </w: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0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按照省市文件要求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60" w:type="dxa"/>
          <w:trHeight w:val="67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60" w:type="dxa"/>
          <w:trHeight w:val="67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60" w:type="dxa"/>
          <w:trHeight w:val="855"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档案整理满意度</w:t>
            </w:r>
          </w:p>
        </w:tc>
        <w:tc>
          <w:tcPr>
            <w:tcW w:w="4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体现档案整理满意度</w:t>
            </w: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60" w:type="dxa"/>
          <w:trHeight w:val="37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445" w:type="dxa"/>
            <w:gridSpan w:val="15"/>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19、农保经费项目绩效目标表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3270"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为城乡居民养老保险提供物质保障,促进城乡居民基本养老保险制度持续健康发展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6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4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8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4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4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4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6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登记人数</w:t>
            </w:r>
          </w:p>
        </w:tc>
        <w:tc>
          <w:tcPr>
            <w:tcW w:w="4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16-59周岁参加城乡居民基本养老保险年末数</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224512.00</w:t>
            </w: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60周待遇领取人数</w:t>
            </w:r>
          </w:p>
        </w:tc>
        <w:tc>
          <w:tcPr>
            <w:tcW w:w="4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60周岁以上城乡居民基本养老保险待遇领取人数（累计数）</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75000.00</w:t>
            </w: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财政补助资金到位率</w:t>
            </w:r>
          </w:p>
        </w:tc>
        <w:tc>
          <w:tcPr>
            <w:tcW w:w="4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实际拨入金额/最少应拨入财政专户的补助资金</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财政原始凭证拨款日期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政府对60周岁以上领取基础养老金月人均补助水平</w:t>
            </w:r>
          </w:p>
        </w:tc>
        <w:tc>
          <w:tcPr>
            <w:tcW w:w="4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平均待遇标准</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118.00</w:t>
            </w: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6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城乡居民政策知晓率</w:t>
            </w:r>
          </w:p>
        </w:tc>
        <w:tc>
          <w:tcPr>
            <w:tcW w:w="4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抽查知晓人数/抽查总人数</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6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城乡参保对象满意度</w:t>
            </w:r>
          </w:p>
        </w:tc>
        <w:tc>
          <w:tcPr>
            <w:tcW w:w="4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抽查知晓人数/抽查总人数</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6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4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bl>
    <w:p>
      <w:pPr>
        <w:spacing w:line="584" w:lineRule="exact"/>
        <w:rPr>
          <w:rFonts w:ascii="仿宋_GB2312" w:hAnsi="仿宋_GB2312" w:eastAsia="仿宋_GB2312" w:cs="仿宋_GB2312"/>
          <w:sz w:val="32"/>
          <w:szCs w:val="32"/>
        </w:rPr>
      </w:pPr>
    </w:p>
    <w:tbl>
      <w:tblPr>
        <w:tblStyle w:val="5"/>
        <w:tblW w:w="140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66"/>
        <w:gridCol w:w="1312"/>
        <w:gridCol w:w="1756"/>
        <w:gridCol w:w="4020"/>
        <w:gridCol w:w="1312"/>
        <w:gridCol w:w="898"/>
        <w:gridCol w:w="2043"/>
        <w:gridCol w:w="1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4070" w:type="dxa"/>
            <w:gridSpan w:val="8"/>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20、企业职工养老网上申报系统资金项目绩效目标表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0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为进一步加强企业养老保险网上经办能力建设，规范企业养老网上业务经办管理,为参保单位和参保人员提供更加便捷高效的社会保险公共服务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服务企业覆盖率 </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是否与企业联网 </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网报单位数量</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网报单位占参保单位比例</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上报及时性</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参保单位业务完成效率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市场价</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争取降低成本</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方便企业 </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企业是否满意 </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满意企业个数 </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是否满意 </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070" w:type="dxa"/>
            <w:gridSpan w:val="8"/>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21、人才交流中心退休人员取暖费、精神文明奖项目绩效目标表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0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实现事业单位人才交流服务中心退休人员待遇。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发放人数</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补贴发放人数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补贴是否发放</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补贴发放到位率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工作开展情况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按时发放</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是否按时发放</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按月发放</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人均财政投入水平</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退休人员人均财政补助标准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按标准发放</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退休人员是否和谐稳定</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为退休人员按时足额发放各项待遇，有力促进社会和谐稳定</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退休人员反馈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待遇的稳定性</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能够保障退休职工的收入稳定</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退休职工按月领取补贴等</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退休人员反馈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退休人员是否满意</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070" w:type="dxa"/>
            <w:gridSpan w:val="8"/>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22、社保卡补卡经费项目绩效目标表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0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通过项目的开展，支付社保卡制卡过程中必要的耗材费和机器维修费用,通过项目的开展，服务对象的满意度增加。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登记人数</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16-59周岁参加城乡居民基本养老保险年末数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226355.00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60周待遇领取人数</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60周岁以上城乡居民基本养老保险待遇领取人数（累计数）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财政补助资金到位率</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实际拨入金额/最少应拨入财政专户的补助资金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财政原始凭证拨款日期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政府对60周岁以上领取基础养老金月人均补助水平</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平均待遇标准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城乡居民政策知晓率</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抽查知晓人数/抽查总人数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城乡参保对象满意度</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抽查知晓人数/抽查总人数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070" w:type="dxa"/>
            <w:gridSpan w:val="8"/>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23、涉核部队人员个人缴费补贴-县级补贴项目绩效目标表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0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确保参保居民共享经济发展成果，不断增强参保居民的获得感、幸福感,促进城乡居民基本养老保险制度健康发展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登记人数</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16-59周岁参加城乡居民基本养老保险年末数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224512.00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16-59周岁参保缴费人数</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16-59周岁参见城乡居民基本养老保险市级缴费人数（累计数）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205559.00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16-59周岁人员参保政府代缴率</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政府实际代缴人数/16-59周岁参保人员数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财政补助资金到位率</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实际拨入金额/最少应拨入财政专户的补助资金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财政原始凭证拨款日期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政府对16-59周岁参保人员中涉核人员养老保险费补贴水平</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平均缴费补贴标准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城乡居民政策知晓率 </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抽查知晓人数/抽查总人数 </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城乡参保对象满意度 </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抽查知晓人数/抽查总人数 </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070" w:type="dxa"/>
            <w:gridSpan w:val="8"/>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24、退休职工人脸生存认证系统经费项目绩效目标表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0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通过项目的开展完成全县退休人员生存认证工作，实现应发尽发，既保障了社保基金的安全又维护了社会的稳定,通过项目的开展实现实现了在家就能进行生存认证，方便了广大离退休人员。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认证人数 </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是否进行认证 </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认证系统查询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及时完成 </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工作完成及时情况 </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2020年底</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控制成本 </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反映成本控制情况 </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认证成功率</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体现认证成功率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认证系统查询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方便认证人员</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体现便民服务率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群众满意度</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体现群众满意度</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070" w:type="dxa"/>
            <w:gridSpan w:val="8"/>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25、义务兵父母个人缴费补贴项目绩效目标表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0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主要解决16-59周岁城乡居民义务兵父母缴费补贴，确保补贴及时到位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登记人数 </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16-59周岁参加城乡居民基本养老保险年末数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224512.00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16-59周岁参保缴费人数 </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16-59周岁参见城乡居民基本养老保险市级缴费人数（累计数）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205559.00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1"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16-59周岁人员义务兵父母参保政府代缴率  </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政府实际代缴人数/16-59周岁参保人员数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财政补助资金到位率 </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实际拨入金额/最少应拨入财政专户的补助资金</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财政原始凭证拨款日期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政府对16-59周岁参保人人员中代缴养老保险费水平</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平均缴费补贴标准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城乡居民政策知晓率  </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抽查知晓人数/抽查总人数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城乡参保对象满意度</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抽查知晓人数/抽查总人数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070" w:type="dxa"/>
            <w:gridSpan w:val="8"/>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26、再就业专项资金项目绩效目标表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0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落实国家和省普惠性的就业创业政策，重点支持就业困难群体就业创业，适度向就业工作任务重地方倾斜,促进各类劳动者公平就业，推动各地就业协同发展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享受补贴人员数量</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享受补贴人员</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根据本年度工作安排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补贴发放率</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补贴发放</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补贴资金在规定时间内支付到位率</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补贴资金在规定时间内支付到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社会保险补贴人均标准</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社会保险补贴人均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标准</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原则上不超过社会保险实际缴费额的2/3</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根据【2018】21号文件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因就业问题发生重大大群体性事件数量</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因就业问题发生重大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大群体性事件</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失业人员再就业人数</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失业人员再就业</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就业服务满意度</w:t>
            </w: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反映就业服务满意度</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96.00</w:t>
            </w: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bl>
    <w:p>
      <w:pPr>
        <w:spacing w:line="584" w:lineRule="exact"/>
        <w:rPr>
          <w:rFonts w:ascii="仿宋_GB2312" w:hAnsi="仿宋_GB2312" w:eastAsia="仿宋_GB2312" w:cs="仿宋_GB2312"/>
          <w:sz w:val="32"/>
          <w:szCs w:val="32"/>
        </w:rPr>
      </w:pPr>
    </w:p>
    <w:p>
      <w:pPr>
        <w:spacing w:line="584" w:lineRule="exact"/>
        <w:rPr>
          <w:rFonts w:ascii="仿宋_GB2312" w:hAnsi="仿宋_GB2312" w:eastAsia="仿宋_GB2312" w:cs="仿宋_GB2312"/>
          <w:sz w:val="32"/>
          <w:szCs w:val="32"/>
        </w:rPr>
      </w:pPr>
    </w:p>
    <w:tbl>
      <w:tblPr>
        <w:tblStyle w:val="5"/>
        <w:tblW w:w="140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66"/>
        <w:gridCol w:w="1311"/>
        <w:gridCol w:w="1746"/>
        <w:gridCol w:w="4004"/>
        <w:gridCol w:w="1311"/>
        <w:gridCol w:w="889"/>
        <w:gridCol w:w="2041"/>
        <w:gridCol w:w="16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4070" w:type="dxa"/>
            <w:gridSpan w:val="8"/>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27、再就业专项资金项目绩效目标表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0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落实国家和省普惠性的就业创业政策，重点支持就业困难群体就业创业，适度向就业工作任务重地方倾斜,促进各类劳动者公平就业，推动各地就业协同发展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享受补贴人员数量</w:t>
            </w: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享受补贴人员</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158.00</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根据本年度工作安排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补贴发放率</w:t>
            </w: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补贴发放</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97.00</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补贴资金在规定时间内支付到位率</w:t>
            </w: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补贴资金在规定时间内支付到</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社会保险补贴人均标准</w:t>
            </w: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社会保险补贴人均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标准</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原则上不超过社会保险实际缴费额的2/3</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根据【2018】21号文件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因就业问题发生重大大群体性事件数量</w:t>
            </w: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因就业问题发生重大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大群体性事件</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失业人员再就业人数</w:t>
            </w: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失业人员再就业</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就业服务满意度</w:t>
            </w: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反映就业服务满意度</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96.00</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bl>
    <w:p>
      <w:pPr>
        <w:spacing w:line="584" w:lineRule="exact"/>
        <w:rPr>
          <w:rFonts w:ascii="仿宋_GB2312" w:hAnsi="仿宋_GB2312" w:eastAsia="仿宋_GB2312" w:cs="仿宋_GB2312"/>
          <w:sz w:val="32"/>
          <w:szCs w:val="32"/>
        </w:rPr>
      </w:pPr>
    </w:p>
    <w:p>
      <w:pPr>
        <w:spacing w:line="584" w:lineRule="exact"/>
        <w:rPr>
          <w:rFonts w:ascii="仿宋_GB2312" w:hAnsi="仿宋_GB2312" w:eastAsia="仿宋_GB2312" w:cs="仿宋_GB2312"/>
          <w:sz w:val="32"/>
          <w:szCs w:val="32"/>
        </w:rPr>
      </w:pPr>
    </w:p>
    <w:tbl>
      <w:tblPr>
        <w:tblStyle w:val="5"/>
        <w:tblW w:w="140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64"/>
        <w:gridCol w:w="1311"/>
        <w:gridCol w:w="1751"/>
        <w:gridCol w:w="4002"/>
        <w:gridCol w:w="1311"/>
        <w:gridCol w:w="891"/>
        <w:gridCol w:w="2040"/>
        <w:gridCol w:w="1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4070" w:type="dxa"/>
            <w:gridSpan w:val="8"/>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28、政府购买服务人员工资及保险项目绩效目标表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0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解决我局年龄结构偏大，下设股室、事业单位人员紧缺,满足广大的人民群众对人力资源和社会保障业务的需求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政府购买人员数量</w:t>
            </w: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以政府购买公服岗位的方式</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根据[2019]65号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人员素质水平</w:t>
            </w: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通过考试招聘</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日常工作完成效率</w:t>
            </w: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工作完成率</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通过测算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工资、保险</w:t>
            </w: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工资保险发放缴纳到位率</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通过测算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提供就业岗位</w:t>
            </w: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就业岗位个数</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通过测算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1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提高群众满意度</w:t>
            </w: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提高群众满意度</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070" w:type="dxa"/>
            <w:gridSpan w:val="8"/>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29、职业技能鉴定经费项目绩效目标表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0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鉴定人员达到1000以上，职业资格证书发放率达到90%以上，持证上岗率达到70%以上，受益人群满意度达到95%以上。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鉴定人员数量</w:t>
            </w: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鉴定人员</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职业资格证书发放率 </w:t>
            </w: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职业资格证书 </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是否及时发放职业资格证书 </w:t>
            </w: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职业资格证书 </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降低培训成本</w:t>
            </w: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成本率</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持证上岗率 </w:t>
            </w: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职业资格证书 </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培养高技能人才 </w:t>
            </w: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让劳动者技能得到提升 </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是否满意 </w:t>
            </w: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受益人群 </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bl>
    <w:p>
      <w:pPr>
        <w:spacing w:line="584" w:lineRule="exact"/>
        <w:rPr>
          <w:rFonts w:ascii="仿宋_GB2312" w:hAnsi="仿宋_GB2312" w:eastAsia="仿宋_GB2312" w:cs="仿宋_GB2312"/>
          <w:sz w:val="32"/>
          <w:szCs w:val="32"/>
        </w:rPr>
      </w:pPr>
    </w:p>
    <w:p>
      <w:pPr>
        <w:spacing w:line="584" w:lineRule="exact"/>
        <w:rPr>
          <w:rFonts w:ascii="仿宋_GB2312" w:hAnsi="仿宋_GB2312" w:eastAsia="仿宋_GB2312" w:cs="仿宋_GB2312"/>
          <w:sz w:val="32"/>
          <w:szCs w:val="32"/>
        </w:rPr>
      </w:pPr>
    </w:p>
    <w:p>
      <w:pPr>
        <w:spacing w:line="584" w:lineRule="exact"/>
        <w:rPr>
          <w:rFonts w:ascii="仿宋_GB2312" w:hAnsi="仿宋_GB2312" w:eastAsia="仿宋_GB2312" w:cs="仿宋_GB2312"/>
          <w:sz w:val="32"/>
          <w:szCs w:val="32"/>
        </w:rPr>
      </w:pPr>
    </w:p>
    <w:tbl>
      <w:tblPr>
        <w:tblStyle w:val="5"/>
        <w:tblW w:w="140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72"/>
        <w:gridCol w:w="1318"/>
        <w:gridCol w:w="1756"/>
        <w:gridCol w:w="4034"/>
        <w:gridCol w:w="1318"/>
        <w:gridCol w:w="891"/>
        <w:gridCol w:w="2052"/>
        <w:gridCol w:w="1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4070" w:type="dxa"/>
            <w:gridSpan w:val="8"/>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30、职业介绍退休人员医疗、物业补贴,取暖费、精神文明奖项目绩效目标表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89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2020年按月发放代理事业单位退休人员各项待遇，2020年12月底，完成项目全部内容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发放人数     </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补贴发放人数</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120.00</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补贴是否发放</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补贴发放到位率</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工作开展情况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按时发放 </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是否按时发放</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按月发放</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人均财政投入水平</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退休人员人均财政补助标准</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按标准发放</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退休人员是否和谐稳定</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为退休人员按时足额发放各项待遇，有力促进社会和谐稳定</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退休人员反馈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待遇的稳定性</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能够保障退休职工的收入稳定</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退休职工按月领取补贴等</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退休人员反馈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退休人员是否满意</w:t>
            </w: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bl>
    <w:p>
      <w:pPr>
        <w:spacing w:line="584" w:lineRule="exact"/>
        <w:rPr>
          <w:rFonts w:ascii="仿宋_GB2312" w:hAnsi="仿宋_GB2312" w:eastAsia="仿宋_GB2312" w:cs="仿宋_GB2312"/>
          <w:sz w:val="32"/>
          <w:szCs w:val="32"/>
        </w:rPr>
      </w:pPr>
    </w:p>
    <w:tbl>
      <w:tblPr>
        <w:tblStyle w:val="5"/>
        <w:tblW w:w="140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67"/>
        <w:gridCol w:w="1313"/>
        <w:gridCol w:w="1757"/>
        <w:gridCol w:w="4022"/>
        <w:gridCol w:w="1313"/>
        <w:gridCol w:w="898"/>
        <w:gridCol w:w="2044"/>
        <w:gridCol w:w="15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4070" w:type="dxa"/>
            <w:gridSpan w:val="8"/>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31、仲裁经费项目绩效目标表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0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解决劳动人事争议、合法用工等问题,确保劳动关系和谐稳定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下乡次数</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每周2次</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调解、指导</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当事人满意率</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案件完成率</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反映案件完成率</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合同印刷费用</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降低印刷费用</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减少劳动纠纷</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反映减少劳动纠纷情况</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当事人评价</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当事人满意度</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070" w:type="dxa"/>
            <w:gridSpan w:val="8"/>
            <w:shd w:val="clear" w:color="auto" w:fill="E4ECF7"/>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32、重残、贫困等困难群体代缴个人缴费补贴-县级补贴项目绩效目标表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绩效目标</w:t>
            </w:r>
          </w:p>
        </w:tc>
        <w:tc>
          <w:tcPr>
            <w:tcW w:w="1290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确保参保居民共享经济发展成果，不断增强参保居民的获得感、幸福感，促进城乡居民基本养老保险制度健康发展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7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4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42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4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登记人数 </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16-59周岁参加城乡居民基本养老保险年末数</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224512.00</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16-59周岁参保缴费人数</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16-59周岁参见城乡居民基本养老保险市级缴费人数（累计数）</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205559.00</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16-59周岁人员参保政府代缴率 </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政府实际代缴人数/16-59周岁参保人员数</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财政补助资金到位率</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最少应拨入财政专户的补助资金</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财政原始凭证拨款日期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政府对16-59周岁参保人人员中代缴养老保险费水平</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平均缴费补贴标准</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城居保系统登记人数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城乡居民政策知晓率</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抽查知晓人数/抽查总人数</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城乡参保对象满意度 </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抽查知晓人数/抽查总人数</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bl>
    <w:p>
      <w:pPr>
        <w:autoSpaceDE w:val="0"/>
        <w:autoSpaceDN w:val="0"/>
        <w:adjustRightInd w:val="0"/>
        <w:spacing w:line="584" w:lineRule="exact"/>
        <w:ind w:firstLine="640" w:firstLineChars="200"/>
        <w:jc w:val="left"/>
        <w:rPr>
          <w:rFonts w:ascii="Times New Roman" w:hAnsi="Times New Roman" w:eastAsia="黑体"/>
          <w:sz w:val="32"/>
          <w:szCs w:val="32"/>
        </w:rPr>
      </w:pPr>
      <w:r>
        <w:rPr>
          <w:rFonts w:ascii="Times New Roman" w:hAnsi="黑体" w:eastAsia="黑体"/>
          <w:sz w:val="32"/>
          <w:szCs w:val="32"/>
        </w:rPr>
        <w:t>六、政府采购预算情况</w:t>
      </w:r>
    </w:p>
    <w:p>
      <w:pPr>
        <w:spacing w:line="584" w:lineRule="exact"/>
        <w:ind w:firstLine="640" w:firstLineChars="200"/>
        <w:outlineLvl w:val="0"/>
        <w:rPr>
          <w:rFonts w:hint="eastAsia" w:ascii="仿宋_GB2312" w:hAnsi="仿宋_GB2312" w:eastAsia="仿宋_GB2312" w:cs="仿宋_GB2312"/>
          <w:sz w:val="32"/>
          <w:szCs w:val="24"/>
        </w:rPr>
      </w:pPr>
      <w:bookmarkStart w:id="1" w:name="_Toc471398468"/>
      <w:r>
        <w:rPr>
          <w:rFonts w:hint="eastAsia" w:ascii="仿宋_GB2312" w:hAnsi="仿宋_GB2312" w:eastAsia="仿宋_GB2312" w:cs="仿宋_GB2312"/>
          <w:sz w:val="32"/>
          <w:szCs w:val="24"/>
        </w:rPr>
        <w:t>2020年，我部门</w:t>
      </w:r>
      <w:r>
        <w:rPr>
          <w:rFonts w:hint="eastAsia" w:ascii="仿宋_GB2312" w:hAnsi="仿宋_GB2312" w:eastAsia="仿宋_GB2312" w:cs="仿宋_GB2312"/>
          <w:sz w:val="32"/>
          <w:szCs w:val="24"/>
          <w:lang w:eastAsia="zh-CN"/>
        </w:rPr>
        <w:t>无</w:t>
      </w:r>
      <w:r>
        <w:rPr>
          <w:rFonts w:hint="eastAsia" w:ascii="仿宋_GB2312" w:hAnsi="仿宋_GB2312" w:eastAsia="仿宋_GB2312" w:cs="仿宋_GB2312"/>
          <w:sz w:val="32"/>
          <w:szCs w:val="24"/>
        </w:rPr>
        <w:t>政府采购</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24"/>
        </w:rPr>
        <w:t>。</w:t>
      </w:r>
    </w:p>
    <w:bookmarkEnd w:id="1"/>
    <w:p>
      <w:pPr>
        <w:autoSpaceDE w:val="0"/>
        <w:autoSpaceDN w:val="0"/>
        <w:adjustRightInd w:val="0"/>
        <w:spacing w:line="584" w:lineRule="exact"/>
        <w:ind w:firstLine="640" w:firstLineChars="200"/>
        <w:jc w:val="left"/>
        <w:rPr>
          <w:rFonts w:ascii="Times New Roman" w:hAnsi="Times New Roman" w:eastAsia="黑体"/>
          <w:sz w:val="32"/>
          <w:szCs w:val="32"/>
        </w:rPr>
      </w:pPr>
      <w:r>
        <w:rPr>
          <w:rFonts w:ascii="Times New Roman" w:hAnsi="黑体" w:eastAsia="黑体"/>
          <w:sz w:val="32"/>
          <w:szCs w:val="32"/>
        </w:rPr>
        <w:t>七、国有资产信息</w:t>
      </w:r>
    </w:p>
    <w:p>
      <w:pPr>
        <w:spacing w:line="584"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大城县</w:t>
      </w:r>
      <w:r>
        <w:rPr>
          <w:rFonts w:hint="eastAsia" w:ascii="仿宋_GB2312" w:hAnsi="仿宋_GB2312" w:eastAsia="仿宋_GB2312" w:cs="仿宋_GB2312"/>
          <w:sz w:val="32"/>
          <w:szCs w:val="32"/>
          <w:lang w:eastAsia="zh-CN"/>
        </w:rPr>
        <w:t>人力资源和社会保障局</w:t>
      </w:r>
      <w:r>
        <w:rPr>
          <w:rFonts w:hint="eastAsia" w:ascii="仿宋_GB2312" w:hAnsi="仿宋_GB2312" w:eastAsia="仿宋_GB2312" w:cs="仿宋_GB2312"/>
          <w:sz w:val="32"/>
          <w:szCs w:val="32"/>
        </w:rPr>
        <w:t>上年末固定资产金额为</w:t>
      </w:r>
      <w:r>
        <w:rPr>
          <w:rFonts w:hint="eastAsia" w:ascii="仿宋_GB2312" w:hAnsi="仿宋_GB2312" w:eastAsia="仿宋_GB2312" w:cs="仿宋_GB2312"/>
          <w:sz w:val="32"/>
          <w:szCs w:val="32"/>
          <w:lang w:val="en-US" w:eastAsia="zh-CN"/>
        </w:rPr>
        <w:t>512.846249</w:t>
      </w:r>
      <w:r>
        <w:rPr>
          <w:rFonts w:hint="eastAsia" w:ascii="仿宋_GB2312" w:hAnsi="仿宋_GB2312" w:eastAsia="仿宋_GB2312" w:cs="仿宋_GB2312"/>
          <w:sz w:val="32"/>
          <w:szCs w:val="32"/>
        </w:rPr>
        <w:t>万元，详见下表。本年度我部门拟购置固定资产共计</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万元，主要为</w:t>
      </w:r>
      <w:r>
        <w:rPr>
          <w:rFonts w:hint="eastAsia" w:ascii="仿宋_GB2312" w:hAnsi="仿宋_GB2312" w:eastAsia="仿宋_GB2312" w:cs="仿宋_GB2312"/>
          <w:sz w:val="32"/>
          <w:szCs w:val="32"/>
          <w:lang w:eastAsia="zh-CN"/>
        </w:rPr>
        <w:t>计算机、打印机、复印机。</w:t>
      </w:r>
    </w:p>
    <w:tbl>
      <w:tblPr>
        <w:tblStyle w:val="5"/>
        <w:tblW w:w="13482" w:type="dxa"/>
        <w:tblInd w:w="91"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0"/>
            <w:vAlign w:val="center"/>
          </w:tcPr>
          <w:p>
            <w:pPr>
              <w:widowControl/>
              <w:spacing w:line="584" w:lineRule="exact"/>
              <w:jc w:val="center"/>
              <w:rPr>
                <w:rFonts w:hint="eastAsia" w:ascii="Times New Roman" w:hAnsi="Times New Roman" w:eastAsia="仿宋_GB2312"/>
                <w:b/>
                <w:bCs/>
                <w:kern w:val="0"/>
                <w:sz w:val="32"/>
                <w:szCs w:val="32"/>
              </w:rPr>
            </w:pPr>
          </w:p>
          <w:p>
            <w:pPr>
              <w:widowControl/>
              <w:spacing w:line="584" w:lineRule="exact"/>
              <w:jc w:val="center"/>
              <w:rPr>
                <w:rFonts w:hint="eastAsia" w:ascii="Times New Roman" w:hAnsi="Times New Roman" w:eastAsia="仿宋_GB2312"/>
                <w:b/>
                <w:bCs/>
                <w:kern w:val="0"/>
                <w:sz w:val="32"/>
                <w:szCs w:val="32"/>
              </w:rPr>
            </w:pPr>
          </w:p>
          <w:p>
            <w:pPr>
              <w:widowControl/>
              <w:spacing w:line="584" w:lineRule="exact"/>
              <w:jc w:val="center"/>
              <w:rPr>
                <w:rFonts w:ascii="Times New Roman" w:hAnsi="Times New Roman" w:eastAsia="仿宋_GB2312"/>
                <w:b/>
                <w:bCs/>
                <w:kern w:val="0"/>
                <w:sz w:val="32"/>
                <w:szCs w:val="32"/>
              </w:rPr>
            </w:pPr>
            <w:r>
              <w:rPr>
                <w:rFonts w:hint="eastAsia" w:ascii="Times New Roman" w:hAnsi="Times New Roman" w:eastAsia="仿宋_GB2312"/>
                <w:b/>
                <w:bCs/>
                <w:kern w:val="0"/>
                <w:sz w:val="32"/>
                <w:szCs w:val="32"/>
              </w:rPr>
              <w:t>大城县</w:t>
            </w:r>
            <w:r>
              <w:rPr>
                <w:rFonts w:hint="eastAsia" w:ascii="Times New Roman" w:hAnsi="Times New Roman" w:eastAsia="仿宋_GB2312"/>
                <w:b/>
                <w:bCs/>
                <w:kern w:val="0"/>
                <w:sz w:val="32"/>
                <w:szCs w:val="32"/>
                <w:lang w:eastAsia="zh-CN"/>
              </w:rPr>
              <w:t>人力资源和社会保障局</w:t>
            </w:r>
            <w:r>
              <w:rPr>
                <w:rFonts w:ascii="Times New Roman" w:hAnsi="Times New Roman" w:eastAsia="仿宋_GB2312"/>
                <w:b/>
                <w:bCs/>
                <w:kern w:val="0"/>
                <w:sz w:val="32"/>
                <w:szCs w:val="32"/>
              </w:rPr>
              <w:t>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0"/>
            <w:vAlign w:val="center"/>
          </w:tcPr>
          <w:p>
            <w:pPr>
              <w:widowControl/>
              <w:spacing w:line="584" w:lineRule="exact"/>
              <w:jc w:val="left"/>
              <w:rPr>
                <w:rFonts w:hint="eastAsia" w:ascii="Times New Roman" w:hAnsi="Times New Roman" w:eastAsia="仿宋_GB2312"/>
                <w:kern w:val="0"/>
                <w:sz w:val="22"/>
                <w:lang w:eastAsia="zh-CN"/>
              </w:rPr>
            </w:pPr>
            <w:r>
              <w:rPr>
                <w:rFonts w:ascii="Times New Roman" w:hAnsi="Times New Roman" w:eastAsia="仿宋_GB2312"/>
                <w:kern w:val="0"/>
                <w:sz w:val="22"/>
              </w:rPr>
              <w:t>编制部门：</w:t>
            </w:r>
            <w:r>
              <w:rPr>
                <w:rFonts w:hint="eastAsia" w:ascii="Times New Roman" w:hAnsi="Times New Roman" w:eastAsia="仿宋_GB2312"/>
                <w:kern w:val="0"/>
                <w:sz w:val="22"/>
              </w:rPr>
              <w:t>大城县</w:t>
            </w:r>
            <w:r>
              <w:rPr>
                <w:rFonts w:hint="eastAsia" w:ascii="Times New Roman" w:hAnsi="Times New Roman" w:eastAsia="仿宋_GB2312"/>
                <w:kern w:val="0"/>
                <w:sz w:val="22"/>
                <w:lang w:eastAsia="zh-CN"/>
              </w:rPr>
              <w:t>人力资源和社会保障局</w:t>
            </w:r>
          </w:p>
        </w:tc>
        <w:tc>
          <w:tcPr>
            <w:tcW w:w="5103" w:type="dxa"/>
            <w:tcBorders>
              <w:top w:val="nil"/>
              <w:left w:val="nil"/>
              <w:bottom w:val="nil"/>
              <w:right w:val="nil"/>
            </w:tcBorders>
            <w:noWrap w:val="0"/>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截</w:t>
            </w:r>
            <w:r>
              <w:rPr>
                <w:rFonts w:hint="eastAsia" w:ascii="仿宋_GB2312" w:hAnsi="仿宋_GB2312" w:eastAsia="仿宋_GB2312" w:cs="仿宋_GB2312"/>
                <w:kern w:val="0"/>
                <w:sz w:val="22"/>
              </w:rPr>
              <w:t>止时间：2019年12月31日</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noWrap w:val="0"/>
            <w:vAlign w:val="center"/>
          </w:tcPr>
          <w:p>
            <w:pPr>
              <w:widowControl/>
              <w:spacing w:line="584" w:lineRule="exact"/>
              <w:jc w:val="center"/>
              <w:rPr>
                <w:rFonts w:hint="eastAsia" w:ascii="仿宋_GB2312" w:hAnsi="仿宋_GB2312" w:eastAsia="仿宋_GB2312" w:cs="仿宋_GB2312"/>
                <w:b/>
                <w:bCs/>
                <w:kern w:val="0"/>
                <w:sz w:val="22"/>
              </w:rPr>
            </w:pPr>
            <w:r>
              <w:rPr>
                <w:rFonts w:hint="eastAsia" w:ascii="仿宋_GB2312" w:hAnsi="仿宋_GB2312" w:eastAsia="仿宋_GB2312" w:cs="仿宋_GB2312"/>
                <w:b/>
                <w:bCs/>
                <w:kern w:val="0"/>
                <w:sz w:val="22"/>
              </w:rPr>
              <w:t>项目</w:t>
            </w:r>
          </w:p>
        </w:tc>
        <w:tc>
          <w:tcPr>
            <w:tcW w:w="3155" w:type="dxa"/>
            <w:tcBorders>
              <w:top w:val="single" w:color="auto" w:sz="4" w:space="0"/>
              <w:left w:val="nil"/>
              <w:bottom w:val="single" w:color="auto" w:sz="4" w:space="0"/>
              <w:right w:val="single" w:color="auto" w:sz="4" w:space="0"/>
            </w:tcBorders>
            <w:noWrap w:val="0"/>
            <w:vAlign w:val="center"/>
          </w:tcPr>
          <w:p>
            <w:pPr>
              <w:widowControl/>
              <w:spacing w:line="584" w:lineRule="exact"/>
              <w:jc w:val="center"/>
              <w:rPr>
                <w:rFonts w:hint="eastAsia" w:ascii="仿宋_GB2312" w:hAnsi="仿宋_GB2312" w:eastAsia="仿宋_GB2312" w:cs="仿宋_GB2312"/>
                <w:b/>
                <w:bCs/>
                <w:kern w:val="0"/>
                <w:sz w:val="22"/>
              </w:rPr>
            </w:pPr>
            <w:r>
              <w:rPr>
                <w:rFonts w:hint="eastAsia" w:ascii="仿宋_GB2312" w:hAnsi="仿宋_GB2312" w:eastAsia="仿宋_GB2312" w:cs="仿宋_GB2312"/>
                <w:b/>
                <w:bCs/>
                <w:kern w:val="0"/>
                <w:sz w:val="22"/>
              </w:rPr>
              <w:t>数量</w:t>
            </w:r>
          </w:p>
        </w:tc>
        <w:tc>
          <w:tcPr>
            <w:tcW w:w="5103" w:type="dxa"/>
            <w:tcBorders>
              <w:top w:val="single" w:color="auto" w:sz="4" w:space="0"/>
              <w:left w:val="nil"/>
              <w:bottom w:val="single" w:color="auto" w:sz="4" w:space="0"/>
              <w:right w:val="single" w:color="auto" w:sz="4" w:space="0"/>
            </w:tcBorders>
            <w:noWrap w:val="0"/>
            <w:vAlign w:val="center"/>
          </w:tcPr>
          <w:p>
            <w:pPr>
              <w:widowControl/>
              <w:spacing w:line="584" w:lineRule="exact"/>
              <w:jc w:val="center"/>
              <w:rPr>
                <w:rFonts w:hint="eastAsia" w:ascii="仿宋_GB2312" w:hAnsi="仿宋_GB2312" w:eastAsia="仿宋_GB2312" w:cs="仿宋_GB2312"/>
                <w:b/>
                <w:bCs/>
                <w:kern w:val="0"/>
                <w:sz w:val="22"/>
              </w:rPr>
            </w:pPr>
            <w:r>
              <w:rPr>
                <w:rFonts w:hint="eastAsia" w:ascii="仿宋_GB2312" w:hAnsi="仿宋_GB2312" w:eastAsia="仿宋_GB2312" w:cs="仿宋_GB2312"/>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0"/>
            <w:vAlign w:val="center"/>
          </w:tcPr>
          <w:p>
            <w:pPr>
              <w:widowControl/>
              <w:spacing w:line="584" w:lineRule="exact"/>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资产总额</w:t>
            </w:r>
          </w:p>
        </w:tc>
        <w:tc>
          <w:tcPr>
            <w:tcW w:w="3155" w:type="dxa"/>
            <w:tcBorders>
              <w:top w:val="nil"/>
              <w:left w:val="nil"/>
              <w:bottom w:val="single" w:color="auto" w:sz="4" w:space="0"/>
              <w:right w:val="single" w:color="auto" w:sz="4" w:space="0"/>
            </w:tcBorders>
            <w:noWrap w:val="0"/>
            <w:vAlign w:val="center"/>
          </w:tcPr>
          <w:p>
            <w:pPr>
              <w:spacing w:line="584"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w:t>
            </w:r>
          </w:p>
        </w:tc>
        <w:tc>
          <w:tcPr>
            <w:tcW w:w="5103" w:type="dxa"/>
            <w:tcBorders>
              <w:top w:val="nil"/>
              <w:left w:val="nil"/>
              <w:bottom w:val="single" w:color="auto" w:sz="4" w:space="0"/>
              <w:right w:val="single" w:color="auto" w:sz="4" w:space="0"/>
            </w:tcBorders>
            <w:noWrap w:val="0"/>
            <w:vAlign w:val="center"/>
          </w:tcPr>
          <w:p>
            <w:pPr>
              <w:spacing w:line="584" w:lineRule="exact"/>
              <w:jc w:val="center"/>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512.846249</w:t>
            </w:r>
          </w:p>
        </w:tc>
      </w:tr>
    </w:tbl>
    <w:p>
      <w:pPr>
        <w:autoSpaceDE w:val="0"/>
        <w:autoSpaceDN w:val="0"/>
        <w:adjustRightInd w:val="0"/>
        <w:spacing w:line="584" w:lineRule="exact"/>
        <w:ind w:firstLine="640" w:firstLineChars="200"/>
        <w:jc w:val="left"/>
        <w:rPr>
          <w:rFonts w:ascii="Times New Roman" w:hAnsi="Times New Roman" w:eastAsia="黑体"/>
          <w:sz w:val="32"/>
          <w:szCs w:val="32"/>
        </w:rPr>
      </w:pPr>
      <w:r>
        <w:rPr>
          <w:rFonts w:ascii="Times New Roman" w:hAnsi="黑体" w:eastAsia="黑体"/>
          <w:sz w:val="32"/>
          <w:szCs w:val="32"/>
        </w:rPr>
        <w:t>八、名词解释</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1、一般公共预算拨款收入：</w:t>
      </w:r>
      <w:r>
        <w:rPr>
          <w:rFonts w:ascii="Times New Roman" w:hAnsi="Times New Roman" w:eastAsia="仿宋_GB2312"/>
          <w:sz w:val="32"/>
          <w:szCs w:val="32"/>
        </w:rPr>
        <w:t>指</w:t>
      </w:r>
      <w:r>
        <w:rPr>
          <w:rFonts w:hint="eastAsia" w:ascii="Times New Roman" w:hAnsi="Times New Roman" w:eastAsia="仿宋_GB2312"/>
          <w:sz w:val="32"/>
          <w:szCs w:val="32"/>
        </w:rPr>
        <w:t>县</w:t>
      </w:r>
      <w:r>
        <w:rPr>
          <w:rFonts w:ascii="Times New Roman" w:hAnsi="Times New Roman" w:eastAsia="仿宋_GB2312"/>
          <w:sz w:val="32"/>
          <w:szCs w:val="32"/>
        </w:rPr>
        <w:t>级财政当年拨付的资金。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2、事业收入：</w:t>
      </w:r>
      <w:r>
        <w:rPr>
          <w:rFonts w:ascii="Times New Roman" w:hAnsi="Times New Roman" w:eastAsia="仿宋_GB2312"/>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3、其他收入：</w:t>
      </w:r>
      <w:r>
        <w:rPr>
          <w:rFonts w:ascii="Times New Roman" w:hAnsi="Times New Roman" w:eastAsia="仿宋_GB2312"/>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4、基本支出：</w:t>
      </w:r>
      <w:r>
        <w:rPr>
          <w:rFonts w:ascii="Times New Roman" w:hAnsi="Times New Roman" w:eastAsia="仿宋_GB2312"/>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5、项目支出：</w:t>
      </w:r>
      <w:r>
        <w:rPr>
          <w:rFonts w:ascii="Times New Roman" w:hAnsi="Times New Roman" w:eastAsia="仿宋_GB2312"/>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6、上缴上级支出：</w:t>
      </w:r>
      <w:r>
        <w:rPr>
          <w:rFonts w:ascii="Times New Roman" w:hAnsi="Times New Roman" w:eastAsia="仿宋_GB2312"/>
          <w:sz w:val="32"/>
          <w:szCs w:val="32"/>
        </w:rPr>
        <w:t>指下级单位上缴上级的支出。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7、“三公”经费：</w:t>
      </w:r>
      <w:r>
        <w:rPr>
          <w:rFonts w:ascii="Times New Roman" w:hAnsi="Times New Roman" w:eastAsia="仿宋_GB2312"/>
          <w:sz w:val="32"/>
          <w:szCs w:val="32"/>
        </w:rPr>
        <w:t>纳入</w:t>
      </w:r>
      <w:r>
        <w:rPr>
          <w:rFonts w:hint="eastAsia" w:ascii="Times New Roman" w:hAnsi="Times New Roman" w:eastAsia="仿宋_GB2312"/>
          <w:sz w:val="32"/>
          <w:szCs w:val="32"/>
        </w:rPr>
        <w:t>县</w:t>
      </w:r>
      <w:r>
        <w:rPr>
          <w:rFonts w:ascii="Times New Roman" w:hAnsi="Times New Roman" w:eastAsia="仿宋_GB2312"/>
          <w:sz w:val="32"/>
          <w:szCs w:val="32"/>
        </w:rPr>
        <w:t>级财政预算管理的“三公”经费，是指</w:t>
      </w:r>
      <w:r>
        <w:rPr>
          <w:rFonts w:hint="eastAsia" w:ascii="Times New Roman" w:hAnsi="Times New Roman" w:eastAsia="仿宋_GB2312"/>
          <w:sz w:val="32"/>
          <w:szCs w:val="32"/>
        </w:rPr>
        <w:t>县</w:t>
      </w:r>
      <w:r>
        <w:rPr>
          <w:rFonts w:ascii="Times New Roman" w:hAnsi="Times New Roman" w:eastAsia="仿宋_GB2312"/>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8、机关运行费：</w:t>
      </w:r>
      <w:r>
        <w:rPr>
          <w:rFonts w:ascii="Times New Roman" w:hAnsi="Times New Roman" w:eastAsia="仿宋_GB2312"/>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9、上年结转：</w:t>
      </w:r>
      <w:r>
        <w:rPr>
          <w:rFonts w:ascii="Times New Roman" w:hAnsi="Times New Roman" w:eastAsia="仿宋_GB2312"/>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10、事业单位经营支出：</w:t>
      </w:r>
      <w:r>
        <w:rPr>
          <w:rFonts w:ascii="Times New Roman" w:hAnsi="Times New Roman" w:eastAsia="仿宋_GB2312"/>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黑体" w:eastAsia="黑体"/>
          <w:sz w:val="32"/>
          <w:szCs w:val="32"/>
        </w:rPr>
      </w:pPr>
      <w:r>
        <w:rPr>
          <w:rFonts w:ascii="Times New Roman" w:hAnsi="黑体" w:eastAsia="黑体"/>
          <w:sz w:val="32"/>
          <w:szCs w:val="32"/>
        </w:rPr>
        <w:t>九、其他需要说明的事项</w:t>
      </w:r>
    </w:p>
    <w:p>
      <w:pPr>
        <w:tabs>
          <w:tab w:val="left" w:pos="11490"/>
        </w:tabs>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我部门无其他需要说明的事项。</w:t>
      </w:r>
    </w:p>
    <w:p>
      <w:pPr>
        <w:spacing w:line="584" w:lineRule="exact"/>
        <w:ind w:firstLine="640" w:firstLineChars="200"/>
        <w:rPr>
          <w:rFonts w:hint="eastAsia" w:ascii="Times New Roman" w:hAnsi="Times New Roman" w:eastAsia="仿宋_GB2312"/>
          <w:sz w:val="32"/>
          <w:szCs w:val="32"/>
        </w:rPr>
      </w:pPr>
    </w:p>
    <w:p>
      <w:pPr>
        <w:spacing w:line="584" w:lineRule="exact"/>
        <w:ind w:firstLine="640" w:firstLineChars="200"/>
        <w:rPr>
          <w:rFonts w:ascii="Times New Roman" w:hAnsi="Times New Roman" w:eastAsia="仿宋_GB2312"/>
          <w:sz w:val="32"/>
          <w:szCs w:val="32"/>
        </w:rPr>
      </w:pPr>
      <w:bookmarkStart w:id="2" w:name="_GoBack"/>
      <w:bookmarkEnd w:id="2"/>
    </w:p>
    <w:p>
      <w:pPr>
        <w:spacing w:line="584" w:lineRule="exact"/>
        <w:rPr>
          <w:rFonts w:ascii="Times New Roman" w:hAnsi="Times New Roman" w:eastAsia="仿宋_GB2312"/>
          <w:sz w:val="32"/>
          <w:szCs w:val="32"/>
        </w:rPr>
      </w:pPr>
    </w:p>
    <w:p/>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B7F598"/>
    <w:multiLevelType w:val="singleLevel"/>
    <w:tmpl w:val="AAB7F598"/>
    <w:lvl w:ilvl="0" w:tentative="0">
      <w:start w:val="5"/>
      <w:numFmt w:val="chineseCounting"/>
      <w:suff w:val="nothing"/>
      <w:lvlText w:val="%1、"/>
      <w:lvlJc w:val="left"/>
      <w:rPr>
        <w:rFonts w:hint="eastAsia"/>
      </w:rPr>
    </w:lvl>
  </w:abstractNum>
  <w:abstractNum w:abstractNumId="1">
    <w:nsid w:val="E79BC09A"/>
    <w:multiLevelType w:val="singleLevel"/>
    <w:tmpl w:val="E79BC09A"/>
    <w:lvl w:ilvl="0" w:tentative="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7464CB"/>
    <w:rsid w:val="0BAB3EE6"/>
    <w:rsid w:val="0CF552E9"/>
    <w:rsid w:val="25E279B1"/>
    <w:rsid w:val="2C0D50D5"/>
    <w:rsid w:val="34341807"/>
    <w:rsid w:val="36086773"/>
    <w:rsid w:val="3D4A04B6"/>
    <w:rsid w:val="49BF51D2"/>
    <w:rsid w:val="5C5D53A5"/>
    <w:rsid w:val="5F56688B"/>
    <w:rsid w:val="602C6804"/>
    <w:rsid w:val="62552BF6"/>
    <w:rsid w:val="641D6A3C"/>
    <w:rsid w:val="65B26B88"/>
    <w:rsid w:val="6B173984"/>
    <w:rsid w:val="6E12084A"/>
    <w:rsid w:val="7EB37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rPr>
      <w:rFonts w:ascii="微软雅黑" w:hAnsi="微软雅黑" w:eastAsia="微软雅黑" w:cs="微软雅黑"/>
      <w:sz w:val="32"/>
      <w:szCs w:val="32"/>
      <w:lang w:val="zh-CN" w:eastAsia="zh-CN" w:bidi="zh-CN"/>
    </w:rPr>
  </w:style>
  <w:style w:type="paragraph" w:styleId="3">
    <w:name w:val="footer"/>
    <w:basedOn w:val="1"/>
    <w:qFormat/>
    <w:uiPriority w:val="99"/>
    <w:pPr>
      <w:tabs>
        <w:tab w:val="center" w:pos="4153"/>
        <w:tab w:val="right" w:pos="8306"/>
      </w:tabs>
      <w:snapToGrid w:val="0"/>
      <w:jc w:val="left"/>
    </w:pPr>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2021-05-28T03:12:16Z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