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
      <w:pPr>
        <w:sectPr>
          <w:headerReference r:id="rId7" w:type="first"/>
          <w:footerReference r:id="rId10" w:type="first"/>
          <w:headerReference r:id="rId5" w:type="default"/>
          <w:footerReference r:id="rId8" w:type="default"/>
          <w:headerReference r:id="rId6" w:type="even"/>
          <w:footerReference r:id="rId9" w:type="even"/>
          <w:pgSz w:w="11906" w:h="16838"/>
          <w:pgMar w:top="0" w:right="0" w:bottom="0" w:left="0" w:header="851" w:footer="992" w:gutter="0"/>
          <w:cols w:space="425" w:num="1"/>
          <w:titlePg/>
          <w:docGrid w:type="lines"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4"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a:effectLst/>
                      </wps:spPr>
                      <wps:txbx>
                        <w:txbxContent>
                          <w:p>
                            <w:pPr>
                              <w:jc w:val="center"/>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二〇二〇年十一月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5408;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vZZLNkAAAAOAQAADwAAAAAAAAABACAAAAAiAAAAZHJzL2Rv&#10;d25yZXYueG1sUEsBAhQAFAAAAAgAh07iQN/oAGDHAQAAhgMAAA4AAAAAAAAAAQAgAAAAKAEAAGRy&#10;cy9lMm9Eb2MueG1sUEsFBgAAAAAGAAYAWQEAAGEFAAAAAA==&#10;">
                <v:fill on="f" focussize="0,0"/>
                <v:stroke on="f"/>
                <v:imagedata o:title=""/>
                <o:lock v:ext="edit" aspectratio="f"/>
                <v:textbox style="mso-fit-shape-to-text:t;">
                  <w:txbxContent>
                    <w:p>
                      <w:pPr>
                        <w:jc w:val="center"/>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二〇二〇年十一月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10"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rgbClr val="FFFFFF"/>
                        </a:solidFill>
                        <a:ln w="12700" cap="flat" cmpd="sng" algn="ctr">
                          <a:noFill/>
                          <a:prstDash val="solid"/>
                          <a:miter lim="800000"/>
                        </a:ln>
                        <a:effectLst/>
                      </wps:spPr>
                      <wps:txbx>
                        <w:txbxContent>
                          <w:p>
                            <w:pPr>
                              <w:jc w:val="center"/>
                            </w:pPr>
                          </w:p>
                        </w:txbxContent>
                      </wps:txbx>
                      <wps:bodyPr rtlCol="0" anchor="ctr" anchorCtr="0"/>
                    </wps:wsp>
                  </a:graphicData>
                </a:graphic>
              </wp:anchor>
            </w:drawing>
          </mc:Choice>
          <mc:Fallback>
            <w:pict>
              <v:shape id="椭圆 8" o:spid="_x0000_s1026" o:spt="3" type="#_x0000_t3" style="position:absolute;left:0pt;margin-left:53.5pt;margin-top:232.45pt;height:121.95pt;width:121.95pt;z-index:251662336;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Jc57ZAAAACwEAAA8AAAAAAAAAAQAgAAAAIgAAAGRycy9kb3ducmV2&#10;LnhtbFBLAQIUABQAAAAIAIdO4kC0yDsA+wEAAPIDAAAOAAAAAAAAAAEAIAAAACgBAABkcnMvZTJv&#10;RG9jLnhtbFBLBQYAAAAABgAGAFkBAACVBQ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6"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a:noFill/>
                        <a:ln>
                          <a:noFill/>
                        </a:ln>
                        <a:effectLst/>
                      </wps:spPr>
                      <wps:txbx>
                        <w:txbxContent>
                          <w:p>
                            <w:pPr>
                              <w:spacing w:line="360" w:lineRule="auto"/>
                              <w:jc w:val="center"/>
                              <w:rPr>
                                <w:kern w:val="0"/>
                                <w:sz w:val="28"/>
                                <w:szCs w:val="28"/>
                              </w:rPr>
                            </w:pPr>
                            <w:r>
                              <w:rPr>
                                <w:rFonts w:hint="eastAsia" w:ascii="Yu Gothic UI Semibold" w:hAnsi="Yu Gothic UI Semibold"/>
                                <w:color w:val="FFFFFF" w:themeColor="background1"/>
                                <w:kern w:val="24"/>
                                <w:sz w:val="72"/>
                                <w:szCs w:val="72"/>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7456;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qVam52QAAAAoBAAAPAAAAAAAAAAEAIAAAACIAAABkcnMvZG93&#10;bnJldi54bWxQSwECFAAUAAAACACHTuJArfpBecYBAAB4AwAADgAAAAAAAAABACAAAAAoAQAAZHJz&#10;L2Uyb0RvYy54bWxQSwUGAAAAAAYABgBZAQAAYAUAAAAA&#10;">
                <v:fill on="f" focussize="0,0"/>
                <v:stroke on="f"/>
                <v:imagedata o:title=""/>
                <o:lock v:ext="edit" aspectratio="f"/>
                <v:textbox style="mso-fit-shape-to-text:t;">
                  <w:txbxContent>
                    <w:p>
                      <w:pPr>
                        <w:spacing w:line="360" w:lineRule="auto"/>
                        <w:jc w:val="center"/>
                        <w:rPr>
                          <w:kern w:val="0"/>
                          <w:sz w:val="28"/>
                          <w:szCs w:val="28"/>
                        </w:rPr>
                      </w:pPr>
                      <w:r>
                        <w:rPr>
                          <w:rFonts w:hint="eastAsia" w:ascii="Yu Gothic UI Semibold" w:hAnsi="Yu Gothic UI Semibold"/>
                          <w:color w:val="FFFFFF" w:themeColor="background1"/>
                          <w:kern w:val="24"/>
                          <w:sz w:val="72"/>
                          <w:szCs w:val="72"/>
                        </w:rPr>
                        <w:t>2019</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5"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w="12700" cap="flat" cmpd="sng" algn="ctr">
                          <a:noFill/>
                          <a:prstDash val="solid"/>
                          <a:miter lim="800000"/>
                        </a:ln>
                        <a:effectLst/>
                      </wps:spPr>
                      <wps:txbx>
                        <w:txbxContent>
                          <w:p>
                            <w:pPr>
                              <w:jc w:val="center"/>
                            </w:pPr>
                          </w:p>
                        </w:txbxContent>
                      </wps:txbx>
                      <wps:bodyPr rtlCol="0" anchor="ctr" anchorCtr="0"/>
                    </wps:wsp>
                  </a:graphicData>
                </a:graphic>
              </wp:anchor>
            </w:drawing>
          </mc:Choice>
          <mc:Fallback>
            <w:pict>
              <v:shape id="椭圆 9" o:spid="_x0000_s1026" o:spt="3" type="#_x0000_t3" style="position:absolute;left:0pt;margin-left:62.2pt;margin-top:242.75pt;height:103.45pt;width:103.45pt;z-index:251666432;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KGC7YAAAACwEAAA8AAAAAAAAAAQAgAAAA&#10;IgAAAGRycy9kb3ducmV2LnhtbFBLAQIUABQAAAAIAIdO4kAsTjgMCwIAAP0DAAAOAAAAAAAAAAEA&#10;IAAAACcBAABkcnMvZTJvRG9jLnhtbFBLBQYAAAAABgAGAFkBAACkBQ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5"/>
                <wp:cNvGraphicFramePr/>
                <a:graphic xmlns:a="http://schemas.openxmlformats.org/drawingml/2006/main">
                  <a:graphicData uri="http://schemas.microsoft.com/office/word/2010/wordprocessingGroup">
                    <wpg:wgp>
                      <wpg:cNvGrpSpPr/>
                      <wpg:grpSpPr>
                        <a:xfrm>
                          <a:off x="0" y="0"/>
                          <a:ext cx="7559675" cy="272415"/>
                          <a:chOff x="1483" y="16692"/>
                          <a:chExt cx="11905" cy="429"/>
                        </a:xfrm>
                        <a:effectLst/>
                      </wpg:grpSpPr>
                      <wps:wsp>
                        <wps:cNvPr id="7" name="矩形 6"/>
                        <wps:cNvSpPr/>
                        <wps:spPr>
                          <a:xfrm>
                            <a:off x="1483" y="16692"/>
                            <a:ext cx="1125" cy="428"/>
                          </a:xfrm>
                          <a:prstGeom prst="rect">
                            <a:avLst/>
                          </a:prstGeom>
                          <a:solidFill>
                            <a:srgbClr val="FDBC11"/>
                          </a:solidFill>
                          <a:ln w="12700" cap="flat" cmpd="sng" algn="ctr">
                            <a:noFill/>
                            <a:prstDash val="solid"/>
                            <a:miter lim="800000"/>
                          </a:ln>
                          <a:effectLst/>
                        </wps:spPr>
                        <wps:bodyPr rtlCol="0" anchor="ctr" anchorCtr="0"/>
                      </wps:wsp>
                      <wps:wsp>
                        <wps:cNvPr id="11" name="矩形 7"/>
                        <wps:cNvSpPr/>
                        <wps:spPr>
                          <a:xfrm>
                            <a:off x="2608" y="16693"/>
                            <a:ext cx="10780" cy="428"/>
                          </a:xfrm>
                          <a:prstGeom prst="rect">
                            <a:avLst/>
                          </a:prstGeom>
                          <a:solidFill>
                            <a:srgbClr val="1F2959"/>
                          </a:solidFill>
                          <a:ln w="12700" cap="flat" cmpd="sng" algn="ctr">
                            <a:noFill/>
                            <a:prstDash val="solid"/>
                            <a:miter lim="800000"/>
                          </a:ln>
                          <a:effectLst/>
                        </wps:spPr>
                        <wps:bodyPr rtlCol="0" anchor="ctr" anchorCtr="0"/>
                      </wps:wsp>
                    </wpg:wgp>
                  </a:graphicData>
                </a:graphic>
              </wp:anchor>
            </w:drawing>
          </mc:Choice>
          <mc:Fallback>
            <w:pict>
              <v:group id="组合 5" o:spid="_x0000_s1026" o:spt="203" style="position:absolute;left:0pt;margin-left:1.25pt;margin-top:821.7pt;height:21.45pt;width:595.25pt;z-index:251663360;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TXJ8l2gAAAAwBAAAPAAAAAAAAAAEAIAAAACIAAABkcnMvZG93bnJldi54&#10;bWxQSwECFAAUAAAACACHTuJAFRx68aMCAAAqBwAADgAAAAAAAAABACAAAAApAQAAZHJzL2Uyb0Rv&#10;Yy54bWxQSwUGAAAAAAYABgBZAQAAPgY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a:effectLst/>
                      </wps:spPr>
                      <wps:txbx>
                        <w:txbxContent>
                          <w:p/>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4384;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kF9HbAAAADAEAAA8AAAAAAAAAAQAgAAAAIgAAAGRycy9kb3ducmV2LnhtbFBLAQIU&#10;ABQAAAAIAIdO4kBICsdgtwEAAGsDAAAOAAAAAAAAAAEAIAAAACoBAABkcnMvZTJvRG9jLnhtbFBL&#10;BQYAAAAABgAGAFkBAABTBQAAAAA=&#10;">
                <v:fill on="f" focussize="0,0"/>
                <v:stroke on="f"/>
                <v:imagedata o:title=""/>
                <o:lock v:ext="edit" aspectratio="f"/>
                <v:textbox style="mso-fit-shape-to-text:t;">
                  <w:txbxContent>
                    <w:p/>
                  </w:txbxContent>
                </v:textbox>
              </v:rect>
            </w:pict>
          </mc:Fallback>
        </mc:AlternateConten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eastAsia="黑体"/>
          <w:sz w:val="48"/>
          <w:szCs w:val="48"/>
        </w:rPr>
      </w:pPr>
      <w:r>
        <mc:AlternateContent>
          <mc:Choice Requires="wpg">
            <w:drawing>
              <wp:anchor distT="0" distB="0" distL="114300" distR="114300" simplePos="0" relativeHeight="251668480" behindDoc="1" locked="0" layoutInCell="1" allowOverlap="1">
                <wp:simplePos x="0" y="0"/>
                <wp:positionH relativeFrom="column">
                  <wp:posOffset>-1089660</wp:posOffset>
                </wp:positionH>
                <wp:positionV relativeFrom="paragraph">
                  <wp:posOffset>1391920</wp:posOffset>
                </wp:positionV>
                <wp:extent cx="7623175" cy="1710055"/>
                <wp:effectExtent l="0" t="0" r="15875" b="0"/>
                <wp:wrapNone/>
                <wp:docPr id="17" name="组合 4"/>
                <wp:cNvGraphicFramePr/>
                <a:graphic xmlns:a="http://schemas.openxmlformats.org/drawingml/2006/main">
                  <a:graphicData uri="http://schemas.microsoft.com/office/word/2010/wordprocessingGroup">
                    <wpg:wgp>
                      <wpg:cNvGrpSpPr/>
                      <wpg:grpSpPr>
                        <a:xfrm>
                          <a:off x="0" y="0"/>
                          <a:ext cx="7623175" cy="1710356"/>
                          <a:chOff x="13622" y="283"/>
                          <a:chExt cx="12005" cy="11180"/>
                        </a:xfrm>
                        <a:effectLst/>
                      </wpg:grpSpPr>
                      <wps:wsp>
                        <wps:cNvPr id="6"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anchorCtr="0"/>
                      </wps:wsp>
                      <wps:wsp>
                        <wps:cNvPr id="18" name="文本框 10"/>
                        <wps:cNvSpPr txBox="1"/>
                        <wps:spPr>
                          <a:xfrm>
                            <a:off x="17229" y="5021"/>
                            <a:ext cx="8083" cy="6442"/>
                          </a:xfrm>
                          <a:prstGeom prst="rect">
                            <a:avLst/>
                          </a:prstGeom>
                          <a:noFill/>
                          <a:ln>
                            <a:noFill/>
                          </a:ln>
                          <a:effectLst/>
                        </wps:spPr>
                        <wps:txbx>
                          <w:txbxContent>
                            <w:p>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wps:txbx>
                        <wps:bodyPr wrap="square" rtlCol="0">
                          <a:spAutoFit/>
                        </wps:bodyPr>
                      </wps:wsp>
                    </wpg:wgp>
                  </a:graphicData>
                </a:graphic>
              </wp:anchor>
            </w:drawing>
          </mc:Choice>
          <mc:Fallback>
            <w:pict>
              <v:group id="组合 4" o:spid="_x0000_s1026" o:spt="203" style="position:absolute;left:0pt;margin-left:-85.8pt;margin-top:109.6pt;height:134.65pt;width:600.25pt;z-index:-251648000;mso-width-relative:page;mso-height-relative:page;" coordorigin="13622,283" coordsize="12005,11180" o:gfxdata="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IidVM3QAAAA0BAAAPAAAAAAAAAAEAIAAAACIAAABkcnMv&#10;ZG93bnJldi54bWxQSwECFAAUAAAACACHTuJA0dzdlOICAADPBgAADgAAAAAAAAABACAAAAAsAQAA&#10;ZHJzL2Uyb0RvYy54bWxQSwUGAAAAAAYABgBZAQAAgAY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644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v:textbox>
                </v:shape>
              </v:group>
            </w:pict>
          </mc:Fallback>
        </mc:AlternateContent>
      </w:r>
      <w:r>
        <w:rPr>
          <w:rFonts w:hint="eastAsia" w:ascii="黑体" w:eastAsia="黑体"/>
          <w:sz w:val="48"/>
          <w:szCs w:val="48"/>
        </w:rPr>
        <w:br w:type="page"/>
      </w:r>
    </w:p>
    <w:p>
      <w:pPr>
        <w:tabs>
          <w:tab w:val="left" w:pos="2728"/>
        </w:tabs>
        <w:rPr>
          <w:rFonts w:ascii="黑体" w:eastAsia="黑体"/>
          <w:sz w:val="48"/>
          <w:szCs w:val="48"/>
        </w:rPr>
      </w:pPr>
      <w:r>
        <w:rPr>
          <w:rFonts w:hint="eastAsia" w:ascii="黑体" w:eastAsia="黑体"/>
          <w:sz w:val="48"/>
          <w:szCs w:val="48"/>
        </w:rPr>
        <w:tab/>
      </w:r>
    </w:p>
    <w:p>
      <w:pPr>
        <w:rPr>
          <w:rFonts w:ascii="黑体" w:hAnsi="黑体" w:eastAsia="黑体" w:cs="黑体"/>
          <w:b/>
          <w:bCs/>
          <w:sz w:val="72"/>
          <w:szCs w:val="96"/>
        </w:rPr>
      </w:pPr>
      <w:r>
        <w:rPr>
          <w:rFonts w:hint="eastAsia" w:ascii="黑体" w:hAnsi="黑体" w:eastAsia="黑体" w:cs="黑体"/>
          <w:b/>
          <w:bCs/>
          <w:sz w:val="72"/>
          <w:szCs w:val="96"/>
        </w:rPr>
        <w:t>2019年度部门决算公开文本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napToGrid w:val="0"/>
        <w:rPr>
          <w:rFonts w:ascii="黑体" w:hAnsi="黑体" w:eastAsia="黑体" w:cs="黑体"/>
          <w:sz w:val="56"/>
          <w:szCs w:val="72"/>
        </w:rPr>
      </w:pPr>
    </w:p>
    <w:p>
      <w:pPr>
        <w:snapToGrid w:val="0"/>
        <w:ind w:firstLine="2860" w:firstLineChars="650"/>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 xml:space="preserve">大城县审计局 </w:t>
      </w:r>
    </w:p>
    <w:p>
      <w:pPr>
        <w:snapToGrid w:val="0"/>
        <w:jc w:val="center"/>
        <w:rPr>
          <w:rFonts w:ascii="楷体_GB2312" w:hAnsi="楷体_GB2312" w:eastAsia="楷体_GB2312" w:cs="楷体_GB2312"/>
          <w:color w:val="000000" w:themeColor="text1"/>
          <w:kern w:val="0"/>
          <w:sz w:val="44"/>
          <w:szCs w:val="44"/>
        </w:rPr>
        <w:sectPr>
          <w:headerReference r:id="rId12" w:type="first"/>
          <w:footerReference r:id="rId13" w:type="first"/>
          <w:headerReference r:id="rId11" w:type="default"/>
          <w:type w:val="continuous"/>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rPr>
        <w:t>二〇二〇年十一月</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黑体"/>
          <w:sz w:val="32"/>
          <w:szCs w:val="32"/>
        </w:rPr>
      </w:pPr>
      <w:r>
        <w:rPr>
          <w:rFonts w:eastAsia="黑体"/>
          <w:sz w:val="32"/>
          <w:szCs w:val="32"/>
        </w:rPr>
        <w:t>第</w:t>
      </w:r>
      <w:r>
        <w:rPr>
          <w:rFonts w:hint="eastAsia" w:eastAsia="黑体"/>
          <w:sz w:val="32"/>
          <w:szCs w:val="32"/>
        </w:rPr>
        <w:t>二</w:t>
      </w:r>
      <w:r>
        <w:rPr>
          <w:rFonts w:eastAsia="黑体"/>
          <w:sz w:val="32"/>
          <w:szCs w:val="32"/>
        </w:rPr>
        <w:t>部分  201</w:t>
      </w:r>
      <w:r>
        <w:rPr>
          <w:rFonts w:hint="eastAsia" w:eastAsia="黑体"/>
          <w:sz w:val="32"/>
          <w:szCs w:val="32"/>
        </w:rPr>
        <w:t>9</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w:t>
      </w:r>
      <w:r>
        <w:rPr>
          <w:rFonts w:hint="eastAsia" w:eastAsia="黑体"/>
          <w:sz w:val="32"/>
          <w:szCs w:val="32"/>
        </w:rPr>
        <w:t>三</w:t>
      </w:r>
      <w:r>
        <w:rPr>
          <w:rFonts w:eastAsia="黑体"/>
          <w:sz w:val="32"/>
          <w:szCs w:val="32"/>
        </w:rPr>
        <w:t>部分</w:t>
      </w:r>
      <w:r>
        <w:rPr>
          <w:rFonts w:hint="eastAsia" w:eastAsia="黑体"/>
          <w:sz w:val="32"/>
          <w:szCs w:val="32"/>
        </w:rPr>
        <w:t xml:space="preserve">   相关</w:t>
      </w:r>
      <w:r>
        <w:rPr>
          <w:rFonts w:eastAsia="黑体"/>
          <w:sz w:val="32"/>
          <w:szCs w:val="32"/>
        </w:rPr>
        <w:t>名词解释</w:t>
      </w:r>
    </w:p>
    <w:p>
      <w:pPr>
        <w:widowControl/>
        <w:spacing w:line="580" w:lineRule="exact"/>
        <w:ind w:firstLine="640" w:firstLineChars="200"/>
        <w:rPr>
          <w:rFonts w:eastAsia="仿宋_GB2312"/>
          <w:sz w:val="20"/>
          <w:szCs w:val="32"/>
        </w:rPr>
      </w:pPr>
      <w:r>
        <w:rPr>
          <w:rFonts w:eastAsia="黑体"/>
          <w:sz w:val="32"/>
          <w:szCs w:val="32"/>
        </w:rPr>
        <w:t>第</w:t>
      </w:r>
      <w:r>
        <w:rPr>
          <w:rFonts w:hint="eastAsia" w:eastAsia="黑体"/>
          <w:sz w:val="32"/>
          <w:szCs w:val="32"/>
        </w:rPr>
        <w:t>四</w:t>
      </w:r>
      <w:r>
        <w:rPr>
          <w:rFonts w:eastAsia="黑体"/>
          <w:sz w:val="32"/>
          <w:szCs w:val="32"/>
        </w:rPr>
        <w:t>部分   201</w:t>
      </w:r>
      <w:r>
        <w:rPr>
          <w:rFonts w:hint="eastAsia" w:eastAsia="黑体"/>
          <w:sz w:val="32"/>
          <w:szCs w:val="32"/>
        </w:rPr>
        <w:t>9</w:t>
      </w:r>
      <w:r>
        <w:rPr>
          <w:rFonts w:eastAsia="黑体"/>
          <w:sz w:val="32"/>
          <w:szCs w:val="32"/>
        </w:rPr>
        <w:t>年度部门决算报表</w:t>
      </w:r>
    </w:p>
    <w:p/>
    <w:p/>
    <w:p/>
    <w:p/>
    <w:p/>
    <w:p/>
    <w:p/>
    <w:p/>
    <w:p/>
    <w:p>
      <w:pPr>
        <w:widowControl/>
        <w:jc w:val="center"/>
        <w:rPr>
          <w:color w:val="000000"/>
          <w:sz w:val="96"/>
          <w:szCs w:val="96"/>
        </w:rPr>
      </w:pPr>
      <w:r>
        <w:rPr>
          <w:rFonts w:hint="eastAsia" w:ascii="黑体" w:eastAsia="黑体"/>
          <w:color w:val="000000"/>
          <w:sz w:val="96"/>
          <w:szCs w:val="96"/>
        </w:rPr>
        <w:t>第一部分  部门概况</w:t>
      </w:r>
    </w:p>
    <w:p>
      <w:pPr>
        <w:jc w:val="center"/>
      </w:pPr>
    </w:p>
    <w:p/>
    <w:p/>
    <w:p>
      <w:pPr>
        <w:pStyle w:val="2"/>
        <w:spacing w:before="0" w:after="0" w:line="600" w:lineRule="exact"/>
        <w:jc w:val="left"/>
        <w:rPr>
          <w:rFonts w:ascii="黑体" w:eastAsia="黑体" w:cs="黑体"/>
          <w:b w:val="0"/>
          <w:bCs w:val="0"/>
          <w:kern w:val="0"/>
          <w:sz w:val="32"/>
          <w:szCs w:val="32"/>
        </w:rPr>
      </w:pPr>
    </w:p>
    <w:p>
      <w:pPr>
        <w:pStyle w:val="2"/>
        <w:spacing w:before="0" w:after="0" w:line="600" w:lineRule="exact"/>
        <w:jc w:val="left"/>
        <w:rPr>
          <w:rFonts w:ascii="黑体" w:eastAsia="黑体" w:cs="黑体"/>
          <w:b w:val="0"/>
          <w:bCs w:val="0"/>
          <w:kern w:val="0"/>
          <w:sz w:val="32"/>
          <w:szCs w:val="32"/>
        </w:rPr>
      </w:pPr>
    </w:p>
    <w:p/>
    <w:p/>
    <w:p/>
    <w:p/>
    <w:p/>
    <w:p/>
    <w:p>
      <w:pPr>
        <w:pStyle w:val="2"/>
        <w:spacing w:before="0" w:after="0" w:line="60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主管全县审计工作。负责对全县财政收支和依法属于审计监督范围的财务收支的真实、合法和效益进行审计监督，对公共资金、国有资产、国有资源和领导干部履行经济责任情况实行审计全覆盖，对领导干部实行自然资源资产离任审计，对国家和省委、省政府、市委、市政府、县委、县政府相关重大政策措施贯彻落实情况进行跟踪审计。对审计、专项审计调查和核查社会审计机构相关审计报告的结果承担责任，并负有督促被审计单位整改的责任。</w:t>
      </w:r>
    </w:p>
    <w:p>
      <w:pPr>
        <w:pStyle w:val="25"/>
        <w:widowControl/>
        <w:spacing w:line="60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贯彻执行审计法律、法规和方针、政策，制定审计规范性文件并监督执行；制定并组织实施全县审计工作发展规划和专业领域审计工作规划；制定并组织实施全县年度审计计划；对直接审计、调查和核查的事项依法进行审计评价，作出审计决定或提出审计建议。</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向中共大城县委审计委员会提出年度县本级预算执行和其他财政支出情况审计报告。向县长提出年度县本级预算执行和其他财政收支情况的审计结果报告。组织起草县政府向县人大常委会提出县本级预算执行和其他财政收支情况的审计工作报告、审计查出问题整改情况报告。向县委、县政府报告对其他事项的审计和专项审计调查情况及结果。依法向社会公布审计结果。向被审计单位通报审计情况和审计结果。</w:t>
      </w:r>
    </w:p>
    <w:p>
      <w:pPr>
        <w:pStyle w:val="25"/>
        <w:widowControl/>
        <w:spacing w:line="60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四）直接审计下列事项，出具审计报告，在法定职权范围内作出审计决定，包括国家和省、市、县有关重大政策措施贯彻落实情况；县本级预算执行情况和其他财政收支，县直各部门（含所属单位）预算执行情况、决算草案和其他财政收支；县级财政转移支付资金；使用县级财政资金的事业单位和社会团体的财务收支；县投资和以县投资为主的建设项目的预算执行情况和决算，县重大公共工程项目的资金管理使用和建设运营情况；自然资源管理、污染防治和生态保护与修复情况；县属国有和国有资本占控股或者主导地位的企业和金融机构境内外资产、负债和损益，县驻外非经营性机构的财务收支；有关社会保障基金、社会捐赠资金和其他基金、资金的财务收支；国际组织和外国政府援助、贷款项目；法律法规规定的其他事项。</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（五）按规定对县管党政主要领导干部及其他单位主要负责人实施经济责任审计和自然资源资产离任审计。</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（六）组织实施对财经法律法规、规章、政策和宏观调控措施执行情况、财政预算管理及国有资产管理使用等与财政收支有关的特定事项进行专项审计调查。</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（七）依法检查审计决定执行情况，督促整改审计查出的问题，依法办理被审计单位对审计决定提请行政复议、行政诉讼或县政府裁决中的有关事项，协助配合有关部门查处相关重大案件。</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（八）指导和监督内部审计工作，核查社会审计机构对依法属于审计监督对象的单位出具的相关审计报告。</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（九）组织开展审计领域的交流与合作，指导和推广信息技术在审计领域的应用。</w:t>
      </w:r>
    </w:p>
    <w:p>
      <w:pPr>
        <w:spacing w:line="600" w:lineRule="exact"/>
        <w:ind w:left="596" w:leftChars="284"/>
        <w:rPr>
          <w:rFonts w:ascii="仿宋_GB2312" w:hAnsi="仿宋_GB2312" w:eastAsia="仿宋_GB2312" w:cs="仿宋_GB2312"/>
          <w:sz w:val="32"/>
          <w:szCs w:val="32"/>
        </w:rPr>
      </w:pPr>
      <w:r>
        <w:rPr>
          <w:rFonts w:hint="eastAsia" w:ascii="仿宋_GB2312" w:hAnsi="仿宋_GB2312" w:eastAsia="仿宋_GB2312" w:cs="仿宋_GB2312"/>
          <w:sz w:val="32"/>
          <w:szCs w:val="32"/>
        </w:rPr>
        <w:t>（十）完成县委、县政府和市审计局交办的其他任务。</w:t>
      </w:r>
    </w:p>
    <w:p>
      <w:pPr>
        <w:pStyle w:val="2"/>
        <w:spacing w:before="0" w:after="0" w:line="60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二、机构设置</w:t>
      </w:r>
    </w:p>
    <w:p>
      <w:pPr>
        <w:spacing w:after="0" w:line="560" w:lineRule="exact"/>
        <w:ind w:firstLine="640" w:firstLineChars="200"/>
        <w:rPr>
          <w:rFonts w:ascii="仿宋_GB2312" w:eastAsia="仿宋_GB2312" w:cs="ArialUnicodeMS"/>
          <w:kern w:val="0"/>
          <w:sz w:val="32"/>
          <w:szCs w:val="32"/>
        </w:rPr>
      </w:pPr>
      <w:r>
        <w:rPr>
          <w:rFonts w:hint="eastAsia" w:ascii="仿宋_GB2312" w:eastAsia="仿宋_GB2312" w:cs="ArialUnicodeMS"/>
          <w:kern w:val="0"/>
          <w:sz w:val="32"/>
          <w:szCs w:val="32"/>
        </w:rPr>
        <w:t>从决算编报单位构成看，纳入2019 年度本部门决算汇编范围的独立核算单位（以下简称“单位”）共1个，具体情况如下：</w:t>
      </w:r>
    </w:p>
    <w:p>
      <w:pPr>
        <w:spacing w:after="0" w:line="560" w:lineRule="exact"/>
        <w:ind w:firstLine="640" w:firstLineChars="200"/>
        <w:rPr>
          <w:rFonts w:ascii="仿宋_GB2312" w:eastAsia="仿宋_GB2312" w:cs="ArialUnicodeMS"/>
          <w:kern w:val="0"/>
          <w:sz w:val="32"/>
          <w:szCs w:val="32"/>
        </w:rPr>
      </w:pPr>
    </w:p>
    <w:tbl>
      <w:tblPr>
        <w:tblStyle w:val="1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181"/>
        <w:gridCol w:w="1396"/>
        <w:gridCol w:w="1439"/>
        <w:gridCol w:w="2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0" w:hRule="atLeast"/>
          <w:tblHeader/>
          <w:jc w:val="center"/>
        </w:trPr>
        <w:tc>
          <w:tcPr>
            <w:tcW w:w="4181" w:type="dxa"/>
            <w:vMerge w:val="restart"/>
            <w:vAlign w:val="center"/>
          </w:tcPr>
          <w:p>
            <w:pPr>
              <w:spacing w:after="0" w:line="560" w:lineRule="exact"/>
              <w:jc w:val="center"/>
              <w:rPr>
                <w:rFonts w:ascii="仿宋_GB2312" w:eastAsia="仿宋_GB2312" w:cs="ArialUnicodeMS"/>
                <w:b/>
                <w:bCs/>
                <w:kern w:val="0"/>
                <w:sz w:val="28"/>
                <w:szCs w:val="28"/>
              </w:rPr>
            </w:pPr>
            <w:r>
              <w:rPr>
                <w:rFonts w:ascii="仿宋_GB2312" w:eastAsia="仿宋_GB2312" w:cs="ArialUnicodeMS"/>
                <w:b/>
                <w:bCs/>
                <w:kern w:val="0"/>
                <w:sz w:val="28"/>
                <w:szCs w:val="28"/>
              </w:rPr>
              <w:t>单位名称</w:t>
            </w:r>
          </w:p>
        </w:tc>
        <w:tc>
          <w:tcPr>
            <w:tcW w:w="1396" w:type="dxa"/>
            <w:vMerge w:val="restart"/>
            <w:vAlign w:val="center"/>
          </w:tcPr>
          <w:p>
            <w:pPr>
              <w:spacing w:after="0" w:line="560" w:lineRule="exact"/>
              <w:jc w:val="center"/>
              <w:rPr>
                <w:rFonts w:ascii="仿宋_GB2312" w:eastAsia="仿宋_GB2312" w:cs="ArialUnicodeMS"/>
                <w:b/>
                <w:bCs/>
                <w:kern w:val="0"/>
                <w:sz w:val="28"/>
                <w:szCs w:val="28"/>
              </w:rPr>
            </w:pPr>
            <w:r>
              <w:rPr>
                <w:rFonts w:ascii="仿宋_GB2312" w:eastAsia="仿宋_GB2312" w:cs="ArialUnicodeMS"/>
                <w:b/>
                <w:bCs/>
                <w:kern w:val="0"/>
                <w:sz w:val="28"/>
                <w:szCs w:val="28"/>
              </w:rPr>
              <w:t>单位性质</w:t>
            </w:r>
          </w:p>
        </w:tc>
        <w:tc>
          <w:tcPr>
            <w:tcW w:w="1439" w:type="dxa"/>
            <w:vMerge w:val="restart"/>
            <w:vAlign w:val="center"/>
          </w:tcPr>
          <w:p>
            <w:pPr>
              <w:spacing w:after="0" w:line="560" w:lineRule="exact"/>
              <w:jc w:val="center"/>
              <w:rPr>
                <w:rFonts w:ascii="仿宋_GB2312" w:eastAsia="仿宋_GB2312" w:cs="ArialUnicodeMS"/>
                <w:b/>
                <w:bCs/>
                <w:kern w:val="0"/>
                <w:sz w:val="28"/>
                <w:szCs w:val="28"/>
              </w:rPr>
            </w:pPr>
            <w:r>
              <w:rPr>
                <w:rFonts w:ascii="仿宋_GB2312" w:eastAsia="仿宋_GB2312" w:cs="ArialUnicodeMS"/>
                <w:b/>
                <w:bCs/>
                <w:kern w:val="0"/>
                <w:sz w:val="28"/>
                <w:szCs w:val="28"/>
              </w:rPr>
              <w:t>单位规格</w:t>
            </w:r>
          </w:p>
        </w:tc>
        <w:tc>
          <w:tcPr>
            <w:tcW w:w="2739" w:type="dxa"/>
            <w:vMerge w:val="restart"/>
            <w:vAlign w:val="center"/>
          </w:tcPr>
          <w:p>
            <w:pPr>
              <w:spacing w:after="0" w:line="560" w:lineRule="exact"/>
              <w:jc w:val="center"/>
              <w:rPr>
                <w:rFonts w:ascii="仿宋_GB2312" w:eastAsia="仿宋_GB2312" w:cs="ArialUnicodeMS"/>
                <w:b/>
                <w:bCs/>
                <w:kern w:val="0"/>
                <w:sz w:val="28"/>
                <w:szCs w:val="28"/>
              </w:rPr>
            </w:pPr>
            <w:r>
              <w:rPr>
                <w:rFonts w:ascii="仿宋_GB2312" w:eastAsia="仿宋_GB2312" w:cs="ArialUnicodeMS"/>
                <w:b/>
                <w:bCs/>
                <w:kern w:val="0"/>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0" w:hRule="atLeast"/>
          <w:tblHeader/>
          <w:jc w:val="center"/>
        </w:trPr>
        <w:tc>
          <w:tcPr>
            <w:tcW w:w="4181" w:type="dxa"/>
            <w:vMerge w:val="continue"/>
            <w:vAlign w:val="center"/>
          </w:tcPr>
          <w:p>
            <w:pPr>
              <w:spacing w:after="0" w:line="560" w:lineRule="exact"/>
              <w:jc w:val="center"/>
              <w:rPr>
                <w:rFonts w:ascii="仿宋_GB2312" w:eastAsia="仿宋_GB2312" w:cs="ArialUnicodeMS"/>
                <w:b/>
                <w:bCs/>
                <w:kern w:val="0"/>
                <w:sz w:val="28"/>
                <w:szCs w:val="28"/>
              </w:rPr>
            </w:pPr>
          </w:p>
        </w:tc>
        <w:tc>
          <w:tcPr>
            <w:tcW w:w="1396" w:type="dxa"/>
            <w:vMerge w:val="continue"/>
            <w:vAlign w:val="center"/>
          </w:tcPr>
          <w:p>
            <w:pPr>
              <w:spacing w:after="0" w:line="560" w:lineRule="exact"/>
              <w:jc w:val="center"/>
              <w:rPr>
                <w:rFonts w:ascii="仿宋_GB2312" w:eastAsia="仿宋_GB2312" w:cs="ArialUnicodeMS"/>
                <w:b/>
                <w:bCs/>
                <w:kern w:val="0"/>
                <w:sz w:val="28"/>
                <w:szCs w:val="28"/>
              </w:rPr>
            </w:pPr>
          </w:p>
        </w:tc>
        <w:tc>
          <w:tcPr>
            <w:tcW w:w="1439" w:type="dxa"/>
            <w:vMerge w:val="continue"/>
            <w:vAlign w:val="center"/>
          </w:tcPr>
          <w:p>
            <w:pPr>
              <w:spacing w:after="0" w:line="560" w:lineRule="exact"/>
              <w:jc w:val="center"/>
              <w:rPr>
                <w:rFonts w:ascii="仿宋_GB2312" w:eastAsia="仿宋_GB2312" w:cs="ArialUnicodeMS"/>
                <w:b/>
                <w:bCs/>
                <w:kern w:val="0"/>
                <w:sz w:val="28"/>
                <w:szCs w:val="28"/>
              </w:rPr>
            </w:pPr>
          </w:p>
        </w:tc>
        <w:tc>
          <w:tcPr>
            <w:tcW w:w="2739" w:type="dxa"/>
            <w:vMerge w:val="continue"/>
            <w:vAlign w:val="center"/>
          </w:tcPr>
          <w:p>
            <w:pPr>
              <w:spacing w:after="0" w:line="560" w:lineRule="exact"/>
              <w:jc w:val="center"/>
              <w:rPr>
                <w:rFonts w:ascii="仿宋_GB2312" w:eastAsia="仿宋_GB2312" w:cs="ArialUnicodeMS"/>
                <w:b/>
                <w:bCs/>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181" w:type="dxa"/>
            <w:vAlign w:val="center"/>
          </w:tcPr>
          <w:p>
            <w:pPr>
              <w:spacing w:after="0"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大城县审计局</w:t>
            </w:r>
          </w:p>
        </w:tc>
        <w:tc>
          <w:tcPr>
            <w:tcW w:w="1396" w:type="dxa"/>
            <w:vAlign w:val="center"/>
          </w:tcPr>
          <w:p>
            <w:pPr>
              <w:spacing w:after="0"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行政</w:t>
            </w:r>
          </w:p>
        </w:tc>
        <w:tc>
          <w:tcPr>
            <w:tcW w:w="1439" w:type="dxa"/>
            <w:vAlign w:val="center"/>
          </w:tcPr>
          <w:p>
            <w:pPr>
              <w:spacing w:after="0"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科级</w:t>
            </w:r>
          </w:p>
        </w:tc>
        <w:tc>
          <w:tcPr>
            <w:tcW w:w="2739" w:type="dxa"/>
            <w:vAlign w:val="center"/>
          </w:tcPr>
          <w:p>
            <w:pPr>
              <w:spacing w:after="0"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财政拨款</w:t>
            </w:r>
          </w:p>
        </w:tc>
      </w:tr>
    </w:tbl>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rPr>
          <w:rFonts w:ascii="宋体" w:cs="ArialUnicodeMS"/>
          <w:color w:val="000000"/>
          <w:kern w:val="0"/>
        </w:rPr>
      </w:pPr>
    </w:p>
    <w:p>
      <w:pPr>
        <w:rPr>
          <w:rFonts w:ascii="宋体" w:cs="ArialUnicodeMS"/>
          <w:color w:val="000000"/>
          <w:kern w:val="0"/>
        </w:rPr>
        <w:sectPr>
          <w:pgSz w:w="11906" w:h="16838"/>
          <w:pgMar w:top="720" w:right="720" w:bottom="720" w:left="720" w:header="851" w:footer="992" w:gutter="0"/>
          <w:cols w:space="720" w:num="1"/>
          <w:docGrid w:type="lines" w:linePitch="312" w:charSpace="0"/>
        </w:sect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0"/>
          <w:szCs w:val="90"/>
        </w:rPr>
      </w:pPr>
    </w:p>
    <w:p>
      <w:pPr>
        <w:widowControl/>
        <w:spacing w:line="1200" w:lineRule="exact"/>
        <w:jc w:val="center"/>
        <w:rPr>
          <w:rFonts w:ascii="黑体" w:eastAsia="黑体"/>
          <w:color w:val="000000"/>
          <w:sz w:val="90"/>
          <w:szCs w:val="90"/>
        </w:rPr>
      </w:pPr>
      <w:r>
        <w:rPr>
          <w:rFonts w:hint="eastAsia" w:ascii="黑体" w:eastAsia="黑体"/>
          <w:color w:val="000000"/>
          <w:sz w:val="90"/>
          <w:szCs w:val="90"/>
        </w:rPr>
        <w:t>第二部分</w:t>
      </w:r>
    </w:p>
    <w:p>
      <w:pPr>
        <w:widowControl/>
        <w:spacing w:line="1200" w:lineRule="exact"/>
        <w:jc w:val="center"/>
        <w:rPr>
          <w:rFonts w:ascii="黑体" w:eastAsia="黑体"/>
          <w:color w:val="000000"/>
          <w:sz w:val="90"/>
          <w:szCs w:val="90"/>
        </w:rPr>
      </w:pPr>
      <w:r>
        <w:rPr>
          <w:rFonts w:hint="eastAsia" w:ascii="黑体" w:eastAsia="黑体"/>
          <w:color w:val="000000"/>
          <w:sz w:val="90"/>
          <w:szCs w:val="90"/>
        </w:rPr>
        <w:t>2019年部门决算</w:t>
      </w:r>
    </w:p>
    <w:p>
      <w:pPr>
        <w:widowControl/>
        <w:spacing w:line="1200" w:lineRule="exact"/>
        <w:jc w:val="center"/>
        <w:rPr>
          <w:color w:val="000000"/>
          <w:sz w:val="90"/>
          <w:szCs w:val="90"/>
        </w:rPr>
      </w:pPr>
      <w:r>
        <w:rPr>
          <w:rFonts w:hint="eastAsia" w:ascii="黑体" w:eastAsia="黑体"/>
          <w:color w:val="000000"/>
          <w:sz w:val="90"/>
          <w:szCs w:val="90"/>
        </w:rPr>
        <w:t>情况说明</w:t>
      </w:r>
    </w:p>
    <w:p>
      <w:pPr>
        <w:rPr>
          <w:rFonts w:ascii="宋体" w:cs="ArialUnicodeMS"/>
          <w:color w:val="000000"/>
          <w:kern w:val="0"/>
        </w:rPr>
        <w:sectPr>
          <w:pgSz w:w="11906" w:h="16838"/>
          <w:pgMar w:top="1588" w:right="2098" w:bottom="1474" w:left="1984" w:header="851" w:footer="992" w:gutter="0"/>
          <w:cols w:space="72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Calibri" w:hAnsi="Calibri" w:eastAsia="仿宋_GB2312"/>
          <w:sz w:val="32"/>
          <w:szCs w:val="32"/>
        </w:rPr>
      </w:pPr>
      <w:r>
        <w:rPr>
          <w:rFonts w:eastAsia="仿宋_GB2312"/>
          <w:sz w:val="32"/>
          <w:szCs w:val="32"/>
        </w:rPr>
        <w:t>201</w:t>
      </w:r>
      <w:r>
        <w:rPr>
          <w:rFonts w:hint="eastAsia" w:eastAsia="仿宋_GB2312"/>
          <w:sz w:val="32"/>
          <w:szCs w:val="32"/>
        </w:rPr>
        <w:t>9</w:t>
      </w:r>
      <w:r>
        <w:rPr>
          <w:rFonts w:hint="eastAsia" w:ascii="仿宋_GB2312" w:eastAsia="仿宋_GB2312" w:cs="仿宋_GB2312"/>
          <w:sz w:val="32"/>
          <w:szCs w:val="32"/>
        </w:rPr>
        <w:t>年度年初结转和结余</w:t>
      </w:r>
      <w:r>
        <w:rPr>
          <w:rFonts w:ascii="仿宋_GB2312" w:eastAsia="仿宋_GB2312" w:cs="仿宋_GB2312"/>
          <w:sz w:val="32"/>
          <w:szCs w:val="32"/>
        </w:rPr>
        <w:t>89</w:t>
      </w: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2万元，本年收入</w:t>
      </w:r>
      <w:r>
        <w:rPr>
          <w:rFonts w:eastAsia="仿宋_GB2312"/>
          <w:sz w:val="32"/>
          <w:szCs w:val="32"/>
        </w:rPr>
        <w:t>588</w:t>
      </w:r>
      <w:r>
        <w:rPr>
          <w:rFonts w:hint="eastAsia" w:eastAsia="仿宋_GB2312"/>
          <w:sz w:val="32"/>
          <w:szCs w:val="32"/>
        </w:rPr>
        <w:t>.80</w:t>
      </w:r>
      <w:r>
        <w:rPr>
          <w:rFonts w:hint="eastAsia" w:ascii="仿宋_GB2312" w:eastAsia="仿宋_GB2312" w:cs="仿宋_GB2312"/>
          <w:sz w:val="32"/>
          <w:szCs w:val="32"/>
        </w:rPr>
        <w:t>万元，本年支出</w:t>
      </w:r>
      <w:r>
        <w:rPr>
          <w:rFonts w:hint="eastAsia" w:eastAsia="仿宋_GB2312"/>
          <w:sz w:val="32"/>
          <w:szCs w:val="32"/>
        </w:rPr>
        <w:t>603.59</w:t>
      </w:r>
      <w:r>
        <w:rPr>
          <w:rFonts w:hint="eastAsia" w:ascii="仿宋_GB2312" w:eastAsia="仿宋_GB2312" w:cs="仿宋_GB2312"/>
          <w:sz w:val="32"/>
          <w:szCs w:val="32"/>
        </w:rPr>
        <w:t>万元，用事业基金弥补收支差额</w:t>
      </w:r>
      <w:r>
        <w:rPr>
          <w:rFonts w:eastAsia="仿宋_GB2312"/>
          <w:sz w:val="32"/>
          <w:szCs w:val="32"/>
        </w:rPr>
        <w:t>0</w:t>
      </w:r>
      <w:r>
        <w:rPr>
          <w:rFonts w:hint="eastAsia" w:ascii="仿宋_GB2312" w:eastAsia="仿宋_GB2312" w:cs="仿宋_GB2312"/>
          <w:sz w:val="32"/>
          <w:szCs w:val="32"/>
        </w:rPr>
        <w:t>万元，结余分配</w:t>
      </w:r>
      <w:r>
        <w:rPr>
          <w:rFonts w:eastAsia="仿宋_GB2312"/>
          <w:sz w:val="32"/>
          <w:szCs w:val="32"/>
        </w:rPr>
        <w:t>0</w:t>
      </w:r>
      <w:r>
        <w:rPr>
          <w:rFonts w:hint="eastAsia" w:ascii="仿宋_GB2312" w:eastAsia="仿宋_GB2312" w:cs="仿宋_GB2312"/>
          <w:sz w:val="32"/>
          <w:szCs w:val="32"/>
        </w:rPr>
        <w:t>万元，年末结转和结余</w:t>
      </w:r>
      <w:r>
        <w:rPr>
          <w:rFonts w:eastAsia="仿宋_GB2312"/>
          <w:sz w:val="32"/>
          <w:szCs w:val="32"/>
        </w:rPr>
        <w:t>74</w:t>
      </w:r>
      <w:r>
        <w:rPr>
          <w:rFonts w:hint="eastAsia" w:eastAsia="仿宋_GB2312"/>
          <w:sz w:val="32"/>
          <w:szCs w:val="32"/>
        </w:rPr>
        <w:t>.</w:t>
      </w:r>
      <w:r>
        <w:rPr>
          <w:rFonts w:eastAsia="仿宋_GB2312"/>
          <w:sz w:val="32"/>
          <w:szCs w:val="32"/>
        </w:rPr>
        <w:t>7</w:t>
      </w:r>
      <w:r>
        <w:rPr>
          <w:rFonts w:hint="eastAsia" w:eastAsia="仿宋_GB2312"/>
          <w:sz w:val="32"/>
          <w:szCs w:val="32"/>
        </w:rPr>
        <w:t>3</w:t>
      </w:r>
      <w:r>
        <w:rPr>
          <w:rFonts w:hint="eastAsia" w:ascii="仿宋_GB2312" w:eastAsia="仿宋_GB2312" w:cs="仿宋_GB2312"/>
          <w:sz w:val="32"/>
          <w:szCs w:val="32"/>
        </w:rPr>
        <w:t>万元。</w:t>
      </w:r>
      <w:r>
        <w:rPr>
          <w:rFonts w:hint="eastAsia" w:ascii="Calibri" w:hAnsi="Calibri" w:eastAsia="仿宋_GB2312"/>
          <w:sz w:val="32"/>
          <w:szCs w:val="32"/>
        </w:rPr>
        <w:t>收入部分比2018年决算收入减少184.30万元，减少了31.3%，主要是因为项目减少经费。支出部分比2018年决算支出减少9.72万元，减少了1.61%，主要是因为项目减少经费。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本部门2019年度本年收入</w:t>
      </w:r>
      <w:r>
        <w:rPr>
          <w:rFonts w:eastAsia="仿宋_GB2312"/>
          <w:sz w:val="32"/>
          <w:szCs w:val="32"/>
        </w:rPr>
        <w:t>588</w:t>
      </w:r>
      <w:r>
        <w:rPr>
          <w:rFonts w:hint="eastAsia" w:eastAsia="仿宋_GB2312"/>
          <w:sz w:val="32"/>
          <w:szCs w:val="32"/>
        </w:rPr>
        <w:t>.80</w:t>
      </w:r>
      <w:r>
        <w:rPr>
          <w:rFonts w:hint="eastAsia" w:ascii="仿宋_GB2312" w:eastAsia="仿宋_GB2312" w:cs="DengXian-Regular"/>
          <w:sz w:val="32"/>
          <w:szCs w:val="32"/>
        </w:rPr>
        <w:t>万元，其中：财政拨款收入</w:t>
      </w:r>
      <w:r>
        <w:rPr>
          <w:rFonts w:eastAsia="仿宋_GB2312"/>
          <w:sz w:val="32"/>
          <w:szCs w:val="32"/>
        </w:rPr>
        <w:t>588</w:t>
      </w:r>
      <w:r>
        <w:rPr>
          <w:rFonts w:hint="eastAsia" w:eastAsia="仿宋_GB2312"/>
          <w:sz w:val="32"/>
          <w:szCs w:val="32"/>
        </w:rPr>
        <w:t>.80</w:t>
      </w:r>
      <w:r>
        <w:rPr>
          <w:rFonts w:hint="eastAsia" w:ascii="仿宋_GB2312" w:eastAsia="仿宋_GB2312" w:cs="DengXian-Regular"/>
          <w:sz w:val="32"/>
          <w:szCs w:val="32"/>
        </w:rPr>
        <w:t>万元，占100%。如图所示：</w:t>
      </w:r>
    </w:p>
    <w:p>
      <w:pPr>
        <w:jc w:val="left"/>
        <w:rPr>
          <w:rFonts w:ascii="黑体" w:eastAsia="黑体" w:cs="Arial"/>
          <w:sz w:val="32"/>
          <w:szCs w:val="32"/>
        </w:rPr>
      </w:pPr>
      <w:r>
        <w:rPr>
          <w:sz w:val="32"/>
        </w:rPr>
        <mc:AlternateContent>
          <mc:Choice Requires="wps">
            <w:drawing>
              <wp:anchor distT="0" distB="0" distL="114300" distR="114300" simplePos="0" relativeHeight="251659264" behindDoc="0" locked="0" layoutInCell="1" allowOverlap="1">
                <wp:simplePos x="0" y="0"/>
                <wp:positionH relativeFrom="column">
                  <wp:posOffset>483235</wp:posOffset>
                </wp:positionH>
                <wp:positionV relativeFrom="paragraph">
                  <wp:posOffset>107315</wp:posOffset>
                </wp:positionV>
                <wp:extent cx="3221990" cy="3161030"/>
                <wp:effectExtent l="12700" t="12700" r="22860" b="26670"/>
                <wp:wrapNone/>
                <wp:docPr id="9" name="椭圆"/>
                <wp:cNvGraphicFramePr/>
                <a:graphic xmlns:a="http://schemas.openxmlformats.org/drawingml/2006/main">
                  <a:graphicData uri="http://schemas.microsoft.com/office/word/2010/wordprocessingShape">
                    <wps:wsp>
                      <wps:cNvSpPr/>
                      <wps:spPr>
                        <a:xfrm>
                          <a:off x="0" y="0"/>
                          <a:ext cx="3456940" cy="3504564"/>
                        </a:xfrm>
                        <a:prstGeom prst="ellipse">
                          <a:avLst/>
                        </a:prstGeom>
                        <a:solidFill>
                          <a:srgbClr val="F0A22E"/>
                        </a:solidFill>
                        <a:ln w="25400" cap="flat" cmpd="sng">
                          <a:solidFill>
                            <a:srgbClr val="B0761F"/>
                          </a:solidFill>
                          <a:prstDash val="solid"/>
                          <a:miter/>
                        </a:ln>
                        <a:effectLst/>
                      </wps:spPr>
                      <wps:txbx>
                        <w:txbxContent>
                          <w:p>
                            <w:pPr>
                              <w:jc w:val="center"/>
                              <w:rPr>
                                <w:color w:val="FF0000"/>
                              </w:rPr>
                            </w:pPr>
                            <w:r>
                              <w:rPr>
                                <w:rFonts w:hint="eastAsia"/>
                                <w:color w:val="FF0000"/>
                              </w:rPr>
                              <w:t>财政收入100%</w:t>
                            </w:r>
                          </w:p>
                        </w:txbxContent>
                      </wps:txbx>
                      <wps:bodyPr vert="horz" wrap="square" lIns="91440" tIns="45720" rIns="91440" bIns="45720" anchor="ctr" anchorCtr="0" upright="1">
                        <a:noAutofit/>
                      </wps:bodyPr>
                    </wps:wsp>
                  </a:graphicData>
                </a:graphic>
              </wp:anchor>
            </w:drawing>
          </mc:Choice>
          <mc:Fallback>
            <w:pict>
              <v:shape id="椭圆" o:spid="_x0000_s1026" o:spt="3" type="#_x0000_t3" style="position:absolute;left:0pt;margin-left:38.05pt;margin-top:8.45pt;height:248.9pt;width:253.7pt;z-index:251659264;v-text-anchor:middle;mso-width-relative:page;mso-height-relative:page;" fillcolor="#F0A22E" filled="t" stroked="t" coordsize="21600,21600" o:gfxdata="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3KEydkAAAAJAQAADwAAAAAAAAABACAAAAAiAAAAZHJzL2Rvd25yZXYueG1s&#10;UEsBAhQAFAAAAAgAh07iQL30yuYwAgAAaQQAAA4AAAAAAAAAAQAgAAAAKAEAAGRycy9lMm9Eb2Mu&#10;eG1sUEsFBgAAAAAGAAYAWQEAAMoFAAAAAA==&#10;">
                <v:fill on="t" focussize="0,0"/>
                <v:stroke weight="2pt" color="#B0761F" joinstyle="miter"/>
                <v:imagedata o:title=""/>
                <o:lock v:ext="edit" aspectratio="f"/>
                <v:textbox>
                  <w:txbxContent>
                    <w:p>
                      <w:pPr>
                        <w:jc w:val="center"/>
                        <w:rPr>
                          <w:color w:val="FF0000"/>
                        </w:rPr>
                      </w:pPr>
                      <w:r>
                        <w:rPr>
                          <w:rFonts w:hint="eastAsia"/>
                          <w:color w:val="FF0000"/>
                        </w:rPr>
                        <w:t>财政收入100%</w:t>
                      </w:r>
                    </w:p>
                  </w:txbxContent>
                </v:textbox>
              </v:shape>
            </w:pict>
          </mc:Fallback>
        </mc:AlternateContent>
      </w:r>
    </w:p>
    <w:p>
      <w:pPr>
        <w:jc w:val="left"/>
        <w:rPr>
          <w:rFonts w:ascii="黑体" w:eastAsia="黑体" w:cs="Arial"/>
          <w:sz w:val="32"/>
          <w:szCs w:val="32"/>
        </w:rPr>
      </w:pPr>
    </w:p>
    <w:p>
      <w:pPr>
        <w:jc w:val="left"/>
        <w:rPr>
          <w:rFonts w:ascii="黑体" w:eastAsia="黑体" w:cs="Arial"/>
          <w:sz w:val="32"/>
          <w:szCs w:val="32"/>
        </w:rPr>
      </w:pPr>
    </w:p>
    <w:p>
      <w:pPr>
        <w:jc w:val="left"/>
        <w:rPr>
          <w:rFonts w:ascii="黑体" w:eastAsia="黑体" w:cs="Arial"/>
          <w:sz w:val="32"/>
          <w:szCs w:val="32"/>
        </w:rPr>
      </w:pPr>
    </w:p>
    <w:p>
      <w:pPr>
        <w:jc w:val="left"/>
        <w:rPr>
          <w:rFonts w:ascii="黑体" w:eastAsia="黑体" w:cs="Arial"/>
          <w:sz w:val="32"/>
          <w:szCs w:val="32"/>
        </w:rPr>
      </w:pPr>
    </w:p>
    <w:p>
      <w:pPr>
        <w:jc w:val="left"/>
        <w:rPr>
          <w:rFonts w:ascii="黑体" w:eastAsia="黑体" w:cs="Arial"/>
          <w:sz w:val="32"/>
          <w:szCs w:val="32"/>
        </w:rPr>
      </w:pPr>
    </w:p>
    <w:p>
      <w:pPr>
        <w:jc w:val="left"/>
        <w:rPr>
          <w:rFonts w:ascii="黑体" w:eastAsia="黑体" w:cs="Arial"/>
          <w:sz w:val="32"/>
          <w:szCs w:val="32"/>
        </w:rPr>
      </w:pPr>
    </w:p>
    <w:p>
      <w:pPr>
        <w:adjustRightInd w:val="0"/>
        <w:snapToGrid w:val="0"/>
        <w:spacing w:line="584" w:lineRule="exact"/>
        <w:ind w:firstLine="1280" w:firstLineChars="400"/>
        <w:rPr>
          <w:rFonts w:eastAsia="仿宋_GB2312"/>
          <w:sz w:val="32"/>
          <w:szCs w:val="32"/>
        </w:rPr>
      </w:pPr>
      <w:r>
        <w:rPr>
          <w:rFonts w:eastAsia="仿宋_GB2312"/>
          <w:sz w:val="32"/>
          <w:szCs w:val="32"/>
        </w:rPr>
        <w:t>图1：收入决算结构饼状图</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ind w:firstLine="640" w:firstLineChars="200"/>
        <w:rPr>
          <w:rFonts w:eastAsia="仿宋_GB2312"/>
          <w:sz w:val="32"/>
          <w:szCs w:val="32"/>
        </w:rPr>
      </w:pPr>
      <w:r>
        <w:rPr>
          <w:rFonts w:hint="eastAsia" w:ascii="仿宋_GB2312" w:eastAsia="仿宋_GB2312" w:cs="DengXian-Regular"/>
          <w:sz w:val="32"/>
          <w:szCs w:val="32"/>
        </w:rPr>
        <w:t>本部门2019年度本年支出合计</w:t>
      </w:r>
      <w:r>
        <w:rPr>
          <w:rFonts w:hint="eastAsia" w:eastAsia="仿宋_GB2312"/>
          <w:sz w:val="32"/>
          <w:szCs w:val="32"/>
        </w:rPr>
        <w:t>603.59</w:t>
      </w:r>
      <w:r>
        <w:rPr>
          <w:rFonts w:hint="eastAsia" w:ascii="仿宋_GB2312" w:eastAsia="仿宋_GB2312" w:cs="DengXian-Regular"/>
          <w:sz w:val="32"/>
          <w:szCs w:val="32"/>
        </w:rPr>
        <w:t>万元，其中：基本支出539.02万元，占89.3%；项目支出64.57万元，占10.7%。如图所示：</w:t>
      </w:r>
    </w:p>
    <w:p>
      <w:pPr>
        <w:adjustRightInd w:val="0"/>
        <w:snapToGrid w:val="0"/>
        <w:spacing w:after="0" w:line="580" w:lineRule="exact"/>
        <w:ind w:firstLine="640" w:firstLineChars="200"/>
        <w:jc w:val="center"/>
        <w:rPr>
          <w:rFonts w:ascii="仿宋_GB2312" w:eastAsia="仿宋_GB2312" w:cs="DengXian-Regular"/>
          <w:sz w:val="32"/>
          <w:szCs w:val="32"/>
        </w:rPr>
      </w:pPr>
    </w:p>
    <w:p>
      <w:pPr>
        <w:adjustRightInd w:val="0"/>
        <w:snapToGrid w:val="0"/>
        <w:spacing w:after="0" w:line="580" w:lineRule="exact"/>
        <w:ind w:firstLine="640" w:firstLineChars="200"/>
        <w:jc w:val="center"/>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ind w:firstLine="640" w:firstLineChars="200"/>
        <w:jc w:val="center"/>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71552" behindDoc="0" locked="0" layoutInCell="1" allowOverlap="1">
            <wp:simplePos x="0" y="0"/>
            <wp:positionH relativeFrom="column">
              <wp:posOffset>1419225</wp:posOffset>
            </wp:positionH>
            <wp:positionV relativeFrom="paragraph">
              <wp:posOffset>99695</wp:posOffset>
            </wp:positionV>
            <wp:extent cx="4000500" cy="2743200"/>
            <wp:effectExtent l="19050" t="0" r="19050" b="0"/>
            <wp:wrapNone/>
            <wp:docPr id="2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after="0" w:line="580" w:lineRule="exact"/>
        <w:ind w:firstLine="640" w:firstLineChars="200"/>
        <w:jc w:val="center"/>
        <w:rPr>
          <w:rFonts w:eastAsia="仿宋_GB2312"/>
          <w:sz w:val="32"/>
          <w:szCs w:val="32"/>
        </w:rPr>
      </w:pPr>
    </w:p>
    <w:p>
      <w:pPr>
        <w:adjustRightInd w:val="0"/>
        <w:snapToGrid w:val="0"/>
        <w:spacing w:after="0" w:line="580" w:lineRule="exact"/>
        <w:ind w:firstLine="640" w:firstLineChars="200"/>
        <w:jc w:val="center"/>
        <w:rPr>
          <w:rFonts w:eastAsia="仿宋_GB2312"/>
          <w:sz w:val="32"/>
          <w:szCs w:val="32"/>
        </w:rPr>
      </w:pPr>
    </w:p>
    <w:p>
      <w:pPr>
        <w:adjustRightInd w:val="0"/>
        <w:snapToGrid w:val="0"/>
        <w:spacing w:after="0" w:line="580" w:lineRule="exact"/>
        <w:ind w:firstLine="640" w:firstLineChars="200"/>
        <w:jc w:val="center"/>
        <w:rPr>
          <w:rFonts w:eastAsia="仿宋_GB2312"/>
          <w:sz w:val="32"/>
          <w:szCs w:val="32"/>
        </w:rPr>
      </w:pPr>
    </w:p>
    <w:p>
      <w:pPr>
        <w:adjustRightInd w:val="0"/>
        <w:snapToGrid w:val="0"/>
        <w:spacing w:after="0" w:line="580" w:lineRule="exact"/>
        <w:ind w:firstLine="640" w:firstLineChars="200"/>
        <w:jc w:val="center"/>
        <w:rPr>
          <w:rFonts w:eastAsia="仿宋_GB2312"/>
          <w:sz w:val="32"/>
          <w:szCs w:val="32"/>
        </w:rPr>
      </w:pPr>
    </w:p>
    <w:p>
      <w:pPr>
        <w:adjustRightInd w:val="0"/>
        <w:snapToGrid w:val="0"/>
        <w:spacing w:after="0" w:line="580" w:lineRule="exact"/>
        <w:ind w:firstLine="640" w:firstLineChars="200"/>
        <w:jc w:val="center"/>
        <w:rPr>
          <w:rFonts w:eastAsia="仿宋_GB2312"/>
          <w:sz w:val="32"/>
          <w:szCs w:val="32"/>
        </w:rPr>
      </w:pPr>
    </w:p>
    <w:p>
      <w:pPr>
        <w:adjustRightInd w:val="0"/>
        <w:snapToGrid w:val="0"/>
        <w:spacing w:after="0" w:line="580" w:lineRule="exact"/>
        <w:ind w:firstLine="640" w:firstLineChars="200"/>
        <w:jc w:val="center"/>
        <w:rPr>
          <w:rFonts w:eastAsia="仿宋_GB2312"/>
          <w:sz w:val="32"/>
          <w:szCs w:val="32"/>
        </w:rPr>
      </w:pPr>
    </w:p>
    <w:p>
      <w:pPr>
        <w:adjustRightInd w:val="0"/>
        <w:snapToGrid w:val="0"/>
        <w:spacing w:after="0" w:line="580" w:lineRule="exact"/>
        <w:rPr>
          <w:rFonts w:eastAsia="仿宋_GB2312"/>
          <w:sz w:val="32"/>
          <w:szCs w:val="32"/>
        </w:rPr>
      </w:pPr>
    </w:p>
    <w:p>
      <w:pPr>
        <w:adjustRightInd w:val="0"/>
        <w:snapToGrid w:val="0"/>
        <w:spacing w:after="0" w:line="580" w:lineRule="exact"/>
        <w:ind w:firstLine="640" w:firstLineChars="200"/>
        <w:jc w:val="center"/>
        <w:rPr>
          <w:rFonts w:eastAsia="仿宋_GB2312"/>
          <w:sz w:val="32"/>
          <w:szCs w:val="32"/>
        </w:rPr>
      </w:pPr>
      <w:r>
        <w:rPr>
          <w:rFonts w:eastAsia="仿宋_GB2312"/>
          <w:sz w:val="32"/>
          <w:szCs w:val="32"/>
        </w:rPr>
        <w:t>图2：支出决算结构饼状</w:t>
      </w:r>
      <w:r>
        <w:rPr>
          <w:rFonts w:hint="eastAsia" w:eastAsia="仿宋_GB2312"/>
          <w:sz w:val="32"/>
          <w:szCs w:val="32"/>
        </w:rPr>
        <w:t>图</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（一）财政拨款收支与2018 年度决算对比情况</w:t>
      </w:r>
    </w:p>
    <w:p>
      <w:pPr>
        <w:spacing w:after="0"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本部门2019年度财政拨款本年</w:t>
      </w:r>
      <w:r>
        <w:rPr>
          <w:rFonts w:hint="eastAsia" w:ascii="Calibri" w:hAnsi="Calibri" w:eastAsia="仿宋_GB2312"/>
          <w:sz w:val="32"/>
          <w:szCs w:val="32"/>
        </w:rPr>
        <w:t>收入部分比2018年决算收入减少184.30万元，减少了31.3%，主要是因为项目减少经费。支出部分比2018年决算支出减少9.72万元，减少了1.61 %，主要是因为项目减少经费。</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具体情况如下：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一般公共预算财政拨款本年收入588.8万元，比上年减少</w:t>
      </w:r>
      <w:r>
        <w:rPr>
          <w:rFonts w:hint="eastAsia" w:ascii="Calibri" w:hAnsi="Calibri" w:eastAsia="仿宋_GB2312"/>
          <w:sz w:val="32"/>
          <w:szCs w:val="32"/>
        </w:rPr>
        <w:t>184.30</w:t>
      </w:r>
      <w:r>
        <w:rPr>
          <w:rFonts w:hint="eastAsia" w:ascii="仿宋_GB2312" w:eastAsia="仿宋_GB2312" w:cs="DengXian-Regular"/>
          <w:sz w:val="32"/>
          <w:szCs w:val="32"/>
        </w:rPr>
        <w:t xml:space="preserve">   万元,降低31.3 %，；主要是</w:t>
      </w:r>
      <w:r>
        <w:rPr>
          <w:rFonts w:hint="eastAsia" w:ascii="Calibri" w:hAnsi="Calibri" w:eastAsia="仿宋_GB2312"/>
          <w:sz w:val="32"/>
          <w:szCs w:val="32"/>
        </w:rPr>
        <w:t>因为项目减少经费</w:t>
      </w:r>
      <w:r>
        <w:rPr>
          <w:rFonts w:hint="eastAsia" w:ascii="仿宋_GB2312" w:eastAsia="仿宋_GB2312" w:cs="DengXian-Regular"/>
          <w:sz w:val="32"/>
          <w:szCs w:val="32"/>
        </w:rPr>
        <w:t>；本年支出603.59万元，比上年减少9.72万元，减少1.61%，主要是</w:t>
      </w:r>
      <w:r>
        <w:rPr>
          <w:rFonts w:hint="eastAsia" w:ascii="Calibri" w:hAnsi="Calibri" w:eastAsia="仿宋_GB2312"/>
          <w:sz w:val="32"/>
          <w:szCs w:val="32"/>
        </w:rPr>
        <w:t>因为项目减少经费</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70528" behindDoc="0" locked="0" layoutInCell="1" allowOverlap="1">
            <wp:simplePos x="0" y="0"/>
            <wp:positionH relativeFrom="column">
              <wp:posOffset>1219200</wp:posOffset>
            </wp:positionH>
            <wp:positionV relativeFrom="paragraph">
              <wp:posOffset>77470</wp:posOffset>
            </wp:positionV>
            <wp:extent cx="4657725" cy="3619500"/>
            <wp:effectExtent l="19050" t="0" r="9525" b="0"/>
            <wp:wrapNone/>
            <wp:docPr id="2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                            </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spacing w:after="0" w:line="580" w:lineRule="exact"/>
        <w:rPr>
          <w:rFonts w:ascii="楷体_GB2312" w:eastAsia="楷体_GB2312" w:cs="DengXian-Bold"/>
          <w:b/>
          <w:bCs/>
          <w:sz w:val="32"/>
          <w:szCs w:val="32"/>
        </w:rPr>
      </w:pPr>
    </w:p>
    <w:p>
      <w:pPr>
        <w:spacing w:after="0" w:line="580" w:lineRule="exact"/>
        <w:rPr>
          <w:rFonts w:ascii="楷体_GB2312" w:eastAsia="楷体_GB2312" w:cs="DengXian-Bold"/>
          <w:b/>
          <w:bCs/>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r>
        <w:rPr>
          <w:rFonts w:hint="eastAsia" w:eastAsia="仿宋_GB2312"/>
          <w:sz w:val="32"/>
          <w:szCs w:val="32"/>
        </w:rPr>
        <w:t>图3：财政拨款收支情况</w:t>
      </w:r>
    </w:p>
    <w:p>
      <w:pPr>
        <w:spacing w:after="0" w:line="580" w:lineRule="exact"/>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本部门2019年度财政拨款本年收入</w:t>
      </w:r>
      <w:r>
        <w:rPr>
          <w:rFonts w:eastAsia="仿宋_GB2312"/>
          <w:sz w:val="32"/>
          <w:szCs w:val="32"/>
        </w:rPr>
        <w:t>588</w:t>
      </w:r>
      <w:r>
        <w:rPr>
          <w:rFonts w:hint="eastAsia" w:eastAsia="仿宋_GB2312"/>
          <w:sz w:val="32"/>
          <w:szCs w:val="32"/>
        </w:rPr>
        <w:t>.80</w:t>
      </w:r>
      <w:r>
        <w:rPr>
          <w:rFonts w:hint="eastAsia" w:ascii="仿宋_GB2312" w:eastAsia="仿宋_GB2312" w:cs="DengXian-Regular"/>
          <w:sz w:val="32"/>
          <w:szCs w:val="32"/>
        </w:rPr>
        <w:t>万元，完成年初预算的125.36%（如图4）,比年初预算增加119.1万元，决算数大于预算数主要原因是</w:t>
      </w:r>
      <w:r>
        <w:rPr>
          <w:rFonts w:hint="eastAsia" w:ascii="Calibri" w:hAnsi="Calibri" w:eastAsia="仿宋_GB2312"/>
          <w:sz w:val="32"/>
          <w:szCs w:val="32"/>
        </w:rPr>
        <w:t>因为增加各项经费</w:t>
      </w:r>
      <w:r>
        <w:rPr>
          <w:rFonts w:hint="eastAsia" w:ascii="仿宋_GB2312" w:eastAsia="仿宋_GB2312" w:cs="DengXian-Regular"/>
          <w:sz w:val="32"/>
          <w:szCs w:val="32"/>
        </w:rPr>
        <w:t>；本年支出</w:t>
      </w:r>
      <w:r>
        <w:rPr>
          <w:rFonts w:hint="eastAsia" w:eastAsia="仿宋_GB2312"/>
          <w:sz w:val="32"/>
          <w:szCs w:val="32"/>
        </w:rPr>
        <w:t>603.59</w:t>
      </w:r>
      <w:r>
        <w:rPr>
          <w:rFonts w:hint="eastAsia" w:ascii="仿宋_GB2312" w:eastAsia="仿宋_GB2312" w:cs="DengXian-Regular"/>
          <w:sz w:val="32"/>
          <w:szCs w:val="32"/>
        </w:rPr>
        <w:t>万元，完成年初预算的128.5%,比年初预算增加133.89万元，决算数大于预算数主要是</w:t>
      </w:r>
      <w:r>
        <w:rPr>
          <w:rFonts w:hint="eastAsia" w:ascii="Calibri" w:hAnsi="Calibri" w:eastAsia="仿宋_GB2312"/>
          <w:sz w:val="32"/>
          <w:szCs w:val="32"/>
        </w:rPr>
        <w:t>因为增加各项经费</w:t>
      </w:r>
      <w:r>
        <w:rPr>
          <w:rFonts w:hint="eastAsia" w:ascii="仿宋_GB2312" w:eastAsia="仿宋_GB2312" w:cs="DengXian-Regular"/>
          <w:sz w:val="32"/>
          <w:szCs w:val="32"/>
        </w:rPr>
        <w:t>。具体情况如下：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一般公共预算财政拨款本年收入比年初预算增加119.1万元，主要是</w:t>
      </w:r>
      <w:r>
        <w:rPr>
          <w:rFonts w:hint="eastAsia" w:ascii="Calibri" w:hAnsi="Calibri" w:eastAsia="仿宋_GB2312"/>
          <w:sz w:val="32"/>
          <w:szCs w:val="32"/>
        </w:rPr>
        <w:t>因为增加各项经费</w:t>
      </w:r>
      <w:r>
        <w:rPr>
          <w:rFonts w:hint="eastAsia" w:ascii="仿宋_GB2312" w:eastAsia="仿宋_GB2312" w:cs="DengXian-Regular"/>
          <w:sz w:val="32"/>
          <w:szCs w:val="32"/>
        </w:rPr>
        <w:t>；支出比年初预算增加133.89万元，主要是</w:t>
      </w:r>
      <w:r>
        <w:rPr>
          <w:rFonts w:hint="eastAsia" w:ascii="Calibri" w:hAnsi="Calibri" w:eastAsia="仿宋_GB2312"/>
          <w:sz w:val="32"/>
          <w:szCs w:val="32"/>
        </w:rPr>
        <w:t>因为增加各项经费</w:t>
      </w:r>
      <w:r>
        <w:rPr>
          <w:rFonts w:hint="eastAsia" w:ascii="仿宋_GB2312" w:eastAsia="仿宋_GB2312" w:cs="DengXian-Regular"/>
          <w:sz w:val="32"/>
          <w:szCs w:val="32"/>
        </w:rPr>
        <w:t>。</w:t>
      </w:r>
    </w:p>
    <w:p>
      <w:pPr>
        <w:adjustRightInd w:val="0"/>
        <w:snapToGrid w:val="0"/>
        <w:spacing w:after="0" w:line="580" w:lineRule="exact"/>
        <w:rPr>
          <w:rFonts w:eastAsia="仿宋_GB2312"/>
          <w:sz w:val="32"/>
          <w:szCs w:val="32"/>
        </w:rPr>
      </w:pPr>
      <w:r>
        <w:rPr>
          <w:rFonts w:hint="eastAsia" w:ascii="仿宋_GB2312" w:eastAsia="仿宋_GB2312" w:cs="DengXian-Regular"/>
          <w:sz w:val="32"/>
          <w:szCs w:val="32"/>
        </w:rPr>
        <w:drawing>
          <wp:anchor distT="0" distB="0" distL="114300" distR="114300" simplePos="0" relativeHeight="251669504" behindDoc="0" locked="0" layoutInCell="1" allowOverlap="1">
            <wp:simplePos x="0" y="0"/>
            <wp:positionH relativeFrom="column">
              <wp:posOffset>600075</wp:posOffset>
            </wp:positionH>
            <wp:positionV relativeFrom="paragraph">
              <wp:posOffset>144145</wp:posOffset>
            </wp:positionV>
            <wp:extent cx="5408930" cy="3657600"/>
            <wp:effectExtent l="19050" t="0" r="20320" b="0"/>
            <wp:wrapTopAndBottom/>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adjustRightInd w:val="0"/>
        <w:snapToGrid w:val="0"/>
        <w:spacing w:after="0" w:line="580" w:lineRule="exact"/>
        <w:jc w:val="center"/>
        <w:rPr>
          <w:rFonts w:eastAsia="仿宋_GB2312"/>
          <w:sz w:val="32"/>
          <w:szCs w:val="32"/>
        </w:rPr>
      </w:pPr>
      <w:r>
        <w:rPr>
          <w:rFonts w:hint="eastAsia" w:eastAsia="仿宋_GB2312"/>
          <w:sz w:val="32"/>
          <w:szCs w:val="32"/>
        </w:rPr>
        <w:t>图4：财政拨款收支预决算对比情况</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ind w:firstLine="480" w:firstLineChars="150"/>
        <w:rPr>
          <w:rFonts w:ascii="仿宋_GB2312" w:eastAsia="仿宋_GB2312" w:cs="DengXian-Regular"/>
          <w:sz w:val="32"/>
          <w:szCs w:val="32"/>
        </w:rPr>
      </w:pPr>
      <w:r>
        <w:rPr>
          <w:rFonts w:hint="eastAsia" w:ascii="仿宋_GB2312" w:eastAsia="仿宋_GB2312" w:cs="DengXian-Regular"/>
          <w:sz w:val="32"/>
          <w:szCs w:val="32"/>
        </w:rPr>
        <w:t>2019 年度财政拨款支出603.59万元，主要用于以下方面：一般公共服务支出</w:t>
      </w:r>
      <w:r>
        <w:rPr>
          <w:rFonts w:hint="eastAsia" w:eastAsia="仿宋_GB2312"/>
          <w:sz w:val="32"/>
          <w:szCs w:val="32"/>
        </w:rPr>
        <w:t>539.02</w:t>
      </w:r>
      <w:r>
        <w:rPr>
          <w:rFonts w:hint="eastAsia" w:ascii="仿宋_GB2312" w:eastAsia="仿宋_GB2312" w:cs="DengXian-Regular"/>
          <w:sz w:val="32"/>
          <w:szCs w:val="32"/>
        </w:rPr>
        <w:t>万元，占89.31%；社会保障和就业支出42.64万元，占7.03%；卫生健康支出15.20万元，占2.54 %;农林水支出 5.40万元，占0.89%；住房保障支出1.33万元，占0.23%。财政拨款支出决算结构情况如图5所示：</w:t>
      </w:r>
    </w:p>
    <w:p>
      <w:pPr>
        <w:ind w:firstLine="480" w:firstLineChars="150"/>
        <w:rPr>
          <w:rFonts w:ascii="仿宋_GB2312" w:eastAsia="仿宋_GB2312" w:cs="DengXian-Regular"/>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r>
        <w:rPr>
          <w:rFonts w:hint="eastAsia" w:eastAsia="仿宋_GB2312"/>
          <w:sz w:val="32"/>
          <w:szCs w:val="32"/>
        </w:rPr>
        <w:drawing>
          <wp:anchor distT="0" distB="0" distL="114300" distR="114300" simplePos="0" relativeHeight="251672576" behindDoc="0" locked="0" layoutInCell="1" allowOverlap="1">
            <wp:simplePos x="0" y="0"/>
            <wp:positionH relativeFrom="column">
              <wp:posOffset>1171575</wp:posOffset>
            </wp:positionH>
            <wp:positionV relativeFrom="paragraph">
              <wp:posOffset>61595</wp:posOffset>
            </wp:positionV>
            <wp:extent cx="4572000" cy="2743200"/>
            <wp:effectExtent l="19050" t="0" r="19050" b="0"/>
            <wp:wrapNone/>
            <wp:docPr id="2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r>
        <w:rPr>
          <w:rFonts w:hint="eastAsia" w:eastAsia="仿宋_GB2312"/>
          <w:sz w:val="32"/>
          <w:szCs w:val="32"/>
        </w:rPr>
        <w:t>图5：财政拨款支出决算结构图</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rPr>
          <w:rFonts w:ascii="仿宋_GB2312" w:eastAsia="仿宋_GB2312" w:cs="DengXian-Regular"/>
          <w:sz w:val="32"/>
          <w:szCs w:val="32"/>
        </w:rPr>
      </w:pPr>
      <w:r>
        <w:rPr>
          <w:rFonts w:hint="eastAsia" w:ascii="仿宋_GB2312" w:eastAsia="仿宋_GB2312" w:cs="DengXian-Regular"/>
          <w:sz w:val="32"/>
          <w:szCs w:val="32"/>
        </w:rPr>
        <w:t>2019 年度一般公共预算财政拨款基本支出539.02万元，其中：人员经费501.05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37.97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部门201</w:t>
      </w:r>
      <w:r>
        <w:rPr>
          <w:rFonts w:hint="eastAsia" w:eastAsia="仿宋_GB2312"/>
          <w:sz w:val="32"/>
          <w:szCs w:val="32"/>
        </w:rPr>
        <w:t>9</w:t>
      </w:r>
      <w:r>
        <w:rPr>
          <w:rFonts w:eastAsia="仿宋_GB2312"/>
          <w:sz w:val="32"/>
          <w:szCs w:val="32"/>
        </w:rPr>
        <w:t>年度一般公共预算“三公”经费支出共计</w:t>
      </w:r>
      <w:r>
        <w:rPr>
          <w:rFonts w:hint="eastAsia" w:eastAsia="仿宋_GB2312"/>
          <w:sz w:val="32"/>
          <w:szCs w:val="32"/>
        </w:rPr>
        <w:t>3.5</w:t>
      </w:r>
      <w:r>
        <w:rPr>
          <w:rFonts w:eastAsia="仿宋_GB2312"/>
          <w:sz w:val="32"/>
          <w:szCs w:val="32"/>
        </w:rPr>
        <w:t>万元，</w:t>
      </w:r>
      <w:r>
        <w:rPr>
          <w:rFonts w:hint="eastAsia" w:eastAsia="仿宋_GB2312"/>
          <w:sz w:val="32"/>
          <w:szCs w:val="32"/>
        </w:rPr>
        <w:t>与比</w:t>
      </w:r>
      <w:r>
        <w:rPr>
          <w:rFonts w:eastAsia="仿宋_GB2312"/>
          <w:sz w:val="32"/>
          <w:szCs w:val="32"/>
        </w:rPr>
        <w:t>年初预算减少</w:t>
      </w:r>
      <w:r>
        <w:rPr>
          <w:rFonts w:hint="eastAsia" w:eastAsia="仿宋_GB2312"/>
          <w:sz w:val="32"/>
          <w:szCs w:val="32"/>
        </w:rPr>
        <w:t>5.15</w:t>
      </w:r>
      <w:r>
        <w:rPr>
          <w:rFonts w:eastAsia="仿宋_GB2312"/>
          <w:sz w:val="32"/>
          <w:szCs w:val="32"/>
        </w:rPr>
        <w:t>万元，降低</w:t>
      </w:r>
      <w:r>
        <w:rPr>
          <w:rFonts w:hint="eastAsia" w:eastAsia="仿宋_GB2312"/>
          <w:sz w:val="32"/>
          <w:szCs w:val="32"/>
        </w:rPr>
        <w:t>47.14</w:t>
      </w:r>
      <w:r>
        <w:rPr>
          <w:rFonts w:eastAsia="仿宋_GB2312"/>
          <w:sz w:val="32"/>
          <w:szCs w:val="32"/>
        </w:rPr>
        <w:t>%，主要是</w:t>
      </w:r>
      <w:r>
        <w:rPr>
          <w:rFonts w:hint="eastAsia" w:eastAsia="仿宋_GB2312"/>
          <w:sz w:val="32"/>
          <w:szCs w:val="32"/>
        </w:rPr>
        <w:t>公务接待费减少、会议费减少</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8</w:t>
      </w:r>
      <w:r>
        <w:rPr>
          <w:rFonts w:eastAsia="仿宋_GB2312"/>
          <w:sz w:val="32"/>
          <w:szCs w:val="32"/>
        </w:rPr>
        <w:t>年度决算减少</w:t>
      </w:r>
      <w:r>
        <w:rPr>
          <w:rFonts w:hint="eastAsia" w:eastAsia="仿宋_GB2312"/>
          <w:sz w:val="32"/>
          <w:szCs w:val="32"/>
        </w:rPr>
        <w:t>0.2</w:t>
      </w:r>
      <w:r>
        <w:rPr>
          <w:rFonts w:eastAsia="仿宋_GB2312"/>
          <w:sz w:val="32"/>
          <w:szCs w:val="32"/>
        </w:rPr>
        <w:t>万元，降低</w:t>
      </w:r>
      <w:r>
        <w:rPr>
          <w:rFonts w:hint="eastAsia" w:eastAsia="仿宋_GB2312"/>
          <w:sz w:val="32"/>
          <w:szCs w:val="32"/>
        </w:rPr>
        <w:t>5.71%</w:t>
      </w:r>
      <w:r>
        <w:rPr>
          <w:rFonts w:eastAsia="仿宋_GB2312"/>
          <w:sz w:val="32"/>
          <w:szCs w:val="32"/>
        </w:rPr>
        <w:t>，主要是</w:t>
      </w:r>
      <w:r>
        <w:rPr>
          <w:rFonts w:hint="eastAsia" w:eastAsia="仿宋_GB2312"/>
          <w:sz w:val="32"/>
          <w:szCs w:val="32"/>
        </w:rPr>
        <w:t>公务接待费减少</w:t>
      </w:r>
      <w:r>
        <w:rPr>
          <w:rFonts w:eastAsia="仿宋_GB2312"/>
          <w:sz w:val="32"/>
          <w:szCs w:val="32"/>
        </w:rPr>
        <w:t>。具体情况如下：</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2019年度因公出国（境）团组0个、共0人/参加其他单位组织的因公出国（境）团组0个、共0人/无本单位组织的出国（境）团组。因公出国（境）费支出较预算增加（减少）0万元；较上年增加（减少）0万元，主要是</w:t>
      </w:r>
      <w:r>
        <w:rPr>
          <w:rFonts w:hint="eastAsia" w:eastAsia="仿宋_GB2312"/>
          <w:sz w:val="32"/>
          <w:szCs w:val="32"/>
        </w:rPr>
        <w:t>2019年我单位无因公出国任务</w:t>
      </w:r>
      <w:r>
        <w:rPr>
          <w:rFonts w:hint="eastAsia" w:ascii="仿宋_GB2312" w:eastAsia="仿宋_GB2312" w:cs="DengXian-Regular"/>
          <w:sz w:val="32"/>
          <w:szCs w:val="32"/>
        </w:rPr>
        <w:t>。</w:t>
      </w:r>
    </w:p>
    <w:p>
      <w:pPr>
        <w:adjustRightInd w:val="0"/>
        <w:snapToGrid w:val="0"/>
        <w:spacing w:line="580" w:lineRule="exact"/>
        <w:ind w:firstLine="643" w:firstLineChars="200"/>
        <w:rPr>
          <w:rFonts w:ascii="仿宋_GB2312" w:eastAsia="仿宋_GB2312" w:cs="DengXian-Bold"/>
          <w:b/>
          <w:bCs/>
          <w:sz w:val="32"/>
          <w:szCs w:val="32"/>
        </w:rPr>
      </w:pPr>
      <w:r>
        <w:rPr>
          <w:rFonts w:eastAsia="楷体_GB2312"/>
          <w:b/>
          <w:bCs/>
          <w:sz w:val="32"/>
          <w:szCs w:val="32"/>
        </w:rPr>
        <w:t>（二）公务用车购置及运行维护费支出</w:t>
      </w:r>
      <w:r>
        <w:rPr>
          <w:rFonts w:hint="eastAsia" w:eastAsia="楷体_GB2312"/>
          <w:b/>
          <w:bCs/>
          <w:sz w:val="32"/>
          <w:szCs w:val="32"/>
        </w:rPr>
        <w:t>3.5</w:t>
      </w:r>
      <w:r>
        <w:rPr>
          <w:rFonts w:eastAsia="楷体_GB2312"/>
          <w:b/>
          <w:bCs/>
          <w:sz w:val="32"/>
          <w:szCs w:val="32"/>
        </w:rPr>
        <w:t>万元。</w:t>
      </w:r>
      <w:r>
        <w:rPr>
          <w:rFonts w:hint="eastAsia" w:ascii="仿宋_GB2312" w:eastAsia="仿宋_GB2312" w:cs="DengXian-Regular"/>
          <w:sz w:val="32"/>
          <w:szCs w:val="32"/>
        </w:rPr>
        <w:t>本部门2019年度公务用车购置及运行维护费较预算无变化，较上年减少0.2万元，减少100%,主要是招待费次数0。</w:t>
      </w:r>
    </w:p>
    <w:p>
      <w:pPr>
        <w:adjustRightInd w:val="0"/>
        <w:snapToGrid w:val="0"/>
        <w:spacing w:line="584"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2019年度公务用车购置量0辆，发生“公务用车购置”经费支出0万元。公务用车购置费支出较预算增加（减少）0万元，增长（降低）0%,主要是我单位未发生公务用车购置经费支出；较上年增加（减少）0万元，增长（降低）0%,主要是我单位未发生公务用车购置经费支出。</w:t>
      </w:r>
    </w:p>
    <w:p>
      <w:pPr>
        <w:adjustRightInd w:val="0"/>
        <w:snapToGrid w:val="0"/>
        <w:spacing w:line="580" w:lineRule="exact"/>
        <w:ind w:firstLine="643" w:firstLineChars="200"/>
        <w:rPr>
          <w:rFonts w:ascii="仿宋_GB2312" w:eastAsia="仿宋_GB2312" w:cs="DengXian-Bold"/>
          <w:b/>
          <w:bCs/>
          <w:sz w:val="32"/>
          <w:szCs w:val="32"/>
        </w:rPr>
      </w:pPr>
      <w:r>
        <w:rPr>
          <w:rFonts w:eastAsia="仿宋_GB2312"/>
          <w:b/>
          <w:sz w:val="32"/>
          <w:szCs w:val="32"/>
        </w:rPr>
        <w:t>公务用车运行维护费支出</w:t>
      </w:r>
      <w:r>
        <w:rPr>
          <w:rFonts w:hint="eastAsia" w:eastAsia="仿宋_GB2312"/>
          <w:b/>
          <w:sz w:val="32"/>
          <w:szCs w:val="32"/>
        </w:rPr>
        <w:t>3.5</w:t>
      </w:r>
      <w:r>
        <w:rPr>
          <w:rFonts w:eastAsia="仿宋_GB2312"/>
          <w:b/>
          <w:sz w:val="32"/>
          <w:szCs w:val="32"/>
        </w:rPr>
        <w:t>万元。</w:t>
      </w:r>
      <w:r>
        <w:rPr>
          <w:rFonts w:hint="eastAsia" w:ascii="仿宋_GB2312" w:eastAsia="仿宋_GB2312" w:cs="DengXian-Regular"/>
          <w:sz w:val="32"/>
          <w:szCs w:val="32"/>
        </w:rPr>
        <w:t>本部门2019年度单位公务用车保有量1辆。公车运行维护费支出较预算无增减变化,主</w:t>
      </w:r>
      <w:r>
        <w:rPr>
          <w:rFonts w:hint="eastAsia" w:eastAsia="仿宋_GB2312"/>
          <w:sz w:val="32"/>
          <w:szCs w:val="32"/>
        </w:rPr>
        <w:t>要是2019年我单位进一步严格公车管理，减少公务用车开支</w:t>
      </w:r>
      <w:r>
        <w:rPr>
          <w:rFonts w:hint="eastAsia" w:ascii="仿宋_GB2312" w:eastAsia="仿宋_GB2312" w:cs="DengXian-Regular"/>
          <w:sz w:val="32"/>
          <w:szCs w:val="32"/>
        </w:rPr>
        <w:t>；较上年无增减变化，主要是主要是公务用车次数增加。</w:t>
      </w:r>
    </w:p>
    <w:p>
      <w:pPr>
        <w:adjustRightInd w:val="0"/>
        <w:snapToGrid w:val="0"/>
        <w:spacing w:line="580" w:lineRule="exact"/>
        <w:ind w:firstLine="643" w:firstLineChars="200"/>
        <w:rPr>
          <w:rFonts w:ascii="仿宋_GB2312" w:eastAsia="仿宋_GB2312" w:cs="DengXian-Regular"/>
          <w:sz w:val="32"/>
          <w:szCs w:val="32"/>
        </w:rPr>
      </w:pPr>
      <w:r>
        <w:rPr>
          <w:rFonts w:eastAsia="楷体_GB2312"/>
          <w:b/>
          <w:bCs/>
          <w:sz w:val="32"/>
          <w:szCs w:val="32"/>
        </w:rPr>
        <w:t>（三）公务接待费支出</w:t>
      </w:r>
      <w:r>
        <w:rPr>
          <w:rFonts w:hint="eastAsia" w:eastAsia="楷体_GB2312"/>
          <w:b/>
          <w:bCs/>
          <w:sz w:val="32"/>
          <w:szCs w:val="32"/>
        </w:rPr>
        <w:t>0</w:t>
      </w:r>
      <w:r>
        <w:rPr>
          <w:rFonts w:eastAsia="楷体_GB2312"/>
          <w:b/>
          <w:bCs/>
          <w:sz w:val="32"/>
          <w:szCs w:val="32"/>
        </w:rPr>
        <w:t>万元。</w:t>
      </w:r>
      <w:r>
        <w:rPr>
          <w:rFonts w:hint="eastAsia" w:ascii="仿宋_GB2312" w:eastAsia="仿宋_GB2312" w:cs="DengXian-Regular"/>
          <w:sz w:val="32"/>
          <w:szCs w:val="32"/>
        </w:rPr>
        <w:t>本部门2019年度公务接待共0批次、0人次。公务接待费支出较预算减少0.2万元，降低100%,主要是要是按照中央八项规定，严格控制公务接待支出；；较上年度减少0.2万元，降低100%,主要是要是按照中央八项规定，严格控制公务接待支出。</w:t>
      </w:r>
    </w:p>
    <w:p>
      <w:pPr>
        <w:adjustRightInd w:val="0"/>
        <w:snapToGrid w:val="0"/>
        <w:spacing w:after="0" w:line="584"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 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根据预算绩效管理要求，本部门组织对2019年度一般公共预算项目支出全面开展绩效自评，绩效自评覆盖率达到100%。达到了预期的目标任务。</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 w:hAnsi="仿宋" w:eastAsia="仿宋" w:cs="仿宋"/>
          <w:sz w:val="32"/>
          <w:szCs w:val="32"/>
        </w:rPr>
        <w:t>建档立卡贫困户扶贫帮扶专项经费项目和审计业务费、重点项目审计、购买社会审计服务费等4个项目</w:t>
      </w:r>
      <w:r>
        <w:rPr>
          <w:rFonts w:hint="eastAsia" w:ascii="仿宋_GB2312" w:hAnsi="仿宋_GB2312" w:eastAsia="仿宋_GB2312" w:cs="仿宋_GB2312"/>
          <w:sz w:val="32"/>
          <w:szCs w:val="32"/>
        </w:rPr>
        <w:t>开展了部门评价，从评价情况来看，4个项目都按照年初绩效目标完成了任务，达到了预期的目标任务。</w:t>
      </w:r>
    </w:p>
    <w:p>
      <w:pPr>
        <w:pStyle w:val="22"/>
        <w:numPr>
          <w:ilvl w:val="0"/>
          <w:numId w:val="1"/>
        </w:numPr>
        <w:adjustRightInd w:val="0"/>
        <w:snapToGrid w:val="0"/>
        <w:spacing w:after="0" w:line="580" w:lineRule="exact"/>
        <w:ind w:left="0" w:firstLine="640"/>
        <w:rPr>
          <w:rFonts w:ascii="仿宋" w:hAnsi="仿宋" w:eastAsia="仿宋" w:cs="仿宋"/>
          <w:sz w:val="32"/>
          <w:szCs w:val="32"/>
        </w:rPr>
      </w:pPr>
      <w:r>
        <w:rPr>
          <w:rFonts w:hint="eastAsia" w:ascii="仿宋" w:hAnsi="仿宋" w:eastAsia="仿宋" w:cs="仿宋"/>
          <w:sz w:val="32"/>
          <w:szCs w:val="32"/>
        </w:rPr>
        <w:t>建档立卡贫困户扶贫帮扶专项经费项目</w:t>
      </w:r>
      <w:r>
        <w:rPr>
          <w:rFonts w:hint="eastAsia" w:ascii="仿宋_GB2312" w:hAnsi="仿宋_GB2312" w:eastAsia="仿宋_GB2312" w:cs="仿宋_GB2312"/>
          <w:sz w:val="32"/>
          <w:szCs w:val="32"/>
        </w:rPr>
        <w:t>自评综述：根据年初设定的绩效目标，</w:t>
      </w:r>
      <w:r>
        <w:rPr>
          <w:rFonts w:hint="eastAsia" w:ascii="仿宋" w:hAnsi="仿宋" w:eastAsia="仿宋" w:cs="仿宋"/>
          <w:sz w:val="32"/>
          <w:szCs w:val="32"/>
        </w:rPr>
        <w:t>建档立卡贫困户扶贫帮扶专项经费</w:t>
      </w:r>
      <w:r>
        <w:rPr>
          <w:rFonts w:hint="eastAsia" w:ascii="仿宋_GB2312" w:hAnsi="仿宋_GB2312" w:eastAsia="仿宋_GB2312" w:cs="仿宋_GB2312"/>
          <w:sz w:val="32"/>
          <w:szCs w:val="32"/>
        </w:rPr>
        <w:t>项目绩效自评得分为94分。全年预算数为0.4万元，执行数为0.4万元，完成预算的100%。项目绩效目标完成情况：截至2019年底，</w:t>
      </w:r>
      <w:r>
        <w:rPr>
          <w:rFonts w:hint="eastAsia" w:ascii="仿宋" w:hAnsi="仿宋" w:eastAsia="仿宋"/>
          <w:sz w:val="32"/>
          <w:szCs w:val="32"/>
        </w:rPr>
        <w:t>顺利完成年初帮扶项目计划，</w:t>
      </w:r>
      <w:r>
        <w:rPr>
          <w:rFonts w:ascii="仿宋" w:hAnsi="仿宋" w:eastAsia="仿宋"/>
          <w:sz w:val="32"/>
          <w:szCs w:val="32"/>
        </w:rPr>
        <w:t>自评得分</w:t>
      </w:r>
      <w:r>
        <w:rPr>
          <w:rFonts w:hint="eastAsia" w:ascii="仿宋" w:hAnsi="仿宋" w:eastAsia="仿宋"/>
          <w:sz w:val="32"/>
          <w:szCs w:val="32"/>
        </w:rPr>
        <w:t>优秀</w:t>
      </w:r>
      <w:r>
        <w:rPr>
          <w:rFonts w:ascii="仿宋" w:hAnsi="仿宋" w:eastAsia="仿宋"/>
          <w:sz w:val="32"/>
          <w:szCs w:val="32"/>
        </w:rPr>
        <w:t>。</w:t>
      </w:r>
    </w:p>
    <w:p>
      <w:pPr>
        <w:pStyle w:val="22"/>
        <w:numPr>
          <w:ilvl w:val="0"/>
          <w:numId w:val="1"/>
        </w:numPr>
        <w:adjustRightInd w:val="0"/>
        <w:snapToGrid w:val="0"/>
        <w:spacing w:after="0" w:line="580" w:lineRule="exact"/>
        <w:ind w:left="0" w:firstLine="640"/>
        <w:rPr>
          <w:rFonts w:ascii="仿宋" w:hAnsi="仿宋" w:eastAsia="仿宋" w:cs="仿宋"/>
          <w:sz w:val="32"/>
          <w:szCs w:val="32"/>
        </w:rPr>
      </w:pPr>
      <w:r>
        <w:rPr>
          <w:rFonts w:hint="eastAsia" w:ascii="仿宋" w:hAnsi="仿宋" w:eastAsia="仿宋" w:cs="仿宋"/>
          <w:sz w:val="32"/>
          <w:szCs w:val="32"/>
        </w:rPr>
        <w:t>审计业务费经费项目</w:t>
      </w:r>
      <w:r>
        <w:rPr>
          <w:rFonts w:hint="eastAsia" w:ascii="仿宋_GB2312" w:hAnsi="仿宋_GB2312" w:eastAsia="仿宋_GB2312" w:cs="仿宋_GB2312"/>
          <w:sz w:val="32"/>
          <w:szCs w:val="32"/>
        </w:rPr>
        <w:t>自评综述：根据年初设定的绩效目标，</w:t>
      </w:r>
      <w:r>
        <w:rPr>
          <w:rFonts w:hint="eastAsia" w:ascii="仿宋" w:hAnsi="仿宋" w:eastAsia="仿宋" w:cs="仿宋"/>
          <w:sz w:val="32"/>
          <w:szCs w:val="32"/>
        </w:rPr>
        <w:t>审计业务经费</w:t>
      </w:r>
      <w:r>
        <w:rPr>
          <w:rFonts w:hint="eastAsia" w:ascii="仿宋_GB2312" w:hAnsi="仿宋_GB2312" w:eastAsia="仿宋_GB2312" w:cs="仿宋_GB2312"/>
          <w:sz w:val="32"/>
          <w:szCs w:val="32"/>
        </w:rPr>
        <w:t>项目绩效自评得分为98分。全年预算数为15万元，执行数为15万元，完成预算的100%。项目绩效目标完成情况：截至2019年底，</w:t>
      </w:r>
      <w:r>
        <w:rPr>
          <w:rFonts w:hint="eastAsia" w:ascii="仿宋" w:hAnsi="仿宋" w:eastAsia="仿宋"/>
          <w:sz w:val="32"/>
          <w:szCs w:val="32"/>
        </w:rPr>
        <w:t>顺利完成年初项目计划，</w:t>
      </w:r>
      <w:r>
        <w:rPr>
          <w:rFonts w:ascii="仿宋" w:hAnsi="仿宋" w:eastAsia="仿宋"/>
          <w:sz w:val="32"/>
          <w:szCs w:val="32"/>
        </w:rPr>
        <w:t>自评得分</w:t>
      </w:r>
      <w:r>
        <w:rPr>
          <w:rFonts w:hint="eastAsia" w:ascii="仿宋" w:hAnsi="仿宋" w:eastAsia="仿宋"/>
          <w:sz w:val="32"/>
          <w:szCs w:val="32"/>
        </w:rPr>
        <w:t>优秀</w:t>
      </w:r>
      <w:r>
        <w:rPr>
          <w:rFonts w:ascii="仿宋" w:hAnsi="仿宋" w:eastAsia="仿宋"/>
          <w:sz w:val="32"/>
          <w:szCs w:val="32"/>
        </w:rPr>
        <w:t>。</w:t>
      </w:r>
    </w:p>
    <w:p>
      <w:pPr>
        <w:pStyle w:val="22"/>
        <w:numPr>
          <w:ilvl w:val="0"/>
          <w:numId w:val="1"/>
        </w:numPr>
        <w:adjustRightInd w:val="0"/>
        <w:snapToGrid w:val="0"/>
        <w:spacing w:after="0" w:line="580" w:lineRule="exact"/>
        <w:ind w:left="0" w:firstLine="640"/>
        <w:rPr>
          <w:rFonts w:ascii="仿宋" w:hAnsi="仿宋" w:eastAsia="仿宋" w:cs="仿宋"/>
          <w:sz w:val="32"/>
          <w:szCs w:val="32"/>
        </w:rPr>
      </w:pPr>
      <w:r>
        <w:rPr>
          <w:rFonts w:hint="eastAsia" w:ascii="仿宋" w:hAnsi="仿宋" w:eastAsia="仿宋" w:cs="仿宋"/>
          <w:sz w:val="32"/>
          <w:szCs w:val="32"/>
        </w:rPr>
        <w:t>债务专项审计经费项目</w:t>
      </w:r>
      <w:r>
        <w:rPr>
          <w:rFonts w:hint="eastAsia" w:ascii="仿宋_GB2312" w:hAnsi="仿宋_GB2312" w:eastAsia="仿宋_GB2312" w:cs="仿宋_GB2312"/>
          <w:sz w:val="32"/>
          <w:szCs w:val="32"/>
        </w:rPr>
        <w:t>自评综述：根据年初设定的绩效目标，</w:t>
      </w:r>
      <w:r>
        <w:rPr>
          <w:rFonts w:hint="eastAsia" w:ascii="仿宋" w:hAnsi="仿宋" w:eastAsia="仿宋" w:cs="仿宋"/>
          <w:sz w:val="32"/>
          <w:szCs w:val="32"/>
        </w:rPr>
        <w:t>审计业务经费</w:t>
      </w:r>
      <w:r>
        <w:rPr>
          <w:rFonts w:hint="eastAsia" w:ascii="仿宋_GB2312" w:hAnsi="仿宋_GB2312" w:eastAsia="仿宋_GB2312" w:cs="仿宋_GB2312"/>
          <w:sz w:val="32"/>
          <w:szCs w:val="32"/>
        </w:rPr>
        <w:t>项目绩效自评得分为98分。全年预算数为7.47万元，执行数为6.49万元，完成预算的86.89%。项目绩效目标完成情况：截至2019年底，</w:t>
      </w:r>
      <w:r>
        <w:rPr>
          <w:rFonts w:hint="eastAsia" w:ascii="仿宋" w:hAnsi="仿宋" w:eastAsia="仿宋"/>
          <w:sz w:val="32"/>
          <w:szCs w:val="32"/>
        </w:rPr>
        <w:t>顺利完成年初项目计划，</w:t>
      </w:r>
      <w:r>
        <w:rPr>
          <w:rFonts w:ascii="仿宋" w:hAnsi="仿宋" w:eastAsia="仿宋"/>
          <w:sz w:val="32"/>
          <w:szCs w:val="32"/>
        </w:rPr>
        <w:t>自评得分</w:t>
      </w:r>
      <w:r>
        <w:rPr>
          <w:rFonts w:hint="eastAsia" w:ascii="仿宋" w:hAnsi="仿宋" w:eastAsia="仿宋"/>
          <w:sz w:val="32"/>
          <w:szCs w:val="32"/>
        </w:rPr>
        <w:t>优秀</w:t>
      </w:r>
      <w:r>
        <w:rPr>
          <w:rFonts w:ascii="仿宋" w:hAnsi="仿宋" w:eastAsia="仿宋"/>
          <w:sz w:val="32"/>
          <w:szCs w:val="32"/>
        </w:rPr>
        <w:t>。</w:t>
      </w:r>
    </w:p>
    <w:p>
      <w:pPr>
        <w:pStyle w:val="22"/>
        <w:numPr>
          <w:ilvl w:val="0"/>
          <w:numId w:val="1"/>
        </w:numPr>
        <w:adjustRightInd w:val="0"/>
        <w:snapToGrid w:val="0"/>
        <w:spacing w:after="0" w:line="580" w:lineRule="exact"/>
        <w:ind w:left="0" w:firstLine="640"/>
        <w:rPr>
          <w:rFonts w:ascii="仿宋" w:hAnsi="仿宋" w:eastAsia="仿宋" w:cs="仿宋"/>
          <w:sz w:val="32"/>
          <w:szCs w:val="32"/>
        </w:rPr>
      </w:pPr>
      <w:r>
        <w:rPr>
          <w:rFonts w:hint="eastAsia" w:ascii="仿宋" w:hAnsi="仿宋" w:eastAsia="仿宋" w:cs="仿宋"/>
          <w:sz w:val="32"/>
          <w:szCs w:val="32"/>
        </w:rPr>
        <w:t>购买社会审计服务费项目</w:t>
      </w:r>
      <w:r>
        <w:rPr>
          <w:rFonts w:hint="eastAsia" w:ascii="仿宋_GB2312" w:hAnsi="仿宋_GB2312" w:eastAsia="仿宋_GB2312" w:cs="仿宋_GB2312"/>
          <w:sz w:val="32"/>
          <w:szCs w:val="32"/>
        </w:rPr>
        <w:t>自评综述：根据年初设定的绩效目标，</w:t>
      </w:r>
      <w:r>
        <w:rPr>
          <w:rFonts w:hint="eastAsia" w:ascii="仿宋" w:hAnsi="仿宋" w:eastAsia="仿宋" w:cs="仿宋"/>
          <w:sz w:val="32"/>
          <w:szCs w:val="32"/>
        </w:rPr>
        <w:t>审计业务经费</w:t>
      </w:r>
      <w:r>
        <w:rPr>
          <w:rFonts w:hint="eastAsia" w:ascii="仿宋_GB2312" w:hAnsi="仿宋_GB2312" w:eastAsia="仿宋_GB2312" w:cs="仿宋_GB2312"/>
          <w:sz w:val="32"/>
          <w:szCs w:val="32"/>
        </w:rPr>
        <w:t>项目绩效自评得分为90分。全年预算数为30万元，执行数为15万元，完成预算的50%。项目绩效目标完成情况：截至2019年底，</w:t>
      </w:r>
      <w:r>
        <w:rPr>
          <w:rFonts w:hint="eastAsia" w:ascii="仿宋" w:hAnsi="仿宋" w:eastAsia="仿宋"/>
          <w:sz w:val="32"/>
          <w:szCs w:val="32"/>
        </w:rPr>
        <w:t>顺利完成年初项目计划，</w:t>
      </w:r>
      <w:r>
        <w:rPr>
          <w:rFonts w:ascii="仿宋" w:hAnsi="仿宋" w:eastAsia="仿宋"/>
          <w:sz w:val="32"/>
          <w:szCs w:val="32"/>
        </w:rPr>
        <w:t>自评得分</w:t>
      </w:r>
      <w:r>
        <w:rPr>
          <w:rFonts w:hint="eastAsia" w:ascii="仿宋" w:hAnsi="仿宋" w:eastAsia="仿宋"/>
          <w:sz w:val="32"/>
          <w:szCs w:val="32"/>
        </w:rPr>
        <w:t>优秀</w:t>
      </w:r>
      <w:r>
        <w:rPr>
          <w:rFonts w:ascii="仿宋" w:hAnsi="仿宋" w:eastAsia="仿宋"/>
          <w:sz w:val="32"/>
          <w:szCs w:val="32"/>
        </w:rPr>
        <w:t>。</w:t>
      </w:r>
    </w:p>
    <w:p>
      <w:pPr>
        <w:pStyle w:val="22"/>
        <w:adjustRightInd w:val="0"/>
        <w:snapToGrid w:val="0"/>
        <w:spacing w:after="0" w:line="580" w:lineRule="exact"/>
        <w:ind w:left="420" w:leftChars="200" w:firstLine="0" w:firstLineChars="0"/>
        <w:rPr>
          <w:rFonts w:ascii="仿宋" w:hAnsi="仿宋" w:eastAsia="仿宋" w:cs="仿宋"/>
          <w:sz w:val="32"/>
          <w:szCs w:val="32"/>
        </w:rPr>
      </w:pPr>
      <w:r>
        <w:rPr>
          <w:rFonts w:hint="eastAsia" w:ascii="仿宋" w:hAnsi="仿宋" w:eastAsia="仿宋"/>
          <w:sz w:val="32"/>
          <w:szCs w:val="32"/>
        </w:rPr>
        <w:t>3、财政评价项目绩效评价结果：无</w:t>
      </w:r>
    </w:p>
    <w:p>
      <w:pPr>
        <w:adjustRightInd w:val="0"/>
        <w:snapToGrid w:val="0"/>
        <w:spacing w:after="0" w:line="580" w:lineRule="exact"/>
        <w:rPr>
          <w:rFonts w:ascii="仿宋" w:hAnsi="仿宋" w:eastAsia="仿宋" w:cs="仿宋"/>
          <w:sz w:val="32"/>
          <w:szCs w:val="32"/>
        </w:rPr>
      </w:pPr>
    </w:p>
    <w:p>
      <w:pPr>
        <w:adjustRightInd w:val="0"/>
        <w:snapToGrid w:val="0"/>
        <w:spacing w:after="0" w:line="580" w:lineRule="exact"/>
        <w:rPr>
          <w:rFonts w:ascii="仿宋" w:hAnsi="仿宋" w:eastAsia="仿宋" w:cs="仿宋"/>
          <w:sz w:val="32"/>
          <w:szCs w:val="32"/>
        </w:rPr>
      </w:pPr>
    </w:p>
    <w:p>
      <w:pPr>
        <w:adjustRightInd w:val="0"/>
        <w:snapToGrid w:val="0"/>
        <w:spacing w:after="0" w:line="580" w:lineRule="exact"/>
        <w:rPr>
          <w:rFonts w:ascii="仿宋" w:hAnsi="仿宋" w:eastAsia="仿宋" w:cs="仿宋"/>
          <w:sz w:val="32"/>
          <w:szCs w:val="32"/>
        </w:rPr>
      </w:pPr>
    </w:p>
    <w:tbl>
      <w:tblPr>
        <w:tblStyle w:val="13"/>
        <w:tblpPr w:leftFromText="180" w:rightFromText="180" w:vertAnchor="text" w:horzAnchor="page" w:tblpX="748" w:tblpY="-273"/>
        <w:tblOverlap w:val="never"/>
        <w:tblW w:w="10120" w:type="dxa"/>
        <w:tblInd w:w="0" w:type="dxa"/>
        <w:tblLayout w:type="autofit"/>
        <w:tblCellMar>
          <w:top w:w="0" w:type="dxa"/>
          <w:left w:w="108" w:type="dxa"/>
          <w:bottom w:w="0" w:type="dxa"/>
          <w:right w:w="108" w:type="dxa"/>
        </w:tblCellMar>
      </w:tblPr>
      <w:tblGrid>
        <w:gridCol w:w="1566"/>
        <w:gridCol w:w="877"/>
        <w:gridCol w:w="1394"/>
        <w:gridCol w:w="679"/>
        <w:gridCol w:w="20"/>
        <w:gridCol w:w="498"/>
        <w:gridCol w:w="20"/>
        <w:gridCol w:w="737"/>
        <w:gridCol w:w="20"/>
        <w:gridCol w:w="1592"/>
        <w:gridCol w:w="20"/>
        <w:gridCol w:w="739"/>
        <w:gridCol w:w="40"/>
        <w:gridCol w:w="40"/>
        <w:gridCol w:w="1797"/>
        <w:gridCol w:w="40"/>
        <w:gridCol w:w="41"/>
      </w:tblGrid>
      <w:tr>
        <w:tblPrEx>
          <w:tblCellMar>
            <w:top w:w="0" w:type="dxa"/>
            <w:left w:w="108" w:type="dxa"/>
            <w:bottom w:w="0" w:type="dxa"/>
            <w:right w:w="108" w:type="dxa"/>
          </w:tblCellMar>
        </w:tblPrEx>
        <w:trPr>
          <w:gridAfter w:val="1"/>
          <w:wAfter w:w="40" w:type="dxa"/>
          <w:trHeight w:val="450" w:hRule="atLeast"/>
        </w:trPr>
        <w:tc>
          <w:tcPr>
            <w:tcW w:w="1540" w:type="dxa"/>
            <w:tcBorders>
              <w:top w:val="nil"/>
              <w:left w:val="nil"/>
              <w:bottom w:val="nil"/>
              <w:right w:val="nil"/>
            </w:tcBorders>
            <w:shd w:val="clear" w:color="auto" w:fill="auto"/>
            <w:vAlign w:val="center"/>
          </w:tcPr>
          <w:p>
            <w:pPr>
              <w:widowControl/>
              <w:spacing w:after="0" w:line="240" w:lineRule="auto"/>
              <w:jc w:val="left"/>
              <w:rPr>
                <w:rFonts w:hint="eastAsia" w:ascii="黑体" w:hAnsi="黑体" w:eastAsia="黑体" w:cs="宋体"/>
                <w:b/>
                <w:bCs/>
                <w:color w:val="000000"/>
                <w:kern w:val="0"/>
                <w:sz w:val="20"/>
                <w:szCs w:val="20"/>
                <w:lang w:eastAsia="zh-CN"/>
              </w:rPr>
            </w:pPr>
            <w:r>
              <w:rPr>
                <w:rFonts w:hint="eastAsia" w:ascii="黑体" w:hAnsi="黑体" w:eastAsia="黑体" w:cs="宋体"/>
                <w:b/>
                <w:bCs/>
                <w:color w:val="000000"/>
                <w:kern w:val="0"/>
                <w:sz w:val="20"/>
                <w:szCs w:val="20"/>
                <w:lang w:eastAsia="zh-CN"/>
              </w:rPr>
              <w:drawing>
                <wp:anchor distT="0" distB="0" distL="114300" distR="114300" simplePos="0" relativeHeight="251673600" behindDoc="0" locked="0" layoutInCell="1" allowOverlap="1">
                  <wp:simplePos x="0" y="0"/>
                  <wp:positionH relativeFrom="column">
                    <wp:posOffset>-508635</wp:posOffset>
                  </wp:positionH>
                  <wp:positionV relativeFrom="paragraph">
                    <wp:posOffset>-731520</wp:posOffset>
                  </wp:positionV>
                  <wp:extent cx="7641590" cy="10292080"/>
                  <wp:effectExtent l="0" t="0" r="16510" b="1397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9"/>
                          <a:stretch>
                            <a:fillRect/>
                          </a:stretch>
                        </pic:blipFill>
                        <pic:spPr>
                          <a:xfrm>
                            <a:off x="0" y="0"/>
                            <a:ext cx="7641590" cy="10292080"/>
                          </a:xfrm>
                          <a:prstGeom prst="rect">
                            <a:avLst/>
                          </a:prstGeom>
                        </pic:spPr>
                      </pic:pic>
                    </a:graphicData>
                  </a:graphic>
                </wp:anchor>
              </w:drawing>
            </w:r>
            <w:r>
              <w:rPr>
                <w:rFonts w:hint="eastAsia" w:ascii="黑体" w:hAnsi="黑体" w:eastAsia="黑体" w:cs="宋体"/>
                <w:b/>
                <w:bCs/>
                <w:color w:val="000000"/>
                <w:kern w:val="0"/>
                <w:sz w:val="20"/>
                <w:szCs w:val="20"/>
                <w:lang w:eastAsia="zh-CN"/>
              </w:rPr>
              <w:drawing>
                <wp:inline distT="0" distB="0" distL="114300" distR="114300">
                  <wp:extent cx="839470" cy="1154430"/>
                  <wp:effectExtent l="0" t="0" r="17780" b="7620"/>
                  <wp:docPr id="2" name="图片 2" descr="审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审计"/>
                          <pic:cNvPicPr>
                            <a:picLocks noChangeAspect="1"/>
                          </pic:cNvPicPr>
                        </pic:nvPicPr>
                        <pic:blipFill>
                          <a:blip r:embed="rId20"/>
                          <a:stretch>
                            <a:fillRect/>
                          </a:stretch>
                        </pic:blipFill>
                        <pic:spPr>
                          <a:xfrm>
                            <a:off x="0" y="0"/>
                            <a:ext cx="839470" cy="1154430"/>
                          </a:xfrm>
                          <a:prstGeom prst="rect">
                            <a:avLst/>
                          </a:prstGeom>
                        </pic:spPr>
                      </pic:pic>
                    </a:graphicData>
                  </a:graphic>
                </wp:inline>
              </w:drawing>
            </w:r>
            <w:r>
              <w:rPr>
                <w:rFonts w:hint="eastAsia" w:ascii="黑体" w:hAnsi="黑体" w:eastAsia="黑体" w:cs="宋体"/>
                <w:b/>
                <w:bCs/>
                <w:color w:val="000000"/>
                <w:kern w:val="0"/>
                <w:sz w:val="20"/>
                <w:szCs w:val="20"/>
              </w:rPr>
              <w:t>附件1：</w:t>
            </w:r>
          </w:p>
        </w:tc>
        <w:tc>
          <w:tcPr>
            <w:tcW w:w="88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40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68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52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76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62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800" w:type="dxa"/>
            <w:gridSpan w:val="3"/>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880" w:type="dxa"/>
            <w:gridSpan w:val="3"/>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r>
      <w:tr>
        <w:tblPrEx>
          <w:tblCellMar>
            <w:top w:w="0" w:type="dxa"/>
            <w:left w:w="108" w:type="dxa"/>
            <w:bottom w:w="0" w:type="dxa"/>
            <w:right w:w="108" w:type="dxa"/>
          </w:tblCellMar>
        </w:tblPrEx>
        <w:trPr>
          <w:gridAfter w:val="2"/>
          <w:wAfter w:w="80" w:type="dxa"/>
          <w:trHeight w:val="480" w:hRule="atLeast"/>
        </w:trPr>
        <w:tc>
          <w:tcPr>
            <w:tcW w:w="10040" w:type="dxa"/>
            <w:gridSpan w:val="15"/>
            <w:tcBorders>
              <w:top w:val="nil"/>
              <w:left w:val="nil"/>
              <w:bottom w:val="nil"/>
              <w:right w:val="nil"/>
            </w:tcBorders>
            <w:shd w:val="clear" w:color="auto" w:fill="auto"/>
            <w:vAlign w:val="center"/>
          </w:tcPr>
          <w:p>
            <w:pPr>
              <w:widowControl/>
              <w:spacing w:after="0" w:line="240" w:lineRule="auto"/>
              <w:jc w:val="center"/>
              <w:rPr>
                <w:rFonts w:ascii="方正小标宋简体" w:hAnsi="宋体" w:eastAsia="方正小标宋简体" w:cs="宋体"/>
                <w:color w:val="000000"/>
                <w:kern w:val="0"/>
                <w:sz w:val="36"/>
                <w:szCs w:val="36"/>
              </w:rPr>
            </w:pPr>
            <w:r>
              <w:rPr>
                <w:rFonts w:hint="eastAsia" w:ascii="方正小标宋简体" w:hAnsi="宋体" w:eastAsia="方正小标宋简体" w:cs="宋体"/>
                <w:color w:val="000000"/>
                <w:kern w:val="0"/>
                <w:sz w:val="36"/>
                <w:szCs w:val="36"/>
              </w:rPr>
              <w:t>2019年财政专项资金项目绩效自评表</w:t>
            </w:r>
          </w:p>
        </w:tc>
      </w:tr>
      <w:tr>
        <w:tblPrEx>
          <w:tblCellMar>
            <w:top w:w="0" w:type="dxa"/>
            <w:left w:w="108" w:type="dxa"/>
            <w:bottom w:w="0" w:type="dxa"/>
            <w:right w:w="108" w:type="dxa"/>
          </w:tblCellMar>
        </w:tblPrEx>
        <w:trPr>
          <w:gridAfter w:val="2"/>
          <w:wAfter w:w="80" w:type="dxa"/>
          <w:trHeight w:val="630" w:hRule="atLeast"/>
        </w:trPr>
        <w:tc>
          <w:tcPr>
            <w:tcW w:w="24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xml:space="preserve">填报单位（签章）: </w:t>
            </w:r>
          </w:p>
        </w:tc>
        <w:tc>
          <w:tcPr>
            <w:tcW w:w="3380" w:type="dxa"/>
            <w:gridSpan w:val="7"/>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16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740" w:type="dxa"/>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填报日期：</w:t>
            </w:r>
          </w:p>
        </w:tc>
        <w:tc>
          <w:tcPr>
            <w:tcW w:w="1880" w:type="dxa"/>
            <w:gridSpan w:val="3"/>
            <w:tcBorders>
              <w:top w:val="nil"/>
              <w:left w:val="nil"/>
              <w:bottom w:val="single" w:color="auto" w:sz="4" w:space="0"/>
              <w:right w:val="nil"/>
            </w:tcBorders>
            <w:shd w:val="clear" w:color="auto" w:fill="auto"/>
            <w:vAlign w:val="center"/>
          </w:tcPr>
          <w:p>
            <w:pPr>
              <w:widowControl/>
              <w:spacing w:after="0" w:line="240" w:lineRule="auto"/>
              <w:jc w:val="right"/>
              <w:rPr>
                <w:rFonts w:ascii="宋体" w:hAnsi="宋体" w:cs="宋体"/>
                <w:color w:val="000000"/>
                <w:kern w:val="0"/>
                <w:szCs w:val="21"/>
              </w:rPr>
            </w:pPr>
            <w:r>
              <w:rPr>
                <w:rFonts w:hint="eastAsia" w:ascii="宋体" w:hAnsi="宋体" w:cs="宋体"/>
                <w:color w:val="000000"/>
                <w:kern w:val="0"/>
                <w:szCs w:val="21"/>
              </w:rPr>
              <w:t>2020年5月15日</w:t>
            </w:r>
          </w:p>
        </w:tc>
      </w:tr>
      <w:tr>
        <w:tblPrEx>
          <w:tblCellMar>
            <w:top w:w="0" w:type="dxa"/>
            <w:left w:w="108" w:type="dxa"/>
            <w:bottom w:w="0" w:type="dxa"/>
            <w:right w:w="108" w:type="dxa"/>
          </w:tblCellMar>
        </w:tblPrEx>
        <w:trPr>
          <w:gridAfter w:val="2"/>
          <w:wAfter w:w="80" w:type="dxa"/>
          <w:trHeight w:val="349"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项目名称</w:t>
            </w:r>
          </w:p>
        </w:tc>
        <w:tc>
          <w:tcPr>
            <w:tcW w:w="8500" w:type="dxa"/>
            <w:gridSpan w:val="1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建档立卡贫困户扶贫帮扶专项经费</w:t>
            </w:r>
          </w:p>
        </w:tc>
      </w:tr>
      <w:tr>
        <w:tblPrEx>
          <w:tblCellMar>
            <w:top w:w="0" w:type="dxa"/>
            <w:left w:w="108" w:type="dxa"/>
            <w:bottom w:w="0" w:type="dxa"/>
            <w:right w:w="108" w:type="dxa"/>
          </w:tblCellMar>
        </w:tblPrEx>
        <w:trPr>
          <w:gridAfter w:val="2"/>
          <w:wAfter w:w="80" w:type="dxa"/>
          <w:trHeight w:val="818"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项目主要内容</w:t>
            </w:r>
          </w:p>
        </w:tc>
        <w:tc>
          <w:tcPr>
            <w:tcW w:w="8500" w:type="dxa"/>
            <w:gridSpan w:val="14"/>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依据县委、县政府“建设小康社会”的总体目标，根据需要组织扶贫慰问等活动。</w:t>
            </w:r>
          </w:p>
        </w:tc>
      </w:tr>
      <w:tr>
        <w:tblPrEx>
          <w:tblCellMar>
            <w:top w:w="0" w:type="dxa"/>
            <w:left w:w="108" w:type="dxa"/>
            <w:bottom w:w="0" w:type="dxa"/>
            <w:right w:w="108" w:type="dxa"/>
          </w:tblCellMar>
        </w:tblPrEx>
        <w:trPr>
          <w:gridAfter w:val="2"/>
          <w:wAfter w:w="80" w:type="dxa"/>
          <w:trHeight w:val="5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项目主管部门（单位）</w:t>
            </w: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大城县审计局</w:t>
            </w:r>
          </w:p>
        </w:tc>
        <w:tc>
          <w:tcPr>
            <w:tcW w:w="12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联系人</w:t>
            </w:r>
          </w:p>
        </w:tc>
        <w:tc>
          <w:tcPr>
            <w:tcW w:w="238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路春燕</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联系电话</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5580712</w:t>
            </w:r>
          </w:p>
        </w:tc>
      </w:tr>
      <w:tr>
        <w:tblPrEx>
          <w:tblCellMar>
            <w:top w:w="0" w:type="dxa"/>
            <w:left w:w="108" w:type="dxa"/>
            <w:bottom w:w="0" w:type="dxa"/>
            <w:right w:w="108" w:type="dxa"/>
          </w:tblCellMar>
        </w:tblPrEx>
        <w:trPr>
          <w:gridAfter w:val="2"/>
          <w:wAfter w:w="80" w:type="dxa"/>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预算执行情况（万元）</w:t>
            </w: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年初预算数</w:t>
            </w:r>
          </w:p>
        </w:tc>
        <w:tc>
          <w:tcPr>
            <w:tcW w:w="3600"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当年使用上年结余、结转数</w:t>
            </w:r>
          </w:p>
        </w:tc>
        <w:tc>
          <w:tcPr>
            <w:tcW w:w="26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财政拨款数</w:t>
            </w:r>
          </w:p>
        </w:tc>
      </w:tr>
      <w:tr>
        <w:tblPrEx>
          <w:tblCellMar>
            <w:top w:w="0" w:type="dxa"/>
            <w:left w:w="108" w:type="dxa"/>
            <w:bottom w:w="0" w:type="dxa"/>
            <w:right w:w="108" w:type="dxa"/>
          </w:tblCellMar>
        </w:tblPrEx>
        <w:trPr>
          <w:gridAfter w:val="2"/>
          <w:wAfter w:w="80" w:type="dxa"/>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0.4</w:t>
            </w:r>
          </w:p>
        </w:tc>
        <w:tc>
          <w:tcPr>
            <w:tcW w:w="3600"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w:t>
            </w:r>
          </w:p>
        </w:tc>
        <w:tc>
          <w:tcPr>
            <w:tcW w:w="26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rFonts w:ascii="宋体" w:hAnsi="宋体" w:cs="宋体"/>
                <w:color w:val="000000"/>
                <w:kern w:val="0"/>
                <w:szCs w:val="21"/>
              </w:rPr>
            </w:pPr>
            <w:r>
              <w:rPr>
                <w:rFonts w:hint="eastAsia" w:ascii="宋体" w:hAnsi="宋体" w:cs="宋体"/>
                <w:color w:val="000000"/>
                <w:kern w:val="0"/>
                <w:szCs w:val="21"/>
              </w:rPr>
              <w:t xml:space="preserve">          0.4</w:t>
            </w:r>
          </w:p>
        </w:tc>
      </w:tr>
      <w:tr>
        <w:tblPrEx>
          <w:tblCellMar>
            <w:top w:w="0" w:type="dxa"/>
            <w:left w:w="108" w:type="dxa"/>
            <w:bottom w:w="0" w:type="dxa"/>
            <w:right w:w="108" w:type="dxa"/>
          </w:tblCellMar>
        </w:tblPrEx>
        <w:trPr>
          <w:gridAfter w:val="2"/>
          <w:wAfter w:w="80" w:type="dxa"/>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rPr>
                <w:rFonts w:ascii="宋体" w:hAnsi="宋体" w:cs="宋体"/>
                <w:color w:val="000000"/>
                <w:kern w:val="0"/>
                <w:szCs w:val="21"/>
              </w:rPr>
            </w:pPr>
            <w:r>
              <w:rPr>
                <w:rFonts w:hint="eastAsia" w:ascii="宋体" w:hAnsi="宋体" w:cs="宋体"/>
                <w:color w:val="000000"/>
                <w:kern w:val="0"/>
                <w:szCs w:val="21"/>
              </w:rPr>
              <w:t>财政资金使用情况（万元）</w:t>
            </w:r>
          </w:p>
        </w:tc>
        <w:tc>
          <w:tcPr>
            <w:tcW w:w="228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实际支付数</w:t>
            </w:r>
          </w:p>
        </w:tc>
        <w:tc>
          <w:tcPr>
            <w:tcW w:w="3600"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资金结余、结转数</w:t>
            </w:r>
          </w:p>
        </w:tc>
        <w:tc>
          <w:tcPr>
            <w:tcW w:w="26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其中：</w:t>
            </w:r>
          </w:p>
        </w:tc>
      </w:tr>
      <w:tr>
        <w:tblPrEx>
          <w:tblCellMar>
            <w:top w:w="0" w:type="dxa"/>
            <w:left w:w="108" w:type="dxa"/>
            <w:bottom w:w="0" w:type="dxa"/>
            <w:right w:w="108" w:type="dxa"/>
          </w:tblCellMar>
        </w:tblPrEx>
        <w:trPr>
          <w:gridAfter w:val="2"/>
          <w:wAfter w:w="80" w:type="dxa"/>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after="0" w:line="240" w:lineRule="auto"/>
              <w:jc w:val="left"/>
              <w:rPr>
                <w:rFonts w:ascii="宋体" w:hAnsi="宋体" w:cs="宋体"/>
                <w:color w:val="000000"/>
                <w:kern w:val="0"/>
                <w:szCs w:val="21"/>
              </w:rPr>
            </w:pPr>
          </w:p>
        </w:tc>
        <w:tc>
          <w:tcPr>
            <w:tcW w:w="3600"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结余数</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财政收回数</w:t>
            </w:r>
          </w:p>
        </w:tc>
      </w:tr>
      <w:tr>
        <w:tblPrEx>
          <w:tblCellMar>
            <w:top w:w="0" w:type="dxa"/>
            <w:left w:w="108" w:type="dxa"/>
            <w:bottom w:w="0" w:type="dxa"/>
            <w:right w:w="108" w:type="dxa"/>
          </w:tblCellMar>
        </w:tblPrEx>
        <w:trPr>
          <w:gridAfter w:val="2"/>
          <w:wAfter w:w="80" w:type="dxa"/>
          <w:trHeight w:val="2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0.4</w:t>
            </w:r>
          </w:p>
        </w:tc>
        <w:tc>
          <w:tcPr>
            <w:tcW w:w="3600"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0.00 </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0.00 </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 xml:space="preserve">0.00 </w:t>
            </w:r>
          </w:p>
        </w:tc>
      </w:tr>
      <w:tr>
        <w:tblPrEx>
          <w:tblCellMar>
            <w:top w:w="0" w:type="dxa"/>
            <w:left w:w="108" w:type="dxa"/>
            <w:bottom w:w="0" w:type="dxa"/>
            <w:right w:w="108" w:type="dxa"/>
          </w:tblCellMar>
        </w:tblPrEx>
        <w:trPr>
          <w:gridAfter w:val="2"/>
          <w:wAfter w:w="80" w:type="dxa"/>
          <w:trHeight w:val="312" w:hRule="atLeast"/>
        </w:trPr>
        <w:tc>
          <w:tcPr>
            <w:tcW w:w="154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项目起止时间</w:t>
            </w:r>
          </w:p>
        </w:tc>
        <w:tc>
          <w:tcPr>
            <w:tcW w:w="8500" w:type="dxa"/>
            <w:gridSpan w:val="1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2019年01月起至2019年12月止</w:t>
            </w:r>
          </w:p>
        </w:tc>
      </w:tr>
      <w:tr>
        <w:tblPrEx>
          <w:tblCellMar>
            <w:top w:w="0" w:type="dxa"/>
            <w:left w:w="108" w:type="dxa"/>
            <w:bottom w:w="0" w:type="dxa"/>
            <w:right w:w="108" w:type="dxa"/>
          </w:tblCellMar>
        </w:tblPrEx>
        <w:trPr>
          <w:gridAfter w:val="2"/>
          <w:wAfter w:w="80" w:type="dxa"/>
          <w:trHeight w:val="312"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500" w:type="dxa"/>
            <w:gridSpan w:val="1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r>
      <w:tr>
        <w:tblPrEx>
          <w:tblCellMar>
            <w:top w:w="0" w:type="dxa"/>
            <w:left w:w="108" w:type="dxa"/>
            <w:bottom w:w="0" w:type="dxa"/>
            <w:right w:w="108" w:type="dxa"/>
          </w:tblCellMar>
        </w:tblPrEx>
        <w:trPr>
          <w:gridAfter w:val="2"/>
          <w:wAfter w:w="80" w:type="dxa"/>
          <w:trHeight w:val="578" w:hRule="atLeast"/>
        </w:trPr>
        <w:tc>
          <w:tcPr>
            <w:tcW w:w="1540" w:type="dxa"/>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一级指标</w:t>
            </w:r>
          </w:p>
        </w:tc>
        <w:tc>
          <w:tcPr>
            <w:tcW w:w="880" w:type="dxa"/>
            <w:tcBorders>
              <w:top w:val="nil"/>
              <w:left w:val="nil"/>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二级指标</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三级指标</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权重</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指标说明</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评分标准</w:t>
            </w:r>
          </w:p>
        </w:tc>
      </w:tr>
      <w:tr>
        <w:tblPrEx>
          <w:tblCellMar>
            <w:top w:w="0" w:type="dxa"/>
            <w:left w:w="108" w:type="dxa"/>
            <w:bottom w:w="0" w:type="dxa"/>
            <w:right w:w="108" w:type="dxa"/>
          </w:tblCellMar>
        </w:tblPrEx>
        <w:trPr>
          <w:gridAfter w:val="2"/>
          <w:wAfter w:w="80" w:type="dxa"/>
          <w:trHeight w:val="1140" w:hRule="atLeast"/>
        </w:trPr>
        <w:tc>
          <w:tcPr>
            <w:tcW w:w="154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投入</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项目立项</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项目立项规范性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①项目按照规定的程序申请设立；</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②所提交的文件、材料符合相关要求；</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③事前已经过必要的可行性研究、专家论证、风险评估、集体决策等。</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按照规定程序设立，文件资料符合要求的满分，未按照规定程序设立的扣20%权重分，没有上级文件资料的扣80%权重分。</w:t>
            </w:r>
          </w:p>
        </w:tc>
      </w:tr>
      <w:tr>
        <w:tblPrEx>
          <w:tblCellMar>
            <w:top w:w="0" w:type="dxa"/>
            <w:left w:w="108" w:type="dxa"/>
            <w:bottom w:w="0" w:type="dxa"/>
            <w:right w:w="108" w:type="dxa"/>
          </w:tblCellMar>
        </w:tblPrEx>
        <w:trPr>
          <w:gridAfter w:val="2"/>
          <w:wAfter w:w="80" w:type="dxa"/>
          <w:trHeight w:val="1560"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绩效目标合理性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①符合国家相关法律法规、国民经济发展规划和党委政府决策；</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②与项目实施单位或委托单位职责密切相关；</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③项目为促进事业发展所必需；</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④项目预期产出效益和效果符合正常的业绩水平。</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绩效目标合理可行、符合法律法规的得满分，前述四项每项不符合要求的扣25%权重分。</w:t>
            </w:r>
          </w:p>
        </w:tc>
      </w:tr>
      <w:tr>
        <w:tblPrEx>
          <w:tblCellMar>
            <w:top w:w="0" w:type="dxa"/>
            <w:left w:w="108" w:type="dxa"/>
            <w:bottom w:w="0" w:type="dxa"/>
            <w:right w:w="108" w:type="dxa"/>
          </w:tblCellMar>
        </w:tblPrEx>
        <w:trPr>
          <w:gridAfter w:val="2"/>
          <w:wAfter w:w="80" w:type="dxa"/>
          <w:trHeight w:val="1819"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绩效指标明确性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①可将项目绩效目标细化分解为具体的绩效指标；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②可通过清晰、可衡量的指标值予以体现；</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③可与项目年度任务数或计划数相对应；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④可与预算确定的项目投资额或资金量相匹配。</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①将项目绩效目标细化分解为具体的绩效指标得0.5分；②指标值清晰、可衡量得0.5分；③指标与项目年度任务数或计划数相对应得0.5分；④指标可用于评价项目实施全过程的得0.5分。</w:t>
            </w:r>
          </w:p>
        </w:tc>
      </w:tr>
      <w:tr>
        <w:tblPrEx>
          <w:tblCellMar>
            <w:top w:w="0" w:type="dxa"/>
            <w:left w:w="108" w:type="dxa"/>
            <w:bottom w:w="0" w:type="dxa"/>
            <w:right w:w="108" w:type="dxa"/>
          </w:tblCellMar>
        </w:tblPrEx>
        <w:trPr>
          <w:gridAfter w:val="2"/>
          <w:wAfter w:w="80" w:type="dxa"/>
          <w:trHeight w:val="1763"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资金落实</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资金到位率</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资金到位率=（实际到位资金/计划投入资金）×100%。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实际到位资金：一定时期（本年度或项目期）内实际落实到具体项目的资金。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计划投入资金：一定时期（本年度或项目期）内计划投入到具体项目的资金。</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资金到位率100%的得满分；资金到位率每下降10个百分点，扣10%权重分。</w:t>
            </w:r>
          </w:p>
        </w:tc>
      </w:tr>
      <w:tr>
        <w:tblPrEx>
          <w:tblCellMar>
            <w:top w:w="0" w:type="dxa"/>
            <w:left w:w="108" w:type="dxa"/>
            <w:bottom w:w="0" w:type="dxa"/>
            <w:right w:w="108" w:type="dxa"/>
          </w:tblCellMar>
        </w:tblPrEx>
        <w:trPr>
          <w:gridAfter w:val="2"/>
          <w:wAfter w:w="80" w:type="dxa"/>
          <w:trHeight w:val="1485"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到位及时率</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到位及时率=（及时到位资金/应到位资金）×100%。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及时到位资金：截至规定时点实际落实到具体项目的资金。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应到位资金：按照合同或项目进度要求截至规定时点应落实到具体项目的资金。</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到位及时率100%的得满分；到位及时率每下降10个百分点，扣10%分值。</w:t>
            </w:r>
          </w:p>
        </w:tc>
      </w:tr>
      <w:tr>
        <w:tblPrEx>
          <w:tblCellMar>
            <w:top w:w="0" w:type="dxa"/>
            <w:left w:w="108" w:type="dxa"/>
            <w:bottom w:w="0" w:type="dxa"/>
            <w:right w:w="108" w:type="dxa"/>
          </w:tblCellMar>
        </w:tblPrEx>
        <w:trPr>
          <w:gridAfter w:val="2"/>
          <w:wAfter w:w="80" w:type="dxa"/>
          <w:trHeight w:val="1369"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过程</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业务管理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①已制定或具有相应的业务管理制度；</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②业务管理制度合法、合规、完整。</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是否设立了合理的制度来规范工作流程，制度健全得100%权重分，比较健全得50%权重分，有制度但不健全得25%权重分，没有建立制度不得分。</w:t>
            </w:r>
          </w:p>
        </w:tc>
      </w:tr>
      <w:tr>
        <w:tblPrEx>
          <w:tblCellMar>
            <w:top w:w="0" w:type="dxa"/>
            <w:left w:w="108" w:type="dxa"/>
            <w:bottom w:w="0" w:type="dxa"/>
            <w:right w:w="108" w:type="dxa"/>
          </w:tblCellMar>
        </w:tblPrEx>
        <w:trPr>
          <w:gridAfter w:val="2"/>
          <w:wAfter w:w="80" w:type="dxa"/>
          <w:trHeight w:val="139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制度执行有效性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①遵守相关法律法规和业务管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②项目调整及支出调整手续完备；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③项目合同书、验收报告、技术鉴定等资料齐全并及时归档；</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④项目实施的人员条件、场地设备、信息支撑等落实到位。</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项目具体实施是否按相关制度执行，操作流程是否规范。实施执行情况较好得100%权重分，执行情况一般得50%权重分，情况不理想不得分。</w:t>
            </w:r>
          </w:p>
        </w:tc>
      </w:tr>
      <w:tr>
        <w:tblPrEx>
          <w:tblCellMar>
            <w:top w:w="0" w:type="dxa"/>
            <w:left w:w="108" w:type="dxa"/>
            <w:bottom w:w="0" w:type="dxa"/>
            <w:right w:w="108" w:type="dxa"/>
          </w:tblCellMar>
        </w:tblPrEx>
        <w:trPr>
          <w:gridAfter w:val="2"/>
          <w:wAfter w:w="80" w:type="dxa"/>
          <w:trHeight w:val="130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项目质量可控性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①已制定或具有相应的项目质量要求或标准；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②采取了相应的项目质量检查、验收等必需的控制措施或手段。</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项目制定了相关标准，并采取了相关的检查、验收等流程，对项目质量控制较好得100%权重分，控制情况一般得50%权重分，控制情况不理想不得分。</w:t>
            </w:r>
          </w:p>
        </w:tc>
      </w:tr>
      <w:tr>
        <w:tblPrEx>
          <w:tblCellMar>
            <w:top w:w="0" w:type="dxa"/>
            <w:left w:w="108" w:type="dxa"/>
            <w:bottom w:w="0" w:type="dxa"/>
            <w:right w:w="108" w:type="dxa"/>
          </w:tblCellMar>
        </w:tblPrEx>
        <w:trPr>
          <w:gridAfter w:val="2"/>
          <w:wAfter w:w="80" w:type="dxa"/>
          <w:trHeight w:val="127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档案管理规范性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①是否已制定相关制度对项目的相关信息进行登记管理。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②是否有专人对所申报的资料进行整理、保管。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用以反映和考核项目实施单位对相关项目资料的保管情况。</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档案管理完全符合前述要点的得满分，每一项不符合的扣1分。</w:t>
            </w:r>
          </w:p>
        </w:tc>
      </w:tr>
      <w:tr>
        <w:tblPrEx>
          <w:tblCellMar>
            <w:top w:w="0" w:type="dxa"/>
            <w:left w:w="108" w:type="dxa"/>
            <w:bottom w:w="0" w:type="dxa"/>
            <w:right w:w="108" w:type="dxa"/>
          </w:tblCellMar>
        </w:tblPrEx>
        <w:trPr>
          <w:gridAfter w:val="2"/>
          <w:wAfter w:w="80" w:type="dxa"/>
          <w:trHeight w:val="1272"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①是否已制定或具有相应的项目资金管理办法；</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②项目资金管理办法是否符合相关财务会计制度的规定。</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财务制度健全同时也制定了符合制度的资金管理办法的得满分；有财务制度但没有制定资金管理办法扣50%分值；没有财务制度得0分。</w:t>
            </w:r>
          </w:p>
        </w:tc>
      </w:tr>
      <w:tr>
        <w:tblPrEx>
          <w:tblCellMar>
            <w:top w:w="0" w:type="dxa"/>
            <w:left w:w="108" w:type="dxa"/>
            <w:bottom w:w="0" w:type="dxa"/>
            <w:right w:w="108" w:type="dxa"/>
          </w:tblCellMar>
        </w:tblPrEx>
        <w:trPr>
          <w:gridAfter w:val="2"/>
          <w:wAfter w:w="80" w:type="dxa"/>
          <w:trHeight w:val="26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资金使用合规性</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①符合国家财经法规和财务管理制度以及有关专项资金管理办法的规定；</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②资金的拨付有完整的审批程序和手续；</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③项目的重大开支经过评估认证；</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④符合项目预算批复或合同规定的用途；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⑤不存在截留、挤占、挪用、虚列支出等情况。</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使用符合前述要点的满分；不符合国家财经法规和财务管理制度以及有关专项资金管理办法的规定，每发现一处扣5%分值；资金拨付审批程序和手续不完整的，每发现一处扣5%分值；政府采购或超投标项目支出不符合规定程序的，每发现一处扣5%分值；每发生一起未用于预算批复或合同规定用途情况的，扣5%分值；存在截留、挪用、虚列支出情况的，扣50%分值。</w:t>
            </w:r>
          </w:p>
        </w:tc>
      </w:tr>
      <w:tr>
        <w:tblPrEx>
          <w:tblCellMar>
            <w:top w:w="0" w:type="dxa"/>
            <w:left w:w="108" w:type="dxa"/>
            <w:bottom w:w="0" w:type="dxa"/>
            <w:right w:w="108" w:type="dxa"/>
          </w:tblCellMar>
        </w:tblPrEx>
        <w:trPr>
          <w:gridAfter w:val="2"/>
          <w:wAfter w:w="80" w:type="dxa"/>
          <w:trHeight w:val="540"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产出</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项目产出</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实际完成率</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实际完成量/计划完成量×100%</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gridSpan w:val="3"/>
            <w:vMerge w:val="restart"/>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实际完成率在在95%以上的扣1分，在70-94%之间的评价扣2分，在69%以下的酌情评价扣分。比率为0的不得分。</w:t>
            </w:r>
          </w:p>
        </w:tc>
      </w:tr>
      <w:tr>
        <w:tblPrEx>
          <w:tblCellMar>
            <w:top w:w="0" w:type="dxa"/>
            <w:left w:w="108" w:type="dxa"/>
            <w:bottom w:w="0" w:type="dxa"/>
            <w:right w:w="108" w:type="dxa"/>
          </w:tblCellMar>
        </w:tblPrEx>
        <w:trPr>
          <w:gridAfter w:val="2"/>
          <w:wAfter w:w="80" w:type="dxa"/>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完成及时率</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完成及时率：及时完工该指标值为100%，每延期1天扣减5个百分点</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880" w:type="dxa"/>
            <w:gridSpan w:val="3"/>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2"/>
          <w:wAfter w:w="80" w:type="dxa"/>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质量达标率</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 xml:space="preserve">质量合格率＝质量合格项目数量/全部项目数量×100% </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gridSpan w:val="3"/>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2"/>
          <w:wAfter w:w="80" w:type="dxa"/>
          <w:trHeight w:val="510"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效益</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项目效益</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经济效益</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项目实施后所产生的直接的与经济有关的效益，例举各个方面。</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880" w:type="dxa"/>
            <w:gridSpan w:val="3"/>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根据项目的效益情况酌情评分。</w:t>
            </w:r>
          </w:p>
        </w:tc>
      </w:tr>
      <w:tr>
        <w:tblPrEx>
          <w:tblCellMar>
            <w:top w:w="0" w:type="dxa"/>
            <w:left w:w="108" w:type="dxa"/>
            <w:bottom w:w="0" w:type="dxa"/>
            <w:right w:w="108" w:type="dxa"/>
          </w:tblCellMar>
        </w:tblPrEx>
        <w:trPr>
          <w:gridAfter w:val="2"/>
          <w:wAfter w:w="80" w:type="dxa"/>
          <w:trHeight w:val="52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社会效益</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项目实施后对社会各方面能起到的积极作用，例举相关各个方面。</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2"/>
          <w:wAfter w:w="80" w:type="dxa"/>
          <w:trHeight w:val="55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可持续效益</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项目实施后产生的长久可维持效果，例举各方面可持续长期效益。</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2"/>
          <w:wAfter w:w="80" w:type="dxa"/>
          <w:trHeight w:val="5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受益对象满意度</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调查中相关人员满意和较满意的数量占调查总人数的比率</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2"/>
          <w:wAfter w:w="80" w:type="dxa"/>
          <w:trHeight w:val="398" w:hRule="atLeast"/>
        </w:trPr>
        <w:tc>
          <w:tcPr>
            <w:tcW w:w="38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黑体" w:hAnsi="黑体" w:eastAsia="黑体" w:cs="宋体"/>
                <w:b/>
                <w:bCs/>
                <w:color w:val="000000"/>
                <w:kern w:val="0"/>
                <w:sz w:val="20"/>
                <w:szCs w:val="20"/>
                <w:lang w:eastAsia="zh-CN"/>
              </w:rPr>
              <w:drawing>
                <wp:anchor distT="0" distB="0" distL="114300" distR="114300" simplePos="0" relativeHeight="251674624" behindDoc="0" locked="0" layoutInCell="1" allowOverlap="1">
                  <wp:simplePos x="0" y="0"/>
                  <wp:positionH relativeFrom="column">
                    <wp:posOffset>-73660</wp:posOffset>
                  </wp:positionH>
                  <wp:positionV relativeFrom="paragraph">
                    <wp:posOffset>-128905</wp:posOffset>
                  </wp:positionV>
                  <wp:extent cx="6726555" cy="9255760"/>
                  <wp:effectExtent l="0" t="0" r="17145" b="2540"/>
                  <wp:wrapNone/>
                  <wp:docPr id="4" name="图片 4" descr="审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审计"/>
                          <pic:cNvPicPr>
                            <a:picLocks noChangeAspect="1"/>
                          </pic:cNvPicPr>
                        </pic:nvPicPr>
                        <pic:blipFill>
                          <a:blip r:embed="rId20"/>
                          <a:stretch>
                            <a:fillRect/>
                          </a:stretch>
                        </pic:blipFill>
                        <pic:spPr>
                          <a:xfrm>
                            <a:off x="0" y="0"/>
                            <a:ext cx="6726555" cy="9255760"/>
                          </a:xfrm>
                          <a:prstGeom prst="rect">
                            <a:avLst/>
                          </a:prstGeom>
                        </pic:spPr>
                      </pic:pic>
                    </a:graphicData>
                  </a:graphic>
                </wp:anchor>
              </w:drawing>
            </w:r>
            <w:r>
              <w:rPr>
                <w:rFonts w:hint="eastAsia" w:ascii="宋体" w:hAnsi="宋体" w:cs="宋体"/>
                <w:color w:val="000000"/>
                <w:kern w:val="0"/>
                <w:szCs w:val="21"/>
              </w:rPr>
              <w:t>得分合计</w:t>
            </w:r>
          </w:p>
        </w:tc>
        <w:tc>
          <w:tcPr>
            <w:tcW w:w="70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100</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w:t>
            </w:r>
          </w:p>
        </w:tc>
        <w:tc>
          <w:tcPr>
            <w:tcW w:w="74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gridAfter w:val="2"/>
          <w:wAfter w:w="80" w:type="dxa"/>
          <w:trHeight w:val="420" w:hRule="atLeast"/>
        </w:trPr>
        <w:tc>
          <w:tcPr>
            <w:tcW w:w="4520"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评价等级</w:t>
            </w:r>
          </w:p>
        </w:tc>
        <w:tc>
          <w:tcPr>
            <w:tcW w:w="5520" w:type="dxa"/>
            <w:gridSpan w:val="10"/>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Cs w:val="21"/>
              </w:rPr>
            </w:pPr>
            <w:r>
              <w:rPr>
                <w:rFonts w:ascii="Wingdings" w:hAnsi="Wingdings" w:eastAsia="仿宋" w:cs="宋体"/>
                <w:color w:val="000000"/>
                <w:kern w:val="0"/>
                <w:szCs w:val="21"/>
              </w:rPr>
              <w:t></w:t>
            </w:r>
            <w:r>
              <w:rPr>
                <w:rFonts w:hint="eastAsia" w:ascii="仿宋" w:hAnsi="仿宋" w:eastAsia="仿宋" w:cs="宋体"/>
                <w:color w:val="000000"/>
                <w:kern w:val="0"/>
                <w:szCs w:val="21"/>
              </w:rPr>
              <w:t>优□良□可□差　</w:t>
            </w:r>
          </w:p>
        </w:tc>
      </w:tr>
      <w:tr>
        <w:tblPrEx>
          <w:tblCellMar>
            <w:top w:w="0" w:type="dxa"/>
            <w:left w:w="108" w:type="dxa"/>
            <w:bottom w:w="0" w:type="dxa"/>
            <w:right w:w="108" w:type="dxa"/>
          </w:tblCellMar>
        </w:tblPrEx>
        <w:trPr>
          <w:trHeight w:val="450" w:hRule="atLeast"/>
        </w:trPr>
        <w:tc>
          <w:tcPr>
            <w:tcW w:w="154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hint="eastAsia" w:ascii="黑体" w:hAnsi="黑体" w:eastAsia="黑体" w:cs="宋体"/>
                <w:b/>
                <w:bCs/>
                <w:color w:val="000000"/>
                <w:kern w:val="0"/>
                <w:sz w:val="20"/>
                <w:szCs w:val="20"/>
                <w:lang w:eastAsia="zh-CN"/>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附件2：</w:t>
            </w:r>
          </w:p>
        </w:tc>
        <w:tc>
          <w:tcPr>
            <w:tcW w:w="88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40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68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52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76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62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840" w:type="dxa"/>
            <w:gridSpan w:val="4"/>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880" w:type="dxa"/>
            <w:gridSpan w:val="3"/>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r>
      <w:tr>
        <w:tblPrEx>
          <w:tblCellMar>
            <w:top w:w="0" w:type="dxa"/>
            <w:left w:w="108" w:type="dxa"/>
            <w:bottom w:w="0" w:type="dxa"/>
            <w:right w:w="108" w:type="dxa"/>
          </w:tblCellMar>
        </w:tblPrEx>
        <w:trPr>
          <w:trHeight w:val="480" w:hRule="atLeast"/>
        </w:trPr>
        <w:tc>
          <w:tcPr>
            <w:tcW w:w="10120" w:type="dxa"/>
            <w:gridSpan w:val="17"/>
            <w:tcBorders>
              <w:top w:val="nil"/>
              <w:left w:val="nil"/>
              <w:bottom w:val="nil"/>
              <w:right w:val="nil"/>
            </w:tcBorders>
            <w:shd w:val="clear" w:color="auto" w:fill="auto"/>
            <w:vAlign w:val="center"/>
          </w:tcPr>
          <w:p>
            <w:pPr>
              <w:widowControl/>
              <w:spacing w:after="0" w:line="240" w:lineRule="auto"/>
              <w:jc w:val="center"/>
              <w:rPr>
                <w:rFonts w:ascii="方正小标宋简体" w:hAnsi="宋体" w:eastAsia="方正小标宋简体" w:cs="宋体"/>
                <w:color w:val="000000"/>
                <w:kern w:val="0"/>
                <w:sz w:val="36"/>
                <w:szCs w:val="36"/>
              </w:rPr>
            </w:pPr>
            <w:r>
              <w:rPr>
                <w:rFonts w:hint="eastAsia" w:ascii="方正小标宋简体" w:hAnsi="宋体" w:eastAsia="方正小标宋简体" w:cs="宋体"/>
                <w:color w:val="000000"/>
                <w:kern w:val="0"/>
                <w:sz w:val="36"/>
                <w:szCs w:val="36"/>
              </w:rPr>
              <w:t>2019年财政专项资金项目绩效自评表</w:t>
            </w:r>
          </w:p>
        </w:tc>
      </w:tr>
      <w:tr>
        <w:tblPrEx>
          <w:tblCellMar>
            <w:top w:w="0" w:type="dxa"/>
            <w:left w:w="108" w:type="dxa"/>
            <w:bottom w:w="0" w:type="dxa"/>
            <w:right w:w="108" w:type="dxa"/>
          </w:tblCellMar>
        </w:tblPrEx>
        <w:trPr>
          <w:trHeight w:val="600" w:hRule="atLeast"/>
        </w:trPr>
        <w:tc>
          <w:tcPr>
            <w:tcW w:w="24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xml:space="preserve">填报单位（签章）: </w:t>
            </w:r>
          </w:p>
        </w:tc>
        <w:tc>
          <w:tcPr>
            <w:tcW w:w="3360" w:type="dxa"/>
            <w:gridSpan w:val="6"/>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16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840" w:type="dxa"/>
            <w:gridSpan w:val="4"/>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填报日期：</w:t>
            </w:r>
          </w:p>
        </w:tc>
        <w:tc>
          <w:tcPr>
            <w:tcW w:w="1880" w:type="dxa"/>
            <w:gridSpan w:val="3"/>
            <w:tcBorders>
              <w:top w:val="nil"/>
              <w:left w:val="nil"/>
              <w:bottom w:val="single" w:color="auto" w:sz="4" w:space="0"/>
              <w:right w:val="nil"/>
            </w:tcBorders>
            <w:shd w:val="clear" w:color="auto" w:fill="auto"/>
            <w:vAlign w:val="center"/>
          </w:tcPr>
          <w:p>
            <w:pPr>
              <w:widowControl/>
              <w:spacing w:after="0" w:line="240" w:lineRule="auto"/>
              <w:jc w:val="right"/>
              <w:rPr>
                <w:rFonts w:ascii="宋体" w:hAnsi="宋体" w:cs="宋体"/>
                <w:color w:val="000000"/>
                <w:kern w:val="0"/>
                <w:szCs w:val="21"/>
              </w:rPr>
            </w:pPr>
            <w:r>
              <w:rPr>
                <w:rFonts w:hint="eastAsia" w:ascii="宋体" w:hAnsi="宋体" w:cs="宋体"/>
                <w:color w:val="000000"/>
                <w:kern w:val="0"/>
                <w:szCs w:val="21"/>
              </w:rPr>
              <w:t>2020年5月15日</w:t>
            </w:r>
          </w:p>
        </w:tc>
      </w:tr>
      <w:tr>
        <w:tblPrEx>
          <w:tblCellMar>
            <w:top w:w="0" w:type="dxa"/>
            <w:left w:w="108" w:type="dxa"/>
            <w:bottom w:w="0" w:type="dxa"/>
            <w:right w:w="108" w:type="dxa"/>
          </w:tblCellMar>
        </w:tblPrEx>
        <w:trPr>
          <w:trHeight w:val="349"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项目名称</w:t>
            </w:r>
          </w:p>
        </w:tc>
        <w:tc>
          <w:tcPr>
            <w:tcW w:w="8580" w:type="dxa"/>
            <w:gridSpan w:val="1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审计业务经费</w:t>
            </w:r>
          </w:p>
        </w:tc>
      </w:tr>
      <w:tr>
        <w:tblPrEx>
          <w:tblCellMar>
            <w:top w:w="0" w:type="dxa"/>
            <w:left w:w="108" w:type="dxa"/>
            <w:bottom w:w="0" w:type="dxa"/>
            <w:right w:w="108" w:type="dxa"/>
          </w:tblCellMar>
        </w:tblPrEx>
        <w:trPr>
          <w:trHeight w:val="420"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项目主要内容</w:t>
            </w:r>
          </w:p>
        </w:tc>
        <w:tc>
          <w:tcPr>
            <w:tcW w:w="8580" w:type="dxa"/>
            <w:gridSpan w:val="1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审计业务办公费、邮电费、差旅费、印刷费等各项费用支出</w:t>
            </w:r>
          </w:p>
        </w:tc>
      </w:tr>
      <w:tr>
        <w:tblPrEx>
          <w:tblCellMar>
            <w:top w:w="0" w:type="dxa"/>
            <w:left w:w="108" w:type="dxa"/>
            <w:bottom w:w="0" w:type="dxa"/>
            <w:right w:w="108" w:type="dxa"/>
          </w:tblCellMar>
        </w:tblPrEx>
        <w:trPr>
          <w:trHeight w:val="568"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项目主管部门（单位）</w:t>
            </w: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大城县审计局</w:t>
            </w:r>
          </w:p>
        </w:tc>
        <w:tc>
          <w:tcPr>
            <w:tcW w:w="120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联系人</w:t>
            </w:r>
          </w:p>
        </w:tc>
        <w:tc>
          <w:tcPr>
            <w:tcW w:w="238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陈蓉</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联系电话</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5500291</w:t>
            </w:r>
          </w:p>
        </w:tc>
      </w:tr>
      <w:tr>
        <w:tblPrEx>
          <w:tblCellMar>
            <w:top w:w="0" w:type="dxa"/>
            <w:left w:w="108" w:type="dxa"/>
            <w:bottom w:w="0" w:type="dxa"/>
            <w:right w:w="108" w:type="dxa"/>
          </w:tblCellMar>
        </w:tblPrEx>
        <w:trPr>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预算执行情况（万元）</w:t>
            </w: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年初预算数</w:t>
            </w:r>
          </w:p>
        </w:tc>
        <w:tc>
          <w:tcPr>
            <w:tcW w:w="358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当年使用上年结余、结转数</w:t>
            </w:r>
          </w:p>
        </w:tc>
        <w:tc>
          <w:tcPr>
            <w:tcW w:w="272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财政拨款数</w:t>
            </w:r>
          </w:p>
        </w:tc>
      </w:tr>
      <w:tr>
        <w:tblPrEx>
          <w:tblCellMar>
            <w:top w:w="0" w:type="dxa"/>
            <w:left w:w="108" w:type="dxa"/>
            <w:bottom w:w="0" w:type="dxa"/>
            <w:right w:w="108" w:type="dxa"/>
          </w:tblCellMar>
        </w:tblPrEx>
        <w:trPr>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15.00 </w:t>
            </w:r>
          </w:p>
        </w:tc>
        <w:tc>
          <w:tcPr>
            <w:tcW w:w="358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w:t>
            </w:r>
          </w:p>
        </w:tc>
        <w:tc>
          <w:tcPr>
            <w:tcW w:w="272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15.00 </w:t>
            </w:r>
          </w:p>
        </w:tc>
      </w:tr>
      <w:tr>
        <w:tblPrEx>
          <w:tblCellMar>
            <w:top w:w="0" w:type="dxa"/>
            <w:left w:w="108" w:type="dxa"/>
            <w:bottom w:w="0" w:type="dxa"/>
            <w:right w:w="108" w:type="dxa"/>
          </w:tblCellMar>
        </w:tblPrEx>
        <w:trPr>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rPr>
                <w:rFonts w:ascii="宋体" w:hAnsi="宋体" w:cs="宋体"/>
                <w:color w:val="000000"/>
                <w:kern w:val="0"/>
                <w:szCs w:val="21"/>
              </w:rPr>
            </w:pPr>
            <w:r>
              <w:rPr>
                <w:rFonts w:hint="eastAsia" w:ascii="宋体" w:hAnsi="宋体" w:cs="宋体"/>
                <w:color w:val="000000"/>
                <w:kern w:val="0"/>
                <w:szCs w:val="21"/>
              </w:rPr>
              <w:t>财政资金使用情况（万元）</w:t>
            </w:r>
          </w:p>
        </w:tc>
        <w:tc>
          <w:tcPr>
            <w:tcW w:w="228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实际支付数</w:t>
            </w:r>
          </w:p>
        </w:tc>
        <w:tc>
          <w:tcPr>
            <w:tcW w:w="3580"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资金结余、结转数</w:t>
            </w:r>
          </w:p>
        </w:tc>
        <w:tc>
          <w:tcPr>
            <w:tcW w:w="272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其中：</w:t>
            </w:r>
          </w:p>
        </w:tc>
      </w:tr>
      <w:tr>
        <w:tblPrEx>
          <w:tblCellMar>
            <w:top w:w="0" w:type="dxa"/>
            <w:left w:w="108" w:type="dxa"/>
            <w:bottom w:w="0" w:type="dxa"/>
            <w:right w:w="108" w:type="dxa"/>
          </w:tblCellMar>
        </w:tblPrEx>
        <w:trPr>
          <w:trHeight w:val="408"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after="0" w:line="240" w:lineRule="auto"/>
              <w:jc w:val="left"/>
              <w:rPr>
                <w:rFonts w:ascii="宋体" w:hAnsi="宋体" w:cs="宋体"/>
                <w:color w:val="000000"/>
                <w:kern w:val="0"/>
                <w:szCs w:val="21"/>
              </w:rPr>
            </w:pPr>
          </w:p>
        </w:tc>
        <w:tc>
          <w:tcPr>
            <w:tcW w:w="358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结余数</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财政收回数</w:t>
            </w:r>
          </w:p>
        </w:tc>
      </w:tr>
      <w:tr>
        <w:tblPrEx>
          <w:tblCellMar>
            <w:top w:w="0" w:type="dxa"/>
            <w:left w:w="108" w:type="dxa"/>
            <w:bottom w:w="0" w:type="dxa"/>
            <w:right w:w="108" w:type="dxa"/>
          </w:tblCellMar>
        </w:tblPrEx>
        <w:trPr>
          <w:trHeight w:val="2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15.00 </w:t>
            </w:r>
          </w:p>
        </w:tc>
        <w:tc>
          <w:tcPr>
            <w:tcW w:w="358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0.00 </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0.00 </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 xml:space="preserve">0.00 </w:t>
            </w:r>
          </w:p>
        </w:tc>
      </w:tr>
      <w:tr>
        <w:tblPrEx>
          <w:tblCellMar>
            <w:top w:w="0" w:type="dxa"/>
            <w:left w:w="108" w:type="dxa"/>
            <w:bottom w:w="0" w:type="dxa"/>
            <w:right w:w="108" w:type="dxa"/>
          </w:tblCellMar>
        </w:tblPrEx>
        <w:trPr>
          <w:trHeight w:val="312" w:hRule="atLeast"/>
        </w:trPr>
        <w:tc>
          <w:tcPr>
            <w:tcW w:w="154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项目起止时间</w:t>
            </w:r>
          </w:p>
        </w:tc>
        <w:tc>
          <w:tcPr>
            <w:tcW w:w="8580" w:type="dxa"/>
            <w:gridSpan w:val="16"/>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2019年01月起至2019年12月止</w:t>
            </w:r>
          </w:p>
        </w:tc>
      </w:tr>
      <w:tr>
        <w:tblPrEx>
          <w:tblCellMar>
            <w:top w:w="0" w:type="dxa"/>
            <w:left w:w="108" w:type="dxa"/>
            <w:bottom w:w="0" w:type="dxa"/>
            <w:right w:w="108" w:type="dxa"/>
          </w:tblCellMar>
        </w:tblPrEx>
        <w:trPr>
          <w:trHeight w:val="312"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580" w:type="dxa"/>
            <w:gridSpan w:val="16"/>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578" w:hRule="atLeast"/>
        </w:trPr>
        <w:tc>
          <w:tcPr>
            <w:tcW w:w="1540" w:type="dxa"/>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一级指标</w:t>
            </w:r>
          </w:p>
        </w:tc>
        <w:tc>
          <w:tcPr>
            <w:tcW w:w="880" w:type="dxa"/>
            <w:tcBorders>
              <w:top w:val="nil"/>
              <w:left w:val="nil"/>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二级指标</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三级指标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权重</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指标说明</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评分标准</w:t>
            </w:r>
          </w:p>
        </w:tc>
      </w:tr>
      <w:tr>
        <w:tblPrEx>
          <w:tblCellMar>
            <w:top w:w="0" w:type="dxa"/>
            <w:left w:w="108" w:type="dxa"/>
            <w:bottom w:w="0" w:type="dxa"/>
            <w:right w:w="108" w:type="dxa"/>
          </w:tblCellMar>
        </w:tblPrEx>
        <w:trPr>
          <w:trHeight w:val="1432" w:hRule="atLeast"/>
        </w:trPr>
        <w:tc>
          <w:tcPr>
            <w:tcW w:w="154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投入</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项目立项</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项目立项规范性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5"/>
                <w:szCs w:val="15"/>
              </w:rPr>
            </w:pPr>
            <w:r>
              <w:rPr>
                <w:rFonts w:hint="eastAsia" w:ascii="宋体" w:hAnsi="宋体" w:cs="宋体"/>
                <w:color w:val="000000"/>
                <w:kern w:val="0"/>
                <w:sz w:val="15"/>
                <w:szCs w:val="15"/>
              </w:rPr>
              <w:t>①项目按照规定的程序申请设立；</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②所提交的文件、材料符合相关要求；</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③事前已经过必要的可行性研究、专家论证、风险评估、集体决策等。</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5"/>
                <w:szCs w:val="15"/>
              </w:rPr>
            </w:pPr>
            <w:r>
              <w:rPr>
                <w:rFonts w:hint="eastAsia" w:ascii="宋体" w:hAnsi="宋体" w:cs="宋体"/>
                <w:color w:val="000000"/>
                <w:kern w:val="0"/>
                <w:sz w:val="15"/>
                <w:szCs w:val="15"/>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5"/>
                <w:szCs w:val="15"/>
              </w:rPr>
            </w:pPr>
            <w:r>
              <w:rPr>
                <w:rFonts w:hint="eastAsia" w:ascii="宋体" w:hAnsi="宋体" w:cs="宋体"/>
                <w:color w:val="000000"/>
                <w:kern w:val="0"/>
                <w:sz w:val="15"/>
                <w:szCs w:val="15"/>
              </w:rPr>
              <w:t>按照规定程序设立，文件资料符合要求的满分，未按照规定程序设立的扣20%权重分，没有上级文件资料的扣80%权重分。</w:t>
            </w:r>
          </w:p>
        </w:tc>
      </w:tr>
      <w:tr>
        <w:tblPrEx>
          <w:tblCellMar>
            <w:top w:w="0" w:type="dxa"/>
            <w:left w:w="108" w:type="dxa"/>
            <w:bottom w:w="0" w:type="dxa"/>
            <w:right w:w="108" w:type="dxa"/>
          </w:tblCellMar>
        </w:tblPrEx>
        <w:trPr>
          <w:trHeight w:val="2135"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绩效目标合理性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5"/>
                <w:szCs w:val="15"/>
              </w:rPr>
            </w:pPr>
            <w:r>
              <w:rPr>
                <w:rFonts w:hint="eastAsia" w:ascii="宋体" w:hAnsi="宋体" w:cs="宋体"/>
                <w:color w:val="000000"/>
                <w:kern w:val="0"/>
                <w:sz w:val="15"/>
                <w:szCs w:val="15"/>
              </w:rPr>
              <w:t>①符合国家相关法律法规、国民经济发展规划和党委政府决策；</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②与项目实施单位或委托单位职责密切相关；</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③项目为促进事业发展所必需；</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④项目预期产出效益和效果符合正常的业绩水平。</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5"/>
                <w:szCs w:val="15"/>
              </w:rPr>
            </w:pPr>
            <w:r>
              <w:rPr>
                <w:rFonts w:hint="eastAsia" w:ascii="宋体" w:hAnsi="宋体" w:cs="宋体"/>
                <w:color w:val="000000"/>
                <w:kern w:val="0"/>
                <w:sz w:val="15"/>
                <w:szCs w:val="15"/>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5"/>
                <w:szCs w:val="15"/>
              </w:rPr>
            </w:pPr>
            <w:r>
              <w:rPr>
                <w:rFonts w:hint="eastAsia" w:ascii="宋体" w:hAnsi="宋体" w:cs="宋体"/>
                <w:color w:val="000000"/>
                <w:kern w:val="0"/>
                <w:sz w:val="15"/>
                <w:szCs w:val="15"/>
              </w:rPr>
              <w:t>绩效目标合理可行、符合法律法规的得满分，前述四项每项不符合要求的扣25%权重分。</w:t>
            </w:r>
          </w:p>
        </w:tc>
      </w:tr>
      <w:tr>
        <w:tblPrEx>
          <w:tblCellMar>
            <w:top w:w="0" w:type="dxa"/>
            <w:left w:w="108" w:type="dxa"/>
            <w:bottom w:w="0" w:type="dxa"/>
            <w:right w:w="108" w:type="dxa"/>
          </w:tblCellMar>
        </w:tblPrEx>
        <w:trPr>
          <w:trHeight w:val="2209"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绩效指标明确性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5"/>
                <w:szCs w:val="15"/>
              </w:rPr>
            </w:pPr>
            <w:r>
              <w:rPr>
                <w:rFonts w:hint="eastAsia" w:ascii="宋体" w:hAnsi="宋体" w:cs="宋体"/>
                <w:color w:val="000000"/>
                <w:kern w:val="0"/>
                <w:sz w:val="15"/>
                <w:szCs w:val="15"/>
              </w:rPr>
              <w:t>①可将项目绩效目标细化分解为具体的绩效指标；</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②可通过清晰、可衡量的指标值予以体现；</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③可与项目年度任务数或计划数相对应；</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④可与预算确定的项目投资额或资金量相匹配。</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5"/>
                <w:szCs w:val="15"/>
              </w:rPr>
            </w:pPr>
            <w:r>
              <w:rPr>
                <w:rFonts w:hint="eastAsia" w:ascii="宋体" w:hAnsi="宋体" w:cs="宋体"/>
                <w:color w:val="000000"/>
                <w:kern w:val="0"/>
                <w:sz w:val="15"/>
                <w:szCs w:val="15"/>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5"/>
                <w:szCs w:val="15"/>
              </w:rPr>
            </w:pPr>
            <w:r>
              <w:rPr>
                <w:rFonts w:hint="eastAsia" w:ascii="宋体" w:hAnsi="宋体" w:cs="宋体"/>
                <w:color w:val="000000"/>
                <w:kern w:val="0"/>
                <w:sz w:val="15"/>
                <w:szCs w:val="15"/>
              </w:rPr>
              <w:t>①将项目绩效目标细化分解为具体的绩效指标得0.5分；②指标值清晰、可衡量得0.5分；③指标与项目年度任务数或计划数相对应得0.5分；④指标可用于评价项目实施全过程的得0.5分。</w:t>
            </w:r>
          </w:p>
        </w:tc>
      </w:tr>
      <w:tr>
        <w:tblPrEx>
          <w:tblCellMar>
            <w:top w:w="0" w:type="dxa"/>
            <w:left w:w="108" w:type="dxa"/>
            <w:bottom w:w="0" w:type="dxa"/>
            <w:right w:w="108" w:type="dxa"/>
          </w:tblCellMar>
        </w:tblPrEx>
        <w:trPr>
          <w:trHeight w:val="1763"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资金落实</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资金到位率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资金到位率=（实际到位资金/计划投入资金）×100%。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实际到位资金：一定时期（本年度或项目期）内实际落实到具体项目的资金。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计划投入资金：一定时期（本年度或项目期）内计划投入到具体项目的资金。</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资金到位率100%的得满分；资金到位率每下降10个百分点，扣10%权重分。</w:t>
            </w:r>
          </w:p>
        </w:tc>
      </w:tr>
      <w:tr>
        <w:tblPrEx>
          <w:tblCellMar>
            <w:top w:w="0" w:type="dxa"/>
            <w:left w:w="108" w:type="dxa"/>
            <w:bottom w:w="0" w:type="dxa"/>
            <w:right w:w="108" w:type="dxa"/>
          </w:tblCellMar>
        </w:tblPrEx>
        <w:trPr>
          <w:trHeight w:val="1485"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到位及时率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到位及时率=（及时到位资金/应到位资金）×100%。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及时到位资金：截至规定时点实际落实到具体项目的资金。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应到位资金：按照合同或项目进度要求截至规定时点应落实到具体项目的资金。</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到位及时率100%的得满分；到位及时率每下降10个百分点，扣10%分值。</w:t>
            </w:r>
          </w:p>
        </w:tc>
      </w:tr>
      <w:tr>
        <w:tblPrEx>
          <w:tblCellMar>
            <w:top w:w="0" w:type="dxa"/>
            <w:left w:w="108" w:type="dxa"/>
            <w:bottom w:w="0" w:type="dxa"/>
            <w:right w:w="108" w:type="dxa"/>
          </w:tblCellMar>
        </w:tblPrEx>
        <w:trPr>
          <w:trHeight w:val="1369"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过程</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业务管理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①已制定或具有相应的业务管理制度；</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②业务管理制度合法、合规、完整。</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是否设立了合理的制度来规范工作流程，制度健全得100%权重分，比较健全得50%权重分，有制度但不健全得25%权重分，没有建立制度不得分。</w:t>
            </w:r>
          </w:p>
        </w:tc>
      </w:tr>
      <w:tr>
        <w:tblPrEx>
          <w:tblCellMar>
            <w:top w:w="0" w:type="dxa"/>
            <w:left w:w="108" w:type="dxa"/>
            <w:bottom w:w="0" w:type="dxa"/>
            <w:right w:w="108" w:type="dxa"/>
          </w:tblCellMar>
        </w:tblPrEx>
        <w:trPr>
          <w:trHeight w:val="139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制度执行有效性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①遵守相关法律法规和业务管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②项目调整及支出调整手续完备；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③项目合同书、验收报告、技术鉴定等资料齐全并及时归档；</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④项目实施的人员条件、场地设备、信息支撑等落实到位。</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项目具体实施是否按相关制度执行，操作流程是否规范。实施执行情况较好得100%权重分，执行情况一般得50%权重分，情况不理想不得分。</w:t>
            </w:r>
          </w:p>
        </w:tc>
      </w:tr>
      <w:tr>
        <w:tblPrEx>
          <w:tblCellMar>
            <w:top w:w="0" w:type="dxa"/>
            <w:left w:w="108" w:type="dxa"/>
            <w:bottom w:w="0" w:type="dxa"/>
            <w:right w:w="108" w:type="dxa"/>
          </w:tblCellMar>
        </w:tblPrEx>
        <w:trPr>
          <w:trHeight w:val="130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项目质量可控性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①已制定或具有相应的项目质量要求或标准；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②采取了相应的项目质量检查、验收等必需的控制措施或手段。</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项目制定了相关标准，并采取了相关的检查、验收等流程，对项目质量控制较好得100%权重分，控制情况一般得50%权重分，控制情况不理想不得分。</w:t>
            </w:r>
          </w:p>
        </w:tc>
      </w:tr>
      <w:tr>
        <w:tblPrEx>
          <w:tblCellMar>
            <w:top w:w="0" w:type="dxa"/>
            <w:left w:w="108" w:type="dxa"/>
            <w:bottom w:w="0" w:type="dxa"/>
            <w:right w:w="108" w:type="dxa"/>
          </w:tblCellMar>
        </w:tblPrEx>
        <w:trPr>
          <w:trHeight w:val="153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档案管理规范性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①是否已制定相关制度对项目的相关信息进行登记管理。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②是否有专人对所申报的资料进行整理、保管。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用以反映和考核项目实施单位对相关项目资料的保管情况。</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档案管理完全符合前述要点的得满分，每一项不符合的扣1分。</w:t>
            </w:r>
          </w:p>
        </w:tc>
      </w:tr>
      <w:tr>
        <w:tblPrEx>
          <w:tblCellMar>
            <w:top w:w="0" w:type="dxa"/>
            <w:left w:w="108" w:type="dxa"/>
            <w:bottom w:w="0" w:type="dxa"/>
            <w:right w:w="108" w:type="dxa"/>
          </w:tblCellMar>
        </w:tblPrEx>
        <w:trPr>
          <w:trHeight w:val="1272"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①是否已制定或具有相应的项目资金管理办法；</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②项目资金管理办法是否符合相关财务会计制度的规定。</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财务制度健全同时也制定了符合制度的资金管理办法的得满分；有财务制度但没有制定资金管理办法扣50%分值；没有财务制度得0分。</w:t>
            </w:r>
          </w:p>
        </w:tc>
      </w:tr>
      <w:tr>
        <w:tblPrEx>
          <w:tblCellMar>
            <w:top w:w="0" w:type="dxa"/>
            <w:left w:w="108" w:type="dxa"/>
            <w:bottom w:w="0" w:type="dxa"/>
            <w:right w:w="108" w:type="dxa"/>
          </w:tblCellMar>
        </w:tblPrEx>
        <w:trPr>
          <w:trHeight w:val="26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资金使用合规性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①符合国家财经法规和财务管理制度以及有关专项资金管理办法的规定；</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②资金的拨付有完整的审批程序和手续；</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③项目的重大开支经过评估认证；</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④符合项目预算批复或合同规定的用途；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⑤不存在截留、挤占、挪用、虚列支出等情况。</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使用符合前述要点的满分；不符合国家财经法规和财务管理制度以及有关专项资金管理办法的规定，每发现一处扣5%分值；资金拨付审批程序和手续不完整的，每发现一处扣5%分值；政府采购或超投标项目支出不符合规定程序的，每发现一处扣5%分值；每发生一起未用于预算批复或合同规定用途情况的，扣5%分值；存在截留、挪用、虚列支出情况的，扣50%分值。</w:t>
            </w:r>
          </w:p>
        </w:tc>
      </w:tr>
      <w:tr>
        <w:tblPrEx>
          <w:tblCellMar>
            <w:top w:w="0" w:type="dxa"/>
            <w:left w:w="108" w:type="dxa"/>
            <w:bottom w:w="0" w:type="dxa"/>
            <w:right w:w="108" w:type="dxa"/>
          </w:tblCellMar>
        </w:tblPrEx>
        <w:trPr>
          <w:trHeight w:val="540"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产出</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项目产出</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实际完成率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实际完成量/计划完成量×100%</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gridSpan w:val="3"/>
            <w:vMerge w:val="restart"/>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实际完成率在在95%以上的扣1分，在70-94%之间的评价扣2分，在69%以下的酌情评价扣分。比率为0的不得分。</w:t>
            </w:r>
          </w:p>
        </w:tc>
      </w:tr>
      <w:tr>
        <w:tblPrEx>
          <w:tblCellMar>
            <w:top w:w="0" w:type="dxa"/>
            <w:left w:w="108" w:type="dxa"/>
            <w:bottom w:w="0" w:type="dxa"/>
            <w:right w:w="108" w:type="dxa"/>
          </w:tblCellMar>
        </w:tblPrEx>
        <w:trPr>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完成及时率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完成及时率：及时完工该指标值为100%，每延期1天扣减5个百分点</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880" w:type="dxa"/>
            <w:gridSpan w:val="3"/>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质量达标率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 xml:space="preserve">质量合格率＝质量合格项目数量/全部项目数量×100% </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gridSpan w:val="3"/>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405"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效益</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项目效益</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经济效益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项目实施后所产生的直接的与经济有关的效益，例举各个方面。</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880" w:type="dxa"/>
            <w:gridSpan w:val="3"/>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根据项目的效益情况酌情评分。</w:t>
            </w:r>
          </w:p>
        </w:tc>
      </w:tr>
      <w:tr>
        <w:tblPrEx>
          <w:tblCellMar>
            <w:top w:w="0" w:type="dxa"/>
            <w:left w:w="108" w:type="dxa"/>
            <w:bottom w:w="0" w:type="dxa"/>
            <w:right w:w="108" w:type="dxa"/>
          </w:tblCellMar>
        </w:tblPrEx>
        <w:trPr>
          <w:trHeight w:val="46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黑体" w:hAnsi="黑体" w:eastAsia="黑体" w:cs="宋体"/>
                <w:b/>
                <w:bCs/>
                <w:color w:val="000000"/>
                <w:kern w:val="0"/>
                <w:sz w:val="20"/>
                <w:szCs w:val="20"/>
                <w:lang w:eastAsia="zh-CN"/>
              </w:rPr>
              <w:drawing>
                <wp:anchor distT="0" distB="0" distL="114300" distR="114300" simplePos="0" relativeHeight="251675648" behindDoc="0" locked="0" layoutInCell="1" allowOverlap="1">
                  <wp:simplePos x="0" y="0"/>
                  <wp:positionH relativeFrom="column">
                    <wp:posOffset>-2016760</wp:posOffset>
                  </wp:positionH>
                  <wp:positionV relativeFrom="paragraph">
                    <wp:posOffset>-1259840</wp:posOffset>
                  </wp:positionV>
                  <wp:extent cx="7680325" cy="10539730"/>
                  <wp:effectExtent l="0" t="0" r="15875" b="13970"/>
                  <wp:wrapNone/>
                  <wp:docPr id="5" name="图片 5" descr="债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债务"/>
                          <pic:cNvPicPr>
                            <a:picLocks noChangeAspect="1"/>
                          </pic:cNvPicPr>
                        </pic:nvPicPr>
                        <pic:blipFill>
                          <a:blip r:embed="rId21"/>
                          <a:stretch>
                            <a:fillRect/>
                          </a:stretch>
                        </pic:blipFill>
                        <pic:spPr>
                          <a:xfrm>
                            <a:off x="0" y="0"/>
                            <a:ext cx="7680325" cy="10539730"/>
                          </a:xfrm>
                          <a:prstGeom prst="rect">
                            <a:avLst/>
                          </a:prstGeom>
                        </pic:spPr>
                      </pic:pic>
                    </a:graphicData>
                  </a:graphic>
                </wp:anchor>
              </w:drawing>
            </w:r>
            <w:r>
              <w:rPr>
                <w:rFonts w:hint="eastAsia" w:ascii="宋体" w:hAnsi="宋体" w:cs="宋体"/>
                <w:color w:val="000000"/>
                <w:kern w:val="0"/>
                <w:szCs w:val="21"/>
              </w:rPr>
              <w:t>社会效益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项目实施后对社会各方面能起到的积极作用，例举相关各个方面。</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55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可持续效益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项目实施后产生的长久可维持效果，例举各方面可持续长期效益。</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61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受益对象满意度</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调查中相关人员满意和较满意的数量占调查总人数的比率</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398" w:hRule="atLeast"/>
        </w:trPr>
        <w:tc>
          <w:tcPr>
            <w:tcW w:w="38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得分合计</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100</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w:t>
            </w:r>
          </w:p>
        </w:tc>
        <w:tc>
          <w:tcPr>
            <w:tcW w:w="84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98</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75" w:hRule="atLeast"/>
        </w:trPr>
        <w:tc>
          <w:tcPr>
            <w:tcW w:w="4500"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评价等级</w:t>
            </w:r>
          </w:p>
        </w:tc>
        <w:tc>
          <w:tcPr>
            <w:tcW w:w="5620"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Cs w:val="21"/>
              </w:rPr>
            </w:pPr>
            <w:r>
              <w:rPr>
                <w:rFonts w:ascii="Wingdings" w:hAnsi="Wingdings" w:eastAsia="仿宋" w:cs="宋体"/>
                <w:color w:val="000000"/>
                <w:kern w:val="0"/>
                <w:szCs w:val="21"/>
              </w:rPr>
              <w:t></w:t>
            </w:r>
            <w:r>
              <w:rPr>
                <w:rFonts w:hint="eastAsia" w:ascii="仿宋" w:hAnsi="仿宋" w:eastAsia="仿宋" w:cs="宋体"/>
                <w:color w:val="000000"/>
                <w:kern w:val="0"/>
                <w:szCs w:val="21"/>
              </w:rPr>
              <w:t>优□良□可□差　</w:t>
            </w:r>
          </w:p>
        </w:tc>
      </w:tr>
      <w:tr>
        <w:tblPrEx>
          <w:tblCellMar>
            <w:top w:w="0" w:type="dxa"/>
            <w:left w:w="108" w:type="dxa"/>
            <w:bottom w:w="0" w:type="dxa"/>
            <w:right w:w="108" w:type="dxa"/>
          </w:tblCellMar>
        </w:tblPrEx>
        <w:trPr>
          <w:gridAfter w:val="1"/>
          <w:wAfter w:w="40" w:type="dxa"/>
          <w:trHeight w:val="450" w:hRule="atLeast"/>
        </w:trPr>
        <w:tc>
          <w:tcPr>
            <w:tcW w:w="154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hint="eastAsia" w:ascii="黑体" w:hAnsi="黑体" w:eastAsia="黑体" w:cs="宋体"/>
                <w:b/>
                <w:bCs/>
                <w:color w:val="000000"/>
                <w:kern w:val="0"/>
                <w:sz w:val="20"/>
                <w:szCs w:val="20"/>
                <w:lang w:eastAsia="zh-CN"/>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p>
          <w:p>
            <w:pPr>
              <w:widowControl/>
              <w:spacing w:after="0" w:line="240" w:lineRule="auto"/>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附件3：</w:t>
            </w:r>
          </w:p>
        </w:tc>
        <w:tc>
          <w:tcPr>
            <w:tcW w:w="88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40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680" w:type="dxa"/>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52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76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620" w:type="dxa"/>
            <w:gridSpan w:val="2"/>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800" w:type="dxa"/>
            <w:gridSpan w:val="3"/>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c>
          <w:tcPr>
            <w:tcW w:w="1880" w:type="dxa"/>
            <w:gridSpan w:val="3"/>
            <w:tcBorders>
              <w:top w:val="nil"/>
              <w:left w:val="nil"/>
              <w:bottom w:val="nil"/>
              <w:right w:val="nil"/>
            </w:tcBorders>
            <w:shd w:val="clear" w:color="auto" w:fill="auto"/>
            <w:vAlign w:val="center"/>
          </w:tcPr>
          <w:p>
            <w:pPr>
              <w:widowControl/>
              <w:spacing w:after="0" w:line="240" w:lineRule="auto"/>
              <w:jc w:val="left"/>
              <w:rPr>
                <w:rFonts w:ascii="黑体" w:hAnsi="黑体" w:eastAsia="黑体" w:cs="宋体"/>
                <w:b/>
                <w:bCs/>
                <w:color w:val="000000"/>
                <w:kern w:val="0"/>
                <w:sz w:val="20"/>
                <w:szCs w:val="20"/>
              </w:rPr>
            </w:pPr>
          </w:p>
        </w:tc>
      </w:tr>
      <w:tr>
        <w:tblPrEx>
          <w:tblCellMar>
            <w:top w:w="0" w:type="dxa"/>
            <w:left w:w="108" w:type="dxa"/>
            <w:bottom w:w="0" w:type="dxa"/>
            <w:right w:w="108" w:type="dxa"/>
          </w:tblCellMar>
        </w:tblPrEx>
        <w:trPr>
          <w:gridAfter w:val="1"/>
          <w:wAfter w:w="40" w:type="dxa"/>
          <w:trHeight w:val="480" w:hRule="atLeast"/>
        </w:trPr>
        <w:tc>
          <w:tcPr>
            <w:tcW w:w="10080" w:type="dxa"/>
            <w:gridSpan w:val="16"/>
            <w:tcBorders>
              <w:top w:val="nil"/>
              <w:left w:val="nil"/>
              <w:bottom w:val="nil"/>
              <w:right w:val="nil"/>
            </w:tcBorders>
            <w:shd w:val="clear" w:color="auto" w:fill="auto"/>
            <w:vAlign w:val="center"/>
          </w:tcPr>
          <w:p>
            <w:pPr>
              <w:widowControl/>
              <w:spacing w:after="0" w:line="240" w:lineRule="auto"/>
              <w:jc w:val="center"/>
              <w:rPr>
                <w:rFonts w:ascii="方正小标宋简体" w:hAnsi="宋体" w:eastAsia="方正小标宋简体" w:cs="宋体"/>
                <w:color w:val="000000"/>
                <w:kern w:val="0"/>
                <w:sz w:val="36"/>
                <w:szCs w:val="36"/>
              </w:rPr>
            </w:pPr>
            <w:r>
              <w:rPr>
                <w:rFonts w:hint="eastAsia" w:ascii="方正小标宋简体" w:hAnsi="宋体" w:eastAsia="方正小标宋简体" w:cs="宋体"/>
                <w:color w:val="000000"/>
                <w:kern w:val="0"/>
                <w:sz w:val="36"/>
                <w:szCs w:val="36"/>
              </w:rPr>
              <w:t>2019年财政专项资金项目绩效自评表</w:t>
            </w:r>
          </w:p>
        </w:tc>
      </w:tr>
      <w:tr>
        <w:tblPrEx>
          <w:tblCellMar>
            <w:top w:w="0" w:type="dxa"/>
            <w:left w:w="108" w:type="dxa"/>
            <w:bottom w:w="0" w:type="dxa"/>
            <w:right w:w="108" w:type="dxa"/>
          </w:tblCellMar>
        </w:tblPrEx>
        <w:trPr>
          <w:gridAfter w:val="1"/>
          <w:wAfter w:w="40" w:type="dxa"/>
          <w:trHeight w:val="630" w:hRule="atLeast"/>
        </w:trPr>
        <w:tc>
          <w:tcPr>
            <w:tcW w:w="24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xml:space="preserve">填报单位（签章）: </w:t>
            </w:r>
          </w:p>
        </w:tc>
        <w:tc>
          <w:tcPr>
            <w:tcW w:w="3360" w:type="dxa"/>
            <w:gridSpan w:val="6"/>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大城县审计局</w:t>
            </w:r>
          </w:p>
        </w:tc>
        <w:tc>
          <w:tcPr>
            <w:tcW w:w="16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800" w:type="dxa"/>
            <w:gridSpan w:val="3"/>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填报日期：</w:t>
            </w:r>
          </w:p>
        </w:tc>
        <w:tc>
          <w:tcPr>
            <w:tcW w:w="1880" w:type="dxa"/>
            <w:gridSpan w:val="3"/>
            <w:tcBorders>
              <w:top w:val="nil"/>
              <w:left w:val="nil"/>
              <w:bottom w:val="single" w:color="auto" w:sz="4" w:space="0"/>
              <w:right w:val="nil"/>
            </w:tcBorders>
            <w:shd w:val="clear" w:color="auto" w:fill="auto"/>
            <w:vAlign w:val="center"/>
          </w:tcPr>
          <w:p>
            <w:pPr>
              <w:widowControl/>
              <w:spacing w:after="0" w:line="240" w:lineRule="auto"/>
              <w:jc w:val="right"/>
              <w:rPr>
                <w:rFonts w:ascii="宋体" w:hAnsi="宋体" w:cs="宋体"/>
                <w:color w:val="000000"/>
                <w:kern w:val="0"/>
                <w:szCs w:val="21"/>
              </w:rPr>
            </w:pPr>
            <w:r>
              <w:rPr>
                <w:rFonts w:hint="eastAsia" w:ascii="宋体" w:hAnsi="宋体" w:cs="宋体"/>
                <w:color w:val="000000"/>
                <w:kern w:val="0"/>
                <w:szCs w:val="21"/>
              </w:rPr>
              <w:t>2020年5月15日</w:t>
            </w:r>
          </w:p>
        </w:tc>
      </w:tr>
      <w:tr>
        <w:tblPrEx>
          <w:tblCellMar>
            <w:top w:w="0" w:type="dxa"/>
            <w:left w:w="108" w:type="dxa"/>
            <w:bottom w:w="0" w:type="dxa"/>
            <w:right w:w="108" w:type="dxa"/>
          </w:tblCellMar>
        </w:tblPrEx>
        <w:trPr>
          <w:gridAfter w:val="1"/>
          <w:wAfter w:w="40" w:type="dxa"/>
          <w:trHeight w:val="349"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项目名称</w:t>
            </w:r>
          </w:p>
        </w:tc>
        <w:tc>
          <w:tcPr>
            <w:tcW w:w="8540" w:type="dxa"/>
            <w:gridSpan w:val="1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债务专项审计</w:t>
            </w:r>
          </w:p>
        </w:tc>
      </w:tr>
      <w:tr>
        <w:tblPrEx>
          <w:tblCellMar>
            <w:top w:w="0" w:type="dxa"/>
            <w:left w:w="108" w:type="dxa"/>
            <w:bottom w:w="0" w:type="dxa"/>
            <w:right w:w="108" w:type="dxa"/>
          </w:tblCellMar>
        </w:tblPrEx>
        <w:trPr>
          <w:gridAfter w:val="1"/>
          <w:wAfter w:w="40" w:type="dxa"/>
          <w:trHeight w:val="1062"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项目主要内容</w:t>
            </w:r>
          </w:p>
        </w:tc>
        <w:tc>
          <w:tcPr>
            <w:tcW w:w="8540" w:type="dxa"/>
            <w:gridSpan w:val="15"/>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根据省审计厅、市审计局安排部署，市审计组6月中旬开始对我县拖欠民营企业账款和地方政府债务两方面问题进行专项审计，审计期间审计组住宿自理，按照县政府领导要求，我局负责专项审计办公用房租赁、交通保障、办公用品等方面的保障工作。</w:t>
            </w:r>
          </w:p>
        </w:tc>
      </w:tr>
      <w:tr>
        <w:tblPrEx>
          <w:tblCellMar>
            <w:top w:w="0" w:type="dxa"/>
            <w:left w:w="108" w:type="dxa"/>
            <w:bottom w:w="0" w:type="dxa"/>
            <w:right w:w="108" w:type="dxa"/>
          </w:tblCellMar>
        </w:tblPrEx>
        <w:trPr>
          <w:gridAfter w:val="1"/>
          <w:wAfter w:w="40" w:type="dxa"/>
          <w:trHeight w:val="5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项目主管部门（单位）</w:t>
            </w: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大城县审计局</w:t>
            </w:r>
          </w:p>
        </w:tc>
        <w:tc>
          <w:tcPr>
            <w:tcW w:w="120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联系人</w:t>
            </w:r>
          </w:p>
        </w:tc>
        <w:tc>
          <w:tcPr>
            <w:tcW w:w="238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陈蓉</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联系电话</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0316-5500291</w:t>
            </w:r>
          </w:p>
        </w:tc>
      </w:tr>
      <w:tr>
        <w:tblPrEx>
          <w:tblCellMar>
            <w:top w:w="0" w:type="dxa"/>
            <w:left w:w="108" w:type="dxa"/>
            <w:bottom w:w="0" w:type="dxa"/>
            <w:right w:w="108" w:type="dxa"/>
          </w:tblCellMar>
        </w:tblPrEx>
        <w:trPr>
          <w:gridAfter w:val="1"/>
          <w:wAfter w:w="40" w:type="dxa"/>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预算执行情况（万元）</w:t>
            </w: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年初预算数</w:t>
            </w:r>
          </w:p>
        </w:tc>
        <w:tc>
          <w:tcPr>
            <w:tcW w:w="358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当年使用上年结余、结转数</w:t>
            </w:r>
          </w:p>
        </w:tc>
        <w:tc>
          <w:tcPr>
            <w:tcW w:w="2680"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财政拨款数</w:t>
            </w:r>
          </w:p>
        </w:tc>
      </w:tr>
      <w:tr>
        <w:tblPrEx>
          <w:tblCellMar>
            <w:top w:w="0" w:type="dxa"/>
            <w:left w:w="108" w:type="dxa"/>
            <w:bottom w:w="0" w:type="dxa"/>
            <w:right w:w="108" w:type="dxa"/>
          </w:tblCellMar>
        </w:tblPrEx>
        <w:trPr>
          <w:gridAfter w:val="1"/>
          <w:wAfter w:w="40" w:type="dxa"/>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7.47</w:t>
            </w:r>
          </w:p>
        </w:tc>
        <w:tc>
          <w:tcPr>
            <w:tcW w:w="358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0.00</w:t>
            </w:r>
          </w:p>
        </w:tc>
        <w:tc>
          <w:tcPr>
            <w:tcW w:w="2680"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7.47 </w:t>
            </w:r>
          </w:p>
        </w:tc>
      </w:tr>
      <w:tr>
        <w:tblPrEx>
          <w:tblCellMar>
            <w:top w:w="0" w:type="dxa"/>
            <w:left w:w="108" w:type="dxa"/>
            <w:bottom w:w="0" w:type="dxa"/>
            <w:right w:w="108" w:type="dxa"/>
          </w:tblCellMar>
        </w:tblPrEx>
        <w:trPr>
          <w:gridAfter w:val="1"/>
          <w:wAfter w:w="40" w:type="dxa"/>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rPr>
                <w:rFonts w:ascii="宋体" w:hAnsi="宋体" w:cs="宋体"/>
                <w:color w:val="000000"/>
                <w:kern w:val="0"/>
                <w:szCs w:val="21"/>
              </w:rPr>
            </w:pPr>
            <w:r>
              <w:rPr>
                <w:rFonts w:hint="eastAsia" w:ascii="宋体" w:hAnsi="宋体" w:cs="宋体"/>
                <w:color w:val="000000"/>
                <w:kern w:val="0"/>
                <w:szCs w:val="21"/>
              </w:rPr>
              <w:t>财政资金使用情况（万元）</w:t>
            </w:r>
          </w:p>
        </w:tc>
        <w:tc>
          <w:tcPr>
            <w:tcW w:w="228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实际支付数</w:t>
            </w:r>
          </w:p>
        </w:tc>
        <w:tc>
          <w:tcPr>
            <w:tcW w:w="3580"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资金结余、结转数</w:t>
            </w:r>
          </w:p>
        </w:tc>
        <w:tc>
          <w:tcPr>
            <w:tcW w:w="2680"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其中：</w:t>
            </w:r>
          </w:p>
        </w:tc>
      </w:tr>
      <w:tr>
        <w:tblPrEx>
          <w:tblCellMar>
            <w:top w:w="0" w:type="dxa"/>
            <w:left w:w="108" w:type="dxa"/>
            <w:bottom w:w="0" w:type="dxa"/>
            <w:right w:w="108" w:type="dxa"/>
          </w:tblCellMar>
        </w:tblPrEx>
        <w:trPr>
          <w:gridAfter w:val="1"/>
          <w:wAfter w:w="40" w:type="dxa"/>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after="0" w:line="240" w:lineRule="auto"/>
              <w:jc w:val="left"/>
              <w:rPr>
                <w:rFonts w:ascii="宋体" w:hAnsi="宋体" w:cs="宋体"/>
                <w:color w:val="000000"/>
                <w:kern w:val="0"/>
                <w:szCs w:val="21"/>
              </w:rPr>
            </w:pPr>
          </w:p>
        </w:tc>
        <w:tc>
          <w:tcPr>
            <w:tcW w:w="358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结余数</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财政收回数</w:t>
            </w:r>
          </w:p>
        </w:tc>
      </w:tr>
      <w:tr>
        <w:tblPrEx>
          <w:tblCellMar>
            <w:top w:w="0" w:type="dxa"/>
            <w:left w:w="108" w:type="dxa"/>
            <w:bottom w:w="0" w:type="dxa"/>
            <w:right w:w="108" w:type="dxa"/>
          </w:tblCellMar>
        </w:tblPrEx>
        <w:trPr>
          <w:gridAfter w:val="1"/>
          <w:wAfter w:w="40" w:type="dxa"/>
          <w:trHeight w:val="2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6.49</w:t>
            </w:r>
          </w:p>
        </w:tc>
        <w:tc>
          <w:tcPr>
            <w:tcW w:w="3580"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0.00</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0.53 </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0.53</w:t>
            </w:r>
          </w:p>
        </w:tc>
      </w:tr>
      <w:tr>
        <w:tblPrEx>
          <w:tblCellMar>
            <w:top w:w="0" w:type="dxa"/>
            <w:left w:w="108" w:type="dxa"/>
            <w:bottom w:w="0" w:type="dxa"/>
            <w:right w:w="108" w:type="dxa"/>
          </w:tblCellMar>
        </w:tblPrEx>
        <w:trPr>
          <w:gridAfter w:val="1"/>
          <w:wAfter w:w="40" w:type="dxa"/>
          <w:trHeight w:val="312" w:hRule="atLeast"/>
        </w:trPr>
        <w:tc>
          <w:tcPr>
            <w:tcW w:w="154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项目起止时间</w:t>
            </w:r>
          </w:p>
        </w:tc>
        <w:tc>
          <w:tcPr>
            <w:tcW w:w="8540" w:type="dxa"/>
            <w:gridSpan w:val="1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2019年06月起至2019年7月止</w:t>
            </w:r>
          </w:p>
        </w:tc>
      </w:tr>
      <w:tr>
        <w:tblPrEx>
          <w:tblCellMar>
            <w:top w:w="0" w:type="dxa"/>
            <w:left w:w="108" w:type="dxa"/>
            <w:bottom w:w="0" w:type="dxa"/>
            <w:right w:w="108" w:type="dxa"/>
          </w:tblCellMar>
        </w:tblPrEx>
        <w:trPr>
          <w:gridAfter w:val="1"/>
          <w:wAfter w:w="40" w:type="dxa"/>
          <w:trHeight w:val="312"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540" w:type="dxa"/>
            <w:gridSpan w:val="15"/>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r>
      <w:tr>
        <w:tblPrEx>
          <w:tblCellMar>
            <w:top w:w="0" w:type="dxa"/>
            <w:left w:w="108" w:type="dxa"/>
            <w:bottom w:w="0" w:type="dxa"/>
            <w:right w:w="108" w:type="dxa"/>
          </w:tblCellMar>
        </w:tblPrEx>
        <w:trPr>
          <w:gridAfter w:val="1"/>
          <w:wAfter w:w="40" w:type="dxa"/>
          <w:trHeight w:val="578" w:hRule="atLeast"/>
        </w:trPr>
        <w:tc>
          <w:tcPr>
            <w:tcW w:w="1540" w:type="dxa"/>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一级指标</w:t>
            </w:r>
          </w:p>
        </w:tc>
        <w:tc>
          <w:tcPr>
            <w:tcW w:w="880" w:type="dxa"/>
            <w:tcBorders>
              <w:top w:val="nil"/>
              <w:left w:val="nil"/>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二级指标</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三级指标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权重</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指标说明</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评分标准</w:t>
            </w:r>
          </w:p>
        </w:tc>
      </w:tr>
      <w:tr>
        <w:tblPrEx>
          <w:tblCellMar>
            <w:top w:w="0" w:type="dxa"/>
            <w:left w:w="108" w:type="dxa"/>
            <w:bottom w:w="0" w:type="dxa"/>
            <w:right w:w="108" w:type="dxa"/>
          </w:tblCellMar>
        </w:tblPrEx>
        <w:trPr>
          <w:gridAfter w:val="1"/>
          <w:wAfter w:w="40" w:type="dxa"/>
          <w:trHeight w:val="1140" w:hRule="atLeast"/>
        </w:trPr>
        <w:tc>
          <w:tcPr>
            <w:tcW w:w="154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投入</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项目立项</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项目立项规范性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①项目按照规定的程序申请设立；</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②所提交的文件、材料符合相关要求；</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③事前已经过必要的可行性研究、专家论证、风险评估、集体决策等。</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按照规定程序设立，文件资料符合要求的满分，未按照规定程序设立的扣20%权重分，没有上级文件资料的扣80%权重分。</w:t>
            </w:r>
          </w:p>
        </w:tc>
      </w:tr>
      <w:tr>
        <w:tblPrEx>
          <w:tblCellMar>
            <w:top w:w="0" w:type="dxa"/>
            <w:left w:w="108" w:type="dxa"/>
            <w:bottom w:w="0" w:type="dxa"/>
            <w:right w:w="108" w:type="dxa"/>
          </w:tblCellMar>
        </w:tblPrEx>
        <w:trPr>
          <w:gridAfter w:val="1"/>
          <w:wAfter w:w="40" w:type="dxa"/>
          <w:trHeight w:val="1560"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绩效目标合理性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①符合国家相关法律法规、国民经济发展规划和党委政府决策；</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②与项目实施单位或委托单位职责密切相关；</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③项目为促进事业发展所必需；</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④项目预期产出效益和效果符合正常的业绩水平。</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绩效目标合理可行、符合法律法规的得满分，前述四项每项不符合要求的扣25%权重分。</w:t>
            </w:r>
          </w:p>
        </w:tc>
      </w:tr>
      <w:tr>
        <w:tblPrEx>
          <w:tblCellMar>
            <w:top w:w="0" w:type="dxa"/>
            <w:left w:w="108" w:type="dxa"/>
            <w:bottom w:w="0" w:type="dxa"/>
            <w:right w:w="108" w:type="dxa"/>
          </w:tblCellMar>
        </w:tblPrEx>
        <w:trPr>
          <w:gridAfter w:val="1"/>
          <w:wAfter w:w="40" w:type="dxa"/>
          <w:trHeight w:val="802"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绩效指标明确性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①可将项目绩效目标细化分解为具体的绩效指标；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②可通过清晰、可衡量的指标值予以体现；</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③可与项目年度任务数或计划数相对应；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④可与预算确定的项目投资额或资金量相匹配。</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①将项目绩效目标细化分解为具体的绩效指标得0.5分；②指标值清晰、可衡量得0.5分；③指标与项目年度任务数或计划数相对应得0.5分；④指标可用于评价项目实施全过程的得0.5分。</w:t>
            </w:r>
          </w:p>
        </w:tc>
      </w:tr>
      <w:tr>
        <w:tblPrEx>
          <w:tblCellMar>
            <w:top w:w="0" w:type="dxa"/>
            <w:left w:w="108" w:type="dxa"/>
            <w:bottom w:w="0" w:type="dxa"/>
            <w:right w:w="108" w:type="dxa"/>
          </w:tblCellMar>
        </w:tblPrEx>
        <w:trPr>
          <w:gridAfter w:val="1"/>
          <w:wAfter w:w="40" w:type="dxa"/>
          <w:trHeight w:val="1763"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资金落实</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资金到位率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资金到位率=（实际到位资金/计划投入资金）×100%。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实际到位资金：一定时期（本年度或项目期）内实际落实到具体项目的资金。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计划投入资金：一定时期（本年度或项目期）内计划投入到具体项目的资金。</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资金到位率100%的得满分；资金到位率每下降10个百分点，扣10%权重分。</w:t>
            </w:r>
          </w:p>
        </w:tc>
      </w:tr>
      <w:tr>
        <w:tblPrEx>
          <w:tblCellMar>
            <w:top w:w="0" w:type="dxa"/>
            <w:left w:w="108" w:type="dxa"/>
            <w:bottom w:w="0" w:type="dxa"/>
            <w:right w:w="108" w:type="dxa"/>
          </w:tblCellMar>
        </w:tblPrEx>
        <w:trPr>
          <w:gridAfter w:val="1"/>
          <w:wAfter w:w="40" w:type="dxa"/>
          <w:trHeight w:val="1485"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到位及时率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到位及时率=（及时到位资金/应到位资金）×100%。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及时到位资金：截至规定时点实际落实到具体项目的资金。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应到位资金：按照合同或项目进度要求截至规定时点应落实到具体项目的资金。</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到位及时率100%的得满分；到位及时率每下降10个百分点，扣10%分值。</w:t>
            </w:r>
          </w:p>
        </w:tc>
      </w:tr>
      <w:tr>
        <w:tblPrEx>
          <w:tblCellMar>
            <w:top w:w="0" w:type="dxa"/>
            <w:left w:w="108" w:type="dxa"/>
            <w:bottom w:w="0" w:type="dxa"/>
            <w:right w:w="108" w:type="dxa"/>
          </w:tblCellMar>
        </w:tblPrEx>
        <w:trPr>
          <w:gridAfter w:val="1"/>
          <w:wAfter w:w="40" w:type="dxa"/>
          <w:trHeight w:val="1369"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过程</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业务管理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①已制定或具有相应的业务管理制度；</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②业务管理制度合法、合规、完整。</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是否设立了合理的制度来规范工作流程，制度健全得100%权重分，比较健全得50%权重分，有制度但不健全得25%权重分，没有建立制度不得分。</w:t>
            </w:r>
          </w:p>
        </w:tc>
      </w:tr>
      <w:tr>
        <w:tblPrEx>
          <w:tblCellMar>
            <w:top w:w="0" w:type="dxa"/>
            <w:left w:w="108" w:type="dxa"/>
            <w:bottom w:w="0" w:type="dxa"/>
            <w:right w:w="108" w:type="dxa"/>
          </w:tblCellMar>
        </w:tblPrEx>
        <w:trPr>
          <w:gridAfter w:val="1"/>
          <w:wAfter w:w="40" w:type="dxa"/>
          <w:trHeight w:val="139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制度执行有效性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①遵守相关法律法规和业务管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②项目调整及支出调整手续完备；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③项目合同书、验收报告、技术鉴定等资料齐全并及时归档；</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④项目实施的人员条件、场地设备、信息支撑等落实到位。</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项目具体实施是否按相关制度执行，操作流程是否规范。实施执行情况较好得100%权重分，执行情况一般得50%权重分，情况不理想不得分。</w:t>
            </w:r>
          </w:p>
        </w:tc>
      </w:tr>
      <w:tr>
        <w:tblPrEx>
          <w:tblCellMar>
            <w:top w:w="0" w:type="dxa"/>
            <w:left w:w="108" w:type="dxa"/>
            <w:bottom w:w="0" w:type="dxa"/>
            <w:right w:w="108" w:type="dxa"/>
          </w:tblCellMar>
        </w:tblPrEx>
        <w:trPr>
          <w:gridAfter w:val="1"/>
          <w:wAfter w:w="40" w:type="dxa"/>
          <w:trHeight w:val="130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项目质量可控性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①已制定或具有相应的项目质量要求或标准；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②采取了相应的项目质量检查、验收等必需的控制措施或手段。</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项目制定了相关标准，并采取了相关的检查、验收等流程，对项目质量控制较好得100%权重分，控制情况一般得50%权重分，控制情况不理想不得分。</w:t>
            </w:r>
          </w:p>
        </w:tc>
      </w:tr>
      <w:tr>
        <w:tblPrEx>
          <w:tblCellMar>
            <w:top w:w="0" w:type="dxa"/>
            <w:left w:w="108" w:type="dxa"/>
            <w:bottom w:w="0" w:type="dxa"/>
            <w:right w:w="108" w:type="dxa"/>
          </w:tblCellMar>
        </w:tblPrEx>
        <w:trPr>
          <w:gridAfter w:val="1"/>
          <w:wAfter w:w="40" w:type="dxa"/>
          <w:trHeight w:val="66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档案管理规范性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①是否已制定相关制度对项目的相关信息进行登记管理。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②是否有专人对所申报的资料进行整理、保管。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用以反映和考核项目实施单位对相关项目资料的保管情况。</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档案管理完全符合前述要点的得满分，每一项不符合的扣1分。</w:t>
            </w:r>
          </w:p>
        </w:tc>
      </w:tr>
      <w:tr>
        <w:tblPrEx>
          <w:tblCellMar>
            <w:top w:w="0" w:type="dxa"/>
            <w:left w:w="108" w:type="dxa"/>
            <w:bottom w:w="0" w:type="dxa"/>
            <w:right w:w="108" w:type="dxa"/>
          </w:tblCellMar>
        </w:tblPrEx>
        <w:trPr>
          <w:gridAfter w:val="1"/>
          <w:wAfter w:w="40" w:type="dxa"/>
          <w:trHeight w:val="1272"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①是否已制定或具有相应的项目资金管理办法；</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②项目资金管理办法是否符合相关财务会计制度的规定。</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财务制度健全同时也制定了符合制度的资金管理办法的得满分；有财务制度但没有制定资金管理办法扣50%分值；没有财务制度得0分。</w:t>
            </w:r>
          </w:p>
        </w:tc>
      </w:tr>
      <w:tr>
        <w:tblPrEx>
          <w:tblCellMar>
            <w:top w:w="0" w:type="dxa"/>
            <w:left w:w="108" w:type="dxa"/>
            <w:bottom w:w="0" w:type="dxa"/>
            <w:right w:w="108" w:type="dxa"/>
          </w:tblCellMar>
        </w:tblPrEx>
        <w:trPr>
          <w:gridAfter w:val="1"/>
          <w:wAfter w:w="40" w:type="dxa"/>
          <w:trHeight w:val="26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资金使用合规性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①符合国家财经法规和财务管理制度以及有关专项资金管理办法的规定；</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②资金的拨付有完整的审批程序和手续；</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③项目的重大开支经过评估认证；</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④符合项目预算批复或合同规定的用途；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⑤不存在截留、挤占、挪用、虚列支出等情况。</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使用符合前述要点的满分；不符合国家财经法规和财务管理制度以及有关专项资金管理办法的规定，每发现一处扣5%分值；资金拨付审批程序和手续不完整的，每发现一处扣5%分值；政府采购或超投标项目支出不符合规定程序的，每发现一处扣5%分值；每发生一起未用于预算批复或合同规定用途情况的，扣5%分值；存在截留、挪用、虚列支出情况的，扣50%分值。</w:t>
            </w:r>
          </w:p>
        </w:tc>
      </w:tr>
      <w:tr>
        <w:tblPrEx>
          <w:tblCellMar>
            <w:top w:w="0" w:type="dxa"/>
            <w:left w:w="108" w:type="dxa"/>
            <w:bottom w:w="0" w:type="dxa"/>
            <w:right w:w="108" w:type="dxa"/>
          </w:tblCellMar>
        </w:tblPrEx>
        <w:trPr>
          <w:gridAfter w:val="1"/>
          <w:wAfter w:w="40" w:type="dxa"/>
          <w:trHeight w:val="540"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产出</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项目产出</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实际完成率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实际完成量/计划完成量×100%</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gridSpan w:val="3"/>
            <w:vMerge w:val="restart"/>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实际完成率在在95%以上的扣1分，在70-94%之间的评价扣2分，在69%以下的酌情评价扣分。比率为0的不得分。</w:t>
            </w:r>
          </w:p>
        </w:tc>
      </w:tr>
      <w:tr>
        <w:tblPrEx>
          <w:tblCellMar>
            <w:top w:w="0" w:type="dxa"/>
            <w:left w:w="108" w:type="dxa"/>
            <w:bottom w:w="0" w:type="dxa"/>
            <w:right w:w="108" w:type="dxa"/>
          </w:tblCellMar>
        </w:tblPrEx>
        <w:trPr>
          <w:gridAfter w:val="1"/>
          <w:wAfter w:w="40" w:type="dxa"/>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完成及时率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完成及时率：及时完工该指标值为100%，每延期1天扣减5个百分点</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880" w:type="dxa"/>
            <w:gridSpan w:val="3"/>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1"/>
          <w:wAfter w:w="40" w:type="dxa"/>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质量达标率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 xml:space="preserve">质量合格率＝质量合格项目数量/全部项目数量×100% </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gridSpan w:val="3"/>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1"/>
          <w:wAfter w:w="40" w:type="dxa"/>
          <w:trHeight w:val="638"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效益</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项目效益</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经济效益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项目实施后所产生的直接的与经济有关的效益，例举各个方面。</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gridSpan w:val="3"/>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根据项目的效益情况酌情评分。</w:t>
            </w:r>
          </w:p>
        </w:tc>
      </w:tr>
      <w:tr>
        <w:tblPrEx>
          <w:tblCellMar>
            <w:top w:w="0" w:type="dxa"/>
            <w:left w:w="108" w:type="dxa"/>
            <w:bottom w:w="0" w:type="dxa"/>
            <w:right w:w="108" w:type="dxa"/>
          </w:tblCellMar>
        </w:tblPrEx>
        <w:trPr>
          <w:gridAfter w:val="1"/>
          <w:wAfter w:w="40" w:type="dxa"/>
          <w:trHeight w:val="638"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社会效益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项目实施后对社会各方面能起到的积极作用，例举相关各个方面。</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1"/>
          <w:wAfter w:w="40" w:type="dxa"/>
          <w:trHeight w:val="76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可持续效益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项目实施后产生的长久可维持效果，例举各方面可持续长期效益。</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1"/>
          <w:wAfter w:w="40" w:type="dxa"/>
          <w:trHeight w:val="81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受益对象满意度</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调查中相关人员满意和较满意的数量占调查总人数的比率</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880" w:type="dxa"/>
            <w:gridSpan w:val="3"/>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gridAfter w:val="1"/>
          <w:wAfter w:w="40" w:type="dxa"/>
          <w:trHeight w:val="398" w:hRule="atLeast"/>
        </w:trPr>
        <w:tc>
          <w:tcPr>
            <w:tcW w:w="38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得分合计</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100</w:t>
            </w:r>
          </w:p>
        </w:tc>
        <w:tc>
          <w:tcPr>
            <w:tcW w:w="2900" w:type="dxa"/>
            <w:gridSpan w:val="6"/>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w:t>
            </w:r>
          </w:p>
        </w:tc>
        <w:tc>
          <w:tcPr>
            <w:tcW w:w="80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98</w:t>
            </w:r>
          </w:p>
        </w:tc>
        <w:tc>
          <w:tcPr>
            <w:tcW w:w="1880"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gridAfter w:val="1"/>
          <w:wAfter w:w="40" w:type="dxa"/>
          <w:trHeight w:val="690" w:hRule="atLeast"/>
        </w:trPr>
        <w:tc>
          <w:tcPr>
            <w:tcW w:w="4500"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评价等级</w:t>
            </w:r>
          </w:p>
        </w:tc>
        <w:tc>
          <w:tcPr>
            <w:tcW w:w="5580"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Cs w:val="21"/>
              </w:rPr>
            </w:pPr>
            <w:r>
              <w:rPr>
                <w:rFonts w:ascii="Wingdings" w:hAnsi="Wingdings"/>
                <w:color w:val="000000"/>
                <w:kern w:val="0"/>
                <w:szCs w:val="21"/>
              </w:rPr>
              <w:t></w:t>
            </w:r>
            <w:r>
              <w:rPr>
                <w:rFonts w:hint="eastAsia" w:ascii="仿宋" w:hAnsi="仿宋" w:eastAsia="仿宋"/>
                <w:color w:val="000000"/>
                <w:kern w:val="0"/>
                <w:szCs w:val="21"/>
              </w:rPr>
              <w:t>优</w:t>
            </w:r>
            <w:r>
              <w:rPr>
                <w:rFonts w:hint="eastAsia" w:ascii="宋体" w:hAnsi="宋体"/>
                <w:color w:val="000000"/>
                <w:kern w:val="0"/>
                <w:szCs w:val="21"/>
              </w:rPr>
              <w:t>□</w:t>
            </w:r>
            <w:r>
              <w:rPr>
                <w:rFonts w:hint="eastAsia" w:ascii="仿宋" w:hAnsi="仿宋" w:eastAsia="仿宋"/>
                <w:color w:val="000000"/>
                <w:kern w:val="0"/>
                <w:szCs w:val="21"/>
              </w:rPr>
              <w:t>良□可□差　</w:t>
            </w:r>
          </w:p>
        </w:tc>
      </w:tr>
    </w:tbl>
    <w:p>
      <w:pPr>
        <w:adjustRightInd w:val="0"/>
        <w:snapToGrid w:val="0"/>
        <w:spacing w:after="0" w:line="580" w:lineRule="exact"/>
        <w:rPr>
          <w:rFonts w:ascii="仿宋" w:hAnsi="仿宋" w:eastAsia="仿宋" w:cs="仿宋"/>
          <w:sz w:val="32"/>
          <w:szCs w:val="32"/>
        </w:rPr>
      </w:pPr>
    </w:p>
    <w:p>
      <w:pPr>
        <w:adjustRightInd w:val="0"/>
        <w:snapToGrid w:val="0"/>
        <w:spacing w:after="0" w:line="580" w:lineRule="exact"/>
        <w:rPr>
          <w:rFonts w:ascii="仿宋" w:hAnsi="仿宋" w:eastAsia="仿宋" w:cs="仿宋"/>
          <w:sz w:val="32"/>
          <w:szCs w:val="32"/>
        </w:rPr>
      </w:pPr>
    </w:p>
    <w:p>
      <w:pPr>
        <w:adjustRightInd w:val="0"/>
        <w:snapToGrid w:val="0"/>
        <w:spacing w:line="580" w:lineRule="exact"/>
        <w:rPr>
          <w:rFonts w:ascii="仿宋" w:hAnsi="仿宋" w:eastAsia="仿宋" w:cs="仿宋"/>
          <w:sz w:val="32"/>
          <w:szCs w:val="32"/>
        </w:rPr>
      </w:pPr>
    </w:p>
    <w:p>
      <w:pPr>
        <w:adjustRightInd w:val="0"/>
        <w:snapToGrid w:val="0"/>
        <w:spacing w:line="580" w:lineRule="exact"/>
        <w:rPr>
          <w:rFonts w:ascii="仿宋" w:hAnsi="仿宋" w:eastAsia="仿宋" w:cs="仿宋"/>
          <w:sz w:val="32"/>
          <w:szCs w:val="32"/>
        </w:rPr>
      </w:pPr>
    </w:p>
    <w:p>
      <w:pPr>
        <w:adjustRightInd w:val="0"/>
        <w:snapToGrid w:val="0"/>
        <w:spacing w:line="580" w:lineRule="exact"/>
        <w:rPr>
          <w:rFonts w:ascii="仿宋" w:hAnsi="仿宋" w:eastAsia="仿宋" w:cs="仿宋"/>
          <w:sz w:val="32"/>
          <w:szCs w:val="32"/>
        </w:rPr>
      </w:pPr>
    </w:p>
    <w:p>
      <w:pPr>
        <w:adjustRightInd w:val="0"/>
        <w:snapToGrid w:val="0"/>
        <w:spacing w:line="580" w:lineRule="exact"/>
        <w:rPr>
          <w:rFonts w:ascii="仿宋" w:hAnsi="仿宋" w:eastAsia="仿宋" w:cs="仿宋"/>
          <w:sz w:val="32"/>
          <w:szCs w:val="32"/>
        </w:rPr>
      </w:pPr>
    </w:p>
    <w:p>
      <w:pPr>
        <w:adjustRightInd w:val="0"/>
        <w:snapToGrid w:val="0"/>
        <w:spacing w:line="580" w:lineRule="exact"/>
        <w:rPr>
          <w:rFonts w:ascii="仿宋" w:hAnsi="仿宋" w:eastAsia="仿宋" w:cs="仿宋"/>
          <w:sz w:val="32"/>
          <w:szCs w:val="32"/>
        </w:rPr>
      </w:pPr>
    </w:p>
    <w:tbl>
      <w:tblPr>
        <w:tblStyle w:val="13"/>
        <w:tblW w:w="10120" w:type="dxa"/>
        <w:tblInd w:w="93" w:type="dxa"/>
        <w:tblLayout w:type="autofit"/>
        <w:tblCellMar>
          <w:top w:w="0" w:type="dxa"/>
          <w:left w:w="108" w:type="dxa"/>
          <w:bottom w:w="0" w:type="dxa"/>
          <w:right w:w="108" w:type="dxa"/>
        </w:tblCellMar>
      </w:tblPr>
      <w:tblGrid>
        <w:gridCol w:w="1546"/>
        <w:gridCol w:w="883"/>
        <w:gridCol w:w="1406"/>
        <w:gridCol w:w="683"/>
        <w:gridCol w:w="522"/>
        <w:gridCol w:w="763"/>
        <w:gridCol w:w="1626"/>
        <w:gridCol w:w="803"/>
        <w:gridCol w:w="1888"/>
      </w:tblGrid>
      <w:tr>
        <w:tblPrEx>
          <w:tblCellMar>
            <w:top w:w="0" w:type="dxa"/>
            <w:left w:w="108" w:type="dxa"/>
            <w:bottom w:w="0" w:type="dxa"/>
            <w:right w:w="108" w:type="dxa"/>
          </w:tblCellMar>
        </w:tblPrEx>
        <w:trPr>
          <w:trHeight w:val="480" w:hRule="atLeast"/>
        </w:trPr>
        <w:tc>
          <w:tcPr>
            <w:tcW w:w="10080" w:type="dxa"/>
            <w:gridSpan w:val="9"/>
            <w:tcBorders>
              <w:top w:val="nil"/>
              <w:left w:val="nil"/>
              <w:bottom w:val="nil"/>
              <w:right w:val="nil"/>
            </w:tcBorders>
            <w:shd w:val="clear" w:color="auto" w:fill="auto"/>
            <w:vAlign w:val="center"/>
          </w:tcPr>
          <w:p>
            <w:pPr>
              <w:widowControl/>
              <w:spacing w:after="0" w:line="240" w:lineRule="auto"/>
              <w:jc w:val="center"/>
              <w:rPr>
                <w:rFonts w:ascii="方正小标宋简体" w:hAnsi="宋体" w:eastAsia="方正小标宋简体" w:cs="宋体"/>
                <w:color w:val="000000"/>
                <w:kern w:val="0"/>
                <w:sz w:val="36"/>
                <w:szCs w:val="36"/>
              </w:rPr>
            </w:pPr>
            <w:bookmarkStart w:id="0" w:name="_GoBack"/>
            <w:r>
              <w:rPr>
                <w:rFonts w:hint="eastAsia" w:ascii="宋体" w:hAnsi="宋体" w:eastAsia="宋体" w:cs="宋体"/>
                <w:color w:val="000000"/>
                <w:kern w:val="0"/>
                <w:szCs w:val="21"/>
                <w:lang w:eastAsia="zh-CN"/>
              </w:rPr>
              <w:drawing>
                <wp:anchor distT="0" distB="0" distL="114300" distR="114300" simplePos="0" relativeHeight="251676672" behindDoc="0" locked="0" layoutInCell="1" allowOverlap="1">
                  <wp:simplePos x="0" y="0"/>
                  <wp:positionH relativeFrom="column">
                    <wp:posOffset>-327660</wp:posOffset>
                  </wp:positionH>
                  <wp:positionV relativeFrom="paragraph">
                    <wp:posOffset>-173355</wp:posOffset>
                  </wp:positionV>
                  <wp:extent cx="6922770" cy="9025255"/>
                  <wp:effectExtent l="0" t="0" r="11430" b="4445"/>
                  <wp:wrapNone/>
                  <wp:docPr id="8" name="图片 8" descr="社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社会"/>
                          <pic:cNvPicPr>
                            <a:picLocks noChangeAspect="1"/>
                          </pic:cNvPicPr>
                        </pic:nvPicPr>
                        <pic:blipFill>
                          <a:blip r:embed="rId22"/>
                          <a:stretch>
                            <a:fillRect/>
                          </a:stretch>
                        </pic:blipFill>
                        <pic:spPr>
                          <a:xfrm>
                            <a:off x="0" y="0"/>
                            <a:ext cx="6922770" cy="9025255"/>
                          </a:xfrm>
                          <a:prstGeom prst="rect">
                            <a:avLst/>
                          </a:prstGeom>
                        </pic:spPr>
                      </pic:pic>
                    </a:graphicData>
                  </a:graphic>
                </wp:anchor>
              </w:drawing>
            </w:r>
            <w:bookmarkEnd w:id="0"/>
            <w:r>
              <w:rPr>
                <w:rFonts w:hint="eastAsia" w:ascii="方正小标宋简体" w:hAnsi="宋体" w:eastAsia="方正小标宋简体" w:cs="宋体"/>
                <w:color w:val="000000"/>
                <w:kern w:val="0"/>
                <w:sz w:val="36"/>
                <w:szCs w:val="36"/>
              </w:rPr>
              <w:t>2019年财政专项资金项目绩效自评表</w:t>
            </w:r>
          </w:p>
        </w:tc>
      </w:tr>
      <w:tr>
        <w:tblPrEx>
          <w:tblCellMar>
            <w:top w:w="0" w:type="dxa"/>
            <w:left w:w="108" w:type="dxa"/>
            <w:bottom w:w="0" w:type="dxa"/>
            <w:right w:w="108" w:type="dxa"/>
          </w:tblCellMar>
        </w:tblPrEx>
        <w:trPr>
          <w:trHeight w:val="630" w:hRule="atLeast"/>
        </w:trPr>
        <w:tc>
          <w:tcPr>
            <w:tcW w:w="2420" w:type="dxa"/>
            <w:gridSpan w:val="2"/>
            <w:tcBorders>
              <w:top w:val="nil"/>
              <w:left w:val="nil"/>
              <w:bottom w:val="single" w:color="auto" w:sz="4" w:space="0"/>
              <w:right w:val="nil"/>
            </w:tcBorders>
            <w:shd w:val="clear" w:color="auto" w:fill="auto"/>
            <w:vAlign w:val="center"/>
          </w:tcPr>
          <w:p>
            <w:pPr>
              <w:widowControl/>
              <w:spacing w:after="0" w:line="240" w:lineRule="auto"/>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填报单位（签章）: </w:t>
            </w:r>
          </w:p>
        </w:tc>
        <w:tc>
          <w:tcPr>
            <w:tcW w:w="3360" w:type="dxa"/>
            <w:gridSpan w:val="4"/>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大城县审计局</w:t>
            </w:r>
          </w:p>
        </w:tc>
        <w:tc>
          <w:tcPr>
            <w:tcW w:w="1620" w:type="dxa"/>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800" w:type="dxa"/>
            <w:tcBorders>
              <w:top w:val="nil"/>
              <w:left w:val="nil"/>
              <w:bottom w:val="single" w:color="auto" w:sz="4" w:space="0"/>
              <w:right w:val="nil"/>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填报日期：</w:t>
            </w:r>
          </w:p>
        </w:tc>
        <w:tc>
          <w:tcPr>
            <w:tcW w:w="1880" w:type="dxa"/>
            <w:tcBorders>
              <w:top w:val="nil"/>
              <w:left w:val="nil"/>
              <w:bottom w:val="single" w:color="auto" w:sz="4" w:space="0"/>
              <w:right w:val="nil"/>
            </w:tcBorders>
            <w:shd w:val="clear" w:color="auto" w:fill="auto"/>
            <w:vAlign w:val="center"/>
          </w:tcPr>
          <w:p>
            <w:pPr>
              <w:widowControl/>
              <w:spacing w:after="0" w:line="240" w:lineRule="auto"/>
              <w:jc w:val="right"/>
              <w:rPr>
                <w:rFonts w:ascii="宋体" w:hAnsi="宋体" w:cs="宋体"/>
                <w:color w:val="000000"/>
                <w:kern w:val="0"/>
                <w:szCs w:val="21"/>
              </w:rPr>
            </w:pPr>
            <w:r>
              <w:rPr>
                <w:rFonts w:hint="eastAsia" w:ascii="宋体" w:hAnsi="宋体" w:cs="宋体"/>
                <w:color w:val="000000"/>
                <w:kern w:val="0"/>
                <w:szCs w:val="21"/>
              </w:rPr>
              <w:t>2020年5月15日</w:t>
            </w:r>
          </w:p>
        </w:tc>
      </w:tr>
      <w:tr>
        <w:tblPrEx>
          <w:tblCellMar>
            <w:top w:w="0" w:type="dxa"/>
            <w:left w:w="108" w:type="dxa"/>
            <w:bottom w:w="0" w:type="dxa"/>
            <w:right w:w="108" w:type="dxa"/>
          </w:tblCellMar>
        </w:tblPrEx>
        <w:trPr>
          <w:trHeight w:val="349"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项目名称</w:t>
            </w:r>
          </w:p>
        </w:tc>
        <w:tc>
          <w:tcPr>
            <w:tcW w:w="8540"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购买社会审计服务费</w:t>
            </w:r>
          </w:p>
        </w:tc>
      </w:tr>
      <w:tr>
        <w:tblPrEx>
          <w:tblCellMar>
            <w:top w:w="0" w:type="dxa"/>
            <w:left w:w="108" w:type="dxa"/>
            <w:bottom w:w="0" w:type="dxa"/>
            <w:right w:w="108" w:type="dxa"/>
          </w:tblCellMar>
        </w:tblPrEx>
        <w:trPr>
          <w:trHeight w:val="1062"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项目主要内容</w:t>
            </w:r>
          </w:p>
        </w:tc>
        <w:tc>
          <w:tcPr>
            <w:tcW w:w="8540" w:type="dxa"/>
            <w:gridSpan w:val="8"/>
            <w:tcBorders>
              <w:top w:val="single" w:color="auto" w:sz="4" w:space="0"/>
              <w:left w:val="nil"/>
              <w:bottom w:val="single" w:color="auto" w:sz="4" w:space="0"/>
              <w:right w:val="single" w:color="000000" w:sz="4" w:space="0"/>
            </w:tcBorders>
            <w:shd w:val="clear" w:color="auto" w:fill="auto"/>
            <w:vAlign w:val="center"/>
          </w:tcPr>
          <w:p>
            <w:pPr>
              <w:jc w:val="left"/>
              <w:rPr>
                <w:rFonts w:ascii="宋体" w:hAnsi="宋体" w:cs="宋体"/>
                <w:sz w:val="20"/>
                <w:szCs w:val="20"/>
              </w:rPr>
            </w:pPr>
            <w:r>
              <w:rPr>
                <w:rFonts w:hint="eastAsia"/>
                <w:sz w:val="20"/>
                <w:szCs w:val="20"/>
              </w:rPr>
              <w:t>工程审计需外聘专家、中介审计费30万元。</w:t>
            </w:r>
          </w:p>
        </w:tc>
      </w:tr>
      <w:tr>
        <w:tblPrEx>
          <w:tblCellMar>
            <w:top w:w="0" w:type="dxa"/>
            <w:left w:w="108" w:type="dxa"/>
            <w:bottom w:w="0" w:type="dxa"/>
            <w:right w:w="108" w:type="dxa"/>
          </w:tblCellMar>
        </w:tblPrEx>
        <w:trPr>
          <w:trHeight w:val="5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项目主管部门（单位）</w:t>
            </w: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大城县审计局</w:t>
            </w:r>
          </w:p>
        </w:tc>
        <w:tc>
          <w:tcPr>
            <w:tcW w:w="12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联系人</w:t>
            </w:r>
          </w:p>
        </w:tc>
        <w:tc>
          <w:tcPr>
            <w:tcW w:w="23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陈蓉</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联系电话</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0316-5500291</w:t>
            </w:r>
          </w:p>
        </w:tc>
      </w:tr>
      <w:tr>
        <w:tblPrEx>
          <w:tblCellMar>
            <w:top w:w="0" w:type="dxa"/>
            <w:left w:w="108" w:type="dxa"/>
            <w:bottom w:w="0" w:type="dxa"/>
            <w:right w:w="108" w:type="dxa"/>
          </w:tblCellMar>
        </w:tblPrEx>
        <w:trPr>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预算执行情况（万元）</w:t>
            </w: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年初预算数</w:t>
            </w:r>
          </w:p>
        </w:tc>
        <w:tc>
          <w:tcPr>
            <w:tcW w:w="358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当年使用上年结余、结转数</w:t>
            </w:r>
          </w:p>
        </w:tc>
        <w:tc>
          <w:tcPr>
            <w:tcW w:w="26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财政拨款数</w:t>
            </w:r>
          </w:p>
        </w:tc>
      </w:tr>
      <w:tr>
        <w:tblPrEx>
          <w:tblCellMar>
            <w:top w:w="0" w:type="dxa"/>
            <w:left w:w="108" w:type="dxa"/>
            <w:bottom w:w="0" w:type="dxa"/>
            <w:right w:w="108" w:type="dxa"/>
          </w:tblCellMar>
        </w:tblPrEx>
        <w:trPr>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30</w:t>
            </w:r>
          </w:p>
        </w:tc>
        <w:tc>
          <w:tcPr>
            <w:tcW w:w="358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21.7</w:t>
            </w:r>
          </w:p>
        </w:tc>
        <w:tc>
          <w:tcPr>
            <w:tcW w:w="26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30</w:t>
            </w:r>
          </w:p>
        </w:tc>
      </w:tr>
      <w:tr>
        <w:tblPrEx>
          <w:tblCellMar>
            <w:top w:w="0" w:type="dxa"/>
            <w:left w:w="108" w:type="dxa"/>
            <w:bottom w:w="0" w:type="dxa"/>
            <w:right w:w="108" w:type="dxa"/>
          </w:tblCellMar>
        </w:tblPrEx>
        <w:trPr>
          <w:trHeight w:val="349" w:hRule="atLeast"/>
        </w:trPr>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rPr>
                <w:rFonts w:ascii="宋体" w:hAnsi="宋体" w:cs="宋体"/>
                <w:color w:val="000000"/>
                <w:kern w:val="0"/>
                <w:szCs w:val="21"/>
              </w:rPr>
            </w:pPr>
            <w:r>
              <w:rPr>
                <w:rFonts w:hint="eastAsia" w:ascii="宋体" w:hAnsi="宋体" w:cs="宋体"/>
                <w:color w:val="000000"/>
                <w:kern w:val="0"/>
                <w:szCs w:val="21"/>
              </w:rPr>
              <w:t>财政资金使用情况（万元）</w:t>
            </w:r>
          </w:p>
        </w:tc>
        <w:tc>
          <w:tcPr>
            <w:tcW w:w="228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实际支付数</w:t>
            </w:r>
          </w:p>
        </w:tc>
        <w:tc>
          <w:tcPr>
            <w:tcW w:w="358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资金结余、结转数</w:t>
            </w:r>
          </w:p>
        </w:tc>
        <w:tc>
          <w:tcPr>
            <w:tcW w:w="26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其中：</w:t>
            </w:r>
          </w:p>
        </w:tc>
      </w:tr>
      <w:tr>
        <w:tblPrEx>
          <w:tblCellMar>
            <w:top w:w="0" w:type="dxa"/>
            <w:left w:w="108" w:type="dxa"/>
            <w:bottom w:w="0" w:type="dxa"/>
            <w:right w:w="108" w:type="dxa"/>
          </w:tblCellMar>
        </w:tblPrEx>
        <w:trPr>
          <w:trHeight w:val="34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after="0" w:line="240" w:lineRule="auto"/>
              <w:jc w:val="left"/>
              <w:rPr>
                <w:rFonts w:ascii="宋体" w:hAnsi="宋体" w:cs="宋体"/>
                <w:color w:val="000000"/>
                <w:kern w:val="0"/>
                <w:szCs w:val="21"/>
              </w:rPr>
            </w:pPr>
          </w:p>
        </w:tc>
        <w:tc>
          <w:tcPr>
            <w:tcW w:w="358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结余数</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财政收回数</w:t>
            </w:r>
          </w:p>
        </w:tc>
      </w:tr>
      <w:tr>
        <w:tblPrEx>
          <w:tblCellMar>
            <w:top w:w="0" w:type="dxa"/>
            <w:left w:w="108" w:type="dxa"/>
            <w:bottom w:w="0" w:type="dxa"/>
            <w:right w:w="108" w:type="dxa"/>
          </w:tblCellMar>
        </w:tblPrEx>
        <w:trPr>
          <w:trHeight w:val="2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228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rFonts w:ascii="宋体" w:hAnsi="宋体" w:cs="宋体"/>
                <w:color w:val="000000"/>
                <w:kern w:val="0"/>
                <w:szCs w:val="21"/>
              </w:rPr>
            </w:pPr>
            <w:r>
              <w:rPr>
                <w:rFonts w:hint="eastAsia" w:ascii="宋体" w:hAnsi="宋体" w:cs="宋体"/>
                <w:color w:val="000000"/>
                <w:kern w:val="0"/>
                <w:szCs w:val="21"/>
              </w:rPr>
              <w:t xml:space="preserve">         36.7</w:t>
            </w:r>
          </w:p>
        </w:tc>
        <w:tc>
          <w:tcPr>
            <w:tcW w:w="358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15.00</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 xml:space="preserve">15.00 </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0.00</w:t>
            </w:r>
          </w:p>
        </w:tc>
      </w:tr>
      <w:tr>
        <w:tblPrEx>
          <w:tblCellMar>
            <w:top w:w="0" w:type="dxa"/>
            <w:left w:w="108" w:type="dxa"/>
            <w:bottom w:w="0" w:type="dxa"/>
            <w:right w:w="108" w:type="dxa"/>
          </w:tblCellMar>
        </w:tblPrEx>
        <w:trPr>
          <w:trHeight w:val="312" w:hRule="atLeast"/>
        </w:trPr>
        <w:tc>
          <w:tcPr>
            <w:tcW w:w="154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项目起止时间</w:t>
            </w:r>
          </w:p>
        </w:tc>
        <w:tc>
          <w:tcPr>
            <w:tcW w:w="8540"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2019年01月起至2019年12月止</w:t>
            </w:r>
          </w:p>
        </w:tc>
      </w:tr>
      <w:tr>
        <w:tblPrEx>
          <w:tblCellMar>
            <w:top w:w="0" w:type="dxa"/>
            <w:left w:w="108" w:type="dxa"/>
            <w:bottom w:w="0" w:type="dxa"/>
            <w:right w:w="108" w:type="dxa"/>
          </w:tblCellMar>
        </w:tblPrEx>
        <w:trPr>
          <w:trHeight w:val="312"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540"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586" w:hRule="atLeast"/>
        </w:trPr>
        <w:tc>
          <w:tcPr>
            <w:tcW w:w="1540" w:type="dxa"/>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一级指标</w:t>
            </w:r>
          </w:p>
        </w:tc>
        <w:tc>
          <w:tcPr>
            <w:tcW w:w="880" w:type="dxa"/>
            <w:tcBorders>
              <w:top w:val="nil"/>
              <w:left w:val="nil"/>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二级指标</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三级指标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权重</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指标说明</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评分标准</w:t>
            </w:r>
          </w:p>
        </w:tc>
      </w:tr>
      <w:tr>
        <w:tblPrEx>
          <w:tblCellMar>
            <w:top w:w="0" w:type="dxa"/>
            <w:left w:w="108" w:type="dxa"/>
            <w:bottom w:w="0" w:type="dxa"/>
            <w:right w:w="108" w:type="dxa"/>
          </w:tblCellMar>
        </w:tblPrEx>
        <w:trPr>
          <w:trHeight w:val="1375" w:hRule="atLeast"/>
        </w:trPr>
        <w:tc>
          <w:tcPr>
            <w:tcW w:w="154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投入</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项目立项</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项目立项规范性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3"/>
                <w:szCs w:val="13"/>
              </w:rPr>
            </w:pPr>
            <w:r>
              <w:rPr>
                <w:rFonts w:hint="eastAsia" w:ascii="宋体" w:hAnsi="宋体" w:cs="宋体"/>
                <w:color w:val="000000"/>
                <w:kern w:val="0"/>
                <w:sz w:val="13"/>
                <w:szCs w:val="13"/>
              </w:rPr>
              <w:t>①项目按照规定的程序申请设立；</w:t>
            </w:r>
            <w:r>
              <w:rPr>
                <w:rFonts w:hint="eastAsia" w:ascii="宋体" w:hAnsi="宋体" w:cs="宋体"/>
                <w:color w:val="000000"/>
                <w:kern w:val="0"/>
                <w:sz w:val="13"/>
                <w:szCs w:val="13"/>
              </w:rPr>
              <w:br w:type="textWrapping"/>
            </w:r>
            <w:r>
              <w:rPr>
                <w:rFonts w:hint="eastAsia" w:ascii="宋体" w:hAnsi="宋体" w:cs="宋体"/>
                <w:color w:val="000000"/>
                <w:kern w:val="0"/>
                <w:sz w:val="13"/>
                <w:szCs w:val="13"/>
              </w:rPr>
              <w:t>②所提交的文件、材料符合相关要求；</w:t>
            </w:r>
            <w:r>
              <w:rPr>
                <w:rFonts w:hint="eastAsia" w:ascii="宋体" w:hAnsi="宋体" w:cs="宋体"/>
                <w:color w:val="000000"/>
                <w:kern w:val="0"/>
                <w:sz w:val="13"/>
                <w:szCs w:val="13"/>
              </w:rPr>
              <w:br w:type="textWrapping"/>
            </w:r>
            <w:r>
              <w:rPr>
                <w:rFonts w:hint="eastAsia" w:ascii="宋体" w:hAnsi="宋体" w:cs="宋体"/>
                <w:color w:val="000000"/>
                <w:kern w:val="0"/>
                <w:sz w:val="13"/>
                <w:szCs w:val="13"/>
              </w:rPr>
              <w:t>③事前已经过必要的可行性研究、专家论证、风险评估、集体决策等。</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3"/>
                <w:szCs w:val="13"/>
              </w:rPr>
            </w:pPr>
            <w:r>
              <w:rPr>
                <w:rFonts w:hint="eastAsia" w:ascii="宋体" w:hAnsi="宋体" w:cs="宋体"/>
                <w:color w:val="000000"/>
                <w:kern w:val="0"/>
                <w:sz w:val="13"/>
                <w:szCs w:val="13"/>
              </w:rPr>
              <w:t>2</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3"/>
                <w:szCs w:val="13"/>
              </w:rPr>
            </w:pPr>
            <w:r>
              <w:rPr>
                <w:rFonts w:hint="eastAsia" w:ascii="宋体" w:hAnsi="宋体" w:cs="宋体"/>
                <w:color w:val="000000"/>
                <w:kern w:val="0"/>
                <w:sz w:val="13"/>
                <w:szCs w:val="13"/>
              </w:rPr>
              <w:t>按照规定程序设立，文件资料符合要求的满分，未按照规定程序设立的扣20%权重分，没有上级文件资料的扣80%权重分。</w:t>
            </w:r>
          </w:p>
        </w:tc>
      </w:tr>
      <w:tr>
        <w:tblPrEx>
          <w:tblCellMar>
            <w:top w:w="0" w:type="dxa"/>
            <w:left w:w="108" w:type="dxa"/>
            <w:bottom w:w="0" w:type="dxa"/>
            <w:right w:w="108" w:type="dxa"/>
          </w:tblCellMar>
        </w:tblPrEx>
        <w:trPr>
          <w:trHeight w:val="1638"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绩效目标合理性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3"/>
                <w:szCs w:val="13"/>
              </w:rPr>
            </w:pPr>
            <w:r>
              <w:rPr>
                <w:rFonts w:hint="eastAsia" w:ascii="宋体" w:hAnsi="宋体" w:cs="宋体"/>
                <w:color w:val="000000"/>
                <w:kern w:val="0"/>
                <w:sz w:val="13"/>
                <w:szCs w:val="13"/>
              </w:rPr>
              <w:t>①符合国家相关法律法规、国民经济发展规划和党委政府决策；</w:t>
            </w:r>
            <w:r>
              <w:rPr>
                <w:rFonts w:hint="eastAsia" w:ascii="宋体" w:hAnsi="宋体" w:cs="宋体"/>
                <w:color w:val="000000"/>
                <w:kern w:val="0"/>
                <w:sz w:val="13"/>
                <w:szCs w:val="13"/>
              </w:rPr>
              <w:br w:type="textWrapping"/>
            </w:r>
            <w:r>
              <w:rPr>
                <w:rFonts w:hint="eastAsia" w:ascii="宋体" w:hAnsi="宋体" w:cs="宋体"/>
                <w:color w:val="000000"/>
                <w:kern w:val="0"/>
                <w:sz w:val="13"/>
                <w:szCs w:val="13"/>
              </w:rPr>
              <w:t>②与项目实施单位或委托单位职责密切相关；</w:t>
            </w:r>
            <w:r>
              <w:rPr>
                <w:rFonts w:hint="eastAsia" w:ascii="宋体" w:hAnsi="宋体" w:cs="宋体"/>
                <w:color w:val="000000"/>
                <w:kern w:val="0"/>
                <w:sz w:val="13"/>
                <w:szCs w:val="13"/>
              </w:rPr>
              <w:br w:type="textWrapping"/>
            </w:r>
            <w:r>
              <w:rPr>
                <w:rFonts w:hint="eastAsia" w:ascii="宋体" w:hAnsi="宋体" w:cs="宋体"/>
                <w:color w:val="000000"/>
                <w:kern w:val="0"/>
                <w:sz w:val="13"/>
                <w:szCs w:val="13"/>
              </w:rPr>
              <w:t>③项目为促进事业发展所必需；</w:t>
            </w:r>
            <w:r>
              <w:rPr>
                <w:rFonts w:hint="eastAsia" w:ascii="宋体" w:hAnsi="宋体" w:cs="宋体"/>
                <w:color w:val="000000"/>
                <w:kern w:val="0"/>
                <w:sz w:val="13"/>
                <w:szCs w:val="13"/>
              </w:rPr>
              <w:br w:type="textWrapping"/>
            </w:r>
            <w:r>
              <w:rPr>
                <w:rFonts w:hint="eastAsia" w:ascii="宋体" w:hAnsi="宋体" w:cs="宋体"/>
                <w:color w:val="000000"/>
                <w:kern w:val="0"/>
                <w:sz w:val="13"/>
                <w:szCs w:val="13"/>
              </w:rPr>
              <w:t>④项目预期产出效益和效果符合正常的业绩水平。</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13"/>
                <w:szCs w:val="13"/>
              </w:rPr>
            </w:pPr>
            <w:r>
              <w:rPr>
                <w:rFonts w:hint="eastAsia" w:ascii="宋体" w:hAnsi="宋体" w:cs="宋体"/>
                <w:color w:val="000000"/>
                <w:kern w:val="0"/>
                <w:sz w:val="13"/>
                <w:szCs w:val="13"/>
              </w:rPr>
              <w:t>2</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3"/>
                <w:szCs w:val="13"/>
              </w:rPr>
            </w:pPr>
            <w:r>
              <w:rPr>
                <w:rFonts w:hint="eastAsia" w:ascii="宋体" w:hAnsi="宋体" w:cs="宋体"/>
                <w:color w:val="000000"/>
                <w:kern w:val="0"/>
                <w:sz w:val="13"/>
                <w:szCs w:val="13"/>
              </w:rPr>
              <w:t>绩效目标合理可行、符合法律法规的得满分，前述四项每项不符合要求的扣25%权重分。</w:t>
            </w:r>
          </w:p>
        </w:tc>
      </w:tr>
      <w:tr>
        <w:tblPrEx>
          <w:tblCellMar>
            <w:top w:w="0" w:type="dxa"/>
            <w:left w:w="108" w:type="dxa"/>
            <w:bottom w:w="0" w:type="dxa"/>
            <w:right w:w="108" w:type="dxa"/>
          </w:tblCellMar>
        </w:tblPrEx>
        <w:trPr>
          <w:trHeight w:val="802"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绩效指标明确性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①可将项目绩效目标细化分解为具体的绩效指标；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②可通过清晰、可衡量的指标值予以体现；</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③可与项目年度任务数或计划数相对应；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④可与预算确定的项目投资额或资金量相匹配。</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①将项目绩效目标细化分解为具体的绩效指标得0.5分；②指标值清晰、可衡量得0.5分；③指标与项目年度任务数或计划数相对应得0.5分；④指标可用于评价项目实施全过程的得0.5分。</w:t>
            </w:r>
          </w:p>
        </w:tc>
      </w:tr>
      <w:tr>
        <w:tblPrEx>
          <w:tblCellMar>
            <w:top w:w="0" w:type="dxa"/>
            <w:left w:w="108" w:type="dxa"/>
            <w:bottom w:w="0" w:type="dxa"/>
            <w:right w:w="108" w:type="dxa"/>
          </w:tblCellMar>
        </w:tblPrEx>
        <w:trPr>
          <w:trHeight w:val="1763"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资金落实</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资金到位率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资金到位率=（实际到位资金/计划投入资金）×100%。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实际到位资金：一定时期（本年度或项目期）内实际落实到具体项目的资金。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计划投入资金：一定时期（本年度或项目期）内计划投入到具体项目的资金。</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资金到位率100%的得满分；资金到位率每下降10个百分点，扣10%权重分。</w:t>
            </w:r>
          </w:p>
        </w:tc>
      </w:tr>
      <w:tr>
        <w:tblPrEx>
          <w:tblCellMar>
            <w:top w:w="0" w:type="dxa"/>
            <w:left w:w="108" w:type="dxa"/>
            <w:bottom w:w="0" w:type="dxa"/>
            <w:right w:w="108" w:type="dxa"/>
          </w:tblCellMar>
        </w:tblPrEx>
        <w:trPr>
          <w:trHeight w:val="1485" w:hRule="atLeast"/>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到位及时率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到位及时率=（及时到位资金/应到位资金）×100%。</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及时到位资金：截至规定时点实际落实到具体项目的资金。</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应到位资金：按照合同或项目进度要求截至规定时点应落实到具体项目的资金。</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到位及时率100%的得满分；到位及时率每下降10个百分点，扣10%分值。</w:t>
            </w:r>
          </w:p>
        </w:tc>
      </w:tr>
      <w:tr>
        <w:tblPrEx>
          <w:tblCellMar>
            <w:top w:w="0" w:type="dxa"/>
            <w:left w:w="108" w:type="dxa"/>
            <w:bottom w:w="0" w:type="dxa"/>
            <w:right w:w="108" w:type="dxa"/>
          </w:tblCellMar>
        </w:tblPrEx>
        <w:trPr>
          <w:trHeight w:val="1369"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过程</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业务管理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①已制定或具有相应的业务管理制度；</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②业务管理制度合法、合规、完整。</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是否设立了合理的制度来规范工作流程，制度健全得100%权重分，比较健全得50%权重分，有制度但不健全得25%权重分，没有建立制度不得分。</w:t>
            </w:r>
          </w:p>
        </w:tc>
      </w:tr>
      <w:tr>
        <w:tblPrEx>
          <w:tblCellMar>
            <w:top w:w="0" w:type="dxa"/>
            <w:left w:w="108" w:type="dxa"/>
            <w:bottom w:w="0" w:type="dxa"/>
            <w:right w:w="108" w:type="dxa"/>
          </w:tblCellMar>
        </w:tblPrEx>
        <w:trPr>
          <w:trHeight w:val="139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制度执行有效性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①遵守相关法律法规和业务管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②项目调整及支出调整手续完备；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③项目合同书、验收报告、技术鉴定等资料齐全并及时归档；</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④项目实施的人员条件、场地设备、信息支撑等落实到位。</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项目具体实施是否按相关制度执行，操作流程是否规范。实施执行情况较好得100%权重分，执行情况一般得50%权重分，情况不理想不得分。</w:t>
            </w:r>
          </w:p>
        </w:tc>
      </w:tr>
      <w:tr>
        <w:tblPrEx>
          <w:tblCellMar>
            <w:top w:w="0" w:type="dxa"/>
            <w:left w:w="108" w:type="dxa"/>
            <w:bottom w:w="0" w:type="dxa"/>
            <w:right w:w="108" w:type="dxa"/>
          </w:tblCellMar>
        </w:tblPrEx>
        <w:trPr>
          <w:trHeight w:val="1309"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项目质量可控性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①已制定或具有相应的项目质量要求或标准；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②采取了相应的项目质量检查、验收等必需的控制措施或手段。</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项目制定了相关标准，并采取了相关的检查、验收等流程，对项目质量控制较好得100%权重分，控制情况一般得50%权重分，控制情况不理想不得分。</w:t>
            </w:r>
          </w:p>
        </w:tc>
      </w:tr>
      <w:tr>
        <w:tblPrEx>
          <w:tblCellMar>
            <w:top w:w="0" w:type="dxa"/>
            <w:left w:w="108" w:type="dxa"/>
            <w:bottom w:w="0" w:type="dxa"/>
            <w:right w:w="108" w:type="dxa"/>
          </w:tblCellMar>
        </w:tblPrEx>
        <w:trPr>
          <w:trHeight w:val="66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档案管理规范性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①是否已制定相关制度对项目的相关信息进行登记管理。</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②是否有专人对所申报的资料进行整理、保管。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用以反映和考核项目实施单位对相关项目资料的保管情况。</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档案管理完全符合前述要点的得满分，每一项不符合的扣1分。</w:t>
            </w:r>
          </w:p>
        </w:tc>
      </w:tr>
      <w:tr>
        <w:tblPrEx>
          <w:tblCellMar>
            <w:top w:w="0" w:type="dxa"/>
            <w:left w:w="108" w:type="dxa"/>
            <w:bottom w:w="0" w:type="dxa"/>
            <w:right w:w="108" w:type="dxa"/>
          </w:tblCellMar>
        </w:tblPrEx>
        <w:trPr>
          <w:trHeight w:val="1272"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财务管理</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管理制度健全性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①是否已制定或具有相应的项目资金管理办法；</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②项目资金管理办法是否符合相关财务会计制度的规定。</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财务制度健全同时也制定了符合制度的资金管理办法的得满分；有财务制度但没有制定资金管理办法扣50%分值；没有财务制度得0分。</w:t>
            </w:r>
          </w:p>
        </w:tc>
      </w:tr>
      <w:tr>
        <w:tblPrEx>
          <w:tblCellMar>
            <w:top w:w="0" w:type="dxa"/>
            <w:left w:w="108" w:type="dxa"/>
            <w:bottom w:w="0" w:type="dxa"/>
            <w:right w:w="108" w:type="dxa"/>
          </w:tblCellMar>
        </w:tblPrEx>
        <w:trPr>
          <w:trHeight w:val="267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资金使用合规性</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①符合国家财经法规和财务管理制度以及有关专项资金管理办法的规定；</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②资金的拨付有完整的审批程序和手续；</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③项目的重大开支经过评估认证；</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④符合项目预算批复或合同规定的用途；</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⑤不存在截留、挤占、挪用、虚列支出等情况。</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资金使用符合前述要点的满分；不符合国家财经法规和财务管理制度以及有关专项资金管理办法的规定，每发现一处扣5%分值；资金拨付审批程序和手续不完整的，每发现一处扣5%分值；政府采购或超投标项目支出不符合规定程序的，每发现一处扣5%分值；每发生一起未用于预算批复或合同规定用途情况的，扣5%分值；存在截留、挪用、虚列支出情况的，扣50%分值。</w:t>
            </w:r>
          </w:p>
        </w:tc>
      </w:tr>
      <w:tr>
        <w:tblPrEx>
          <w:tblCellMar>
            <w:top w:w="0" w:type="dxa"/>
            <w:left w:w="108" w:type="dxa"/>
            <w:bottom w:w="0" w:type="dxa"/>
            <w:right w:w="108" w:type="dxa"/>
          </w:tblCellMar>
        </w:tblPrEx>
        <w:trPr>
          <w:trHeight w:val="540"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产出</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项目产出</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实际完成率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实际完成量/计划完成量×100%</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vMerge w:val="restart"/>
            <w:tcBorders>
              <w:top w:val="nil"/>
              <w:left w:val="single" w:color="auto" w:sz="4" w:space="0"/>
              <w:bottom w:val="nil"/>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实际完成率在在95%以上的扣1分，在70-94%之间的评价扣2分，在69%以下的酌情评价扣分。比率为0的不得分。</w:t>
            </w:r>
          </w:p>
        </w:tc>
      </w:tr>
      <w:tr>
        <w:tblPrEx>
          <w:tblCellMar>
            <w:top w:w="0" w:type="dxa"/>
            <w:left w:w="108" w:type="dxa"/>
            <w:bottom w:w="0" w:type="dxa"/>
            <w:right w:w="108" w:type="dxa"/>
          </w:tblCellMar>
        </w:tblPrEx>
        <w:trPr>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完成及时率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完成及时率：及时完工该指标值为100%，每延期1天扣减5个百分点</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880" w:type="dxa"/>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54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质量达标率</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 xml:space="preserve">质量合格率＝质量合格项目数量/全部项目数量×100% </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880" w:type="dxa"/>
            <w:vMerge w:val="continue"/>
            <w:tcBorders>
              <w:top w:val="nil"/>
              <w:left w:val="single" w:color="auto" w:sz="4" w:space="0"/>
              <w:bottom w:val="nil"/>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638" w:hRule="atLeast"/>
        </w:trPr>
        <w:tc>
          <w:tcPr>
            <w:tcW w:w="154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效益</w:t>
            </w:r>
          </w:p>
        </w:tc>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项目效益</w:t>
            </w: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经济效益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项目实施后所产生的直接的与经济有关的效益，例举各个方面。</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根据项目的效益情况酌情评分。</w:t>
            </w:r>
          </w:p>
        </w:tc>
      </w:tr>
      <w:tr>
        <w:tblPrEx>
          <w:tblCellMar>
            <w:top w:w="0" w:type="dxa"/>
            <w:left w:w="108" w:type="dxa"/>
            <w:bottom w:w="0" w:type="dxa"/>
            <w:right w:w="108" w:type="dxa"/>
          </w:tblCellMar>
        </w:tblPrEx>
        <w:trPr>
          <w:trHeight w:val="638"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社会效益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项目实施后对社会各方面能起到的积极作用，例举相关各个方面。</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765"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可持续效益</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项目实施后产生的长久可维持效果，例举各方面可持续长期效益。</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810" w:hRule="atLeast"/>
        </w:trPr>
        <w:tc>
          <w:tcPr>
            <w:tcW w:w="154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88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Cs w:val="21"/>
              </w:rPr>
            </w:pPr>
            <w:r>
              <w:rPr>
                <w:rFonts w:hint="eastAsia" w:ascii="宋体" w:hAnsi="宋体" w:cs="宋体"/>
                <w:color w:val="000000"/>
                <w:kern w:val="0"/>
                <w:szCs w:val="21"/>
              </w:rPr>
              <w:t>受益对象满意度</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16"/>
                <w:szCs w:val="16"/>
              </w:rPr>
            </w:pPr>
            <w:r>
              <w:rPr>
                <w:rFonts w:hint="eastAsia" w:ascii="宋体" w:hAnsi="宋体" w:cs="宋体"/>
                <w:color w:val="000000"/>
                <w:kern w:val="0"/>
                <w:sz w:val="16"/>
                <w:szCs w:val="16"/>
              </w:rPr>
              <w:t>调查中相关人员满意和较满意的数量占调查总人数的比率</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after="0" w:line="240" w:lineRule="auto"/>
              <w:jc w:val="left"/>
              <w:rPr>
                <w:rFonts w:ascii="宋体" w:hAnsi="宋体" w:cs="宋体"/>
                <w:color w:val="000000"/>
                <w:kern w:val="0"/>
                <w:sz w:val="16"/>
                <w:szCs w:val="16"/>
              </w:rPr>
            </w:pPr>
          </w:p>
        </w:tc>
      </w:tr>
      <w:tr>
        <w:tblPrEx>
          <w:tblCellMar>
            <w:top w:w="0" w:type="dxa"/>
            <w:left w:w="108" w:type="dxa"/>
            <w:bottom w:w="0" w:type="dxa"/>
            <w:right w:w="108" w:type="dxa"/>
          </w:tblCellMar>
        </w:tblPrEx>
        <w:trPr>
          <w:trHeight w:val="398" w:hRule="atLeast"/>
        </w:trPr>
        <w:tc>
          <w:tcPr>
            <w:tcW w:w="38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得分合计</w:t>
            </w:r>
          </w:p>
        </w:tc>
        <w:tc>
          <w:tcPr>
            <w:tcW w:w="6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100</w:t>
            </w:r>
          </w:p>
        </w:tc>
        <w:tc>
          <w:tcPr>
            <w:tcW w:w="29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w:t>
            </w:r>
          </w:p>
        </w:tc>
        <w:tc>
          <w:tcPr>
            <w:tcW w:w="8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0"/>
                <w:szCs w:val="20"/>
              </w:rPr>
            </w:pPr>
            <w:r>
              <w:rPr>
                <w:rFonts w:hint="eastAsia" w:ascii="宋体" w:hAnsi="宋体" w:cs="宋体"/>
                <w:color w:val="000000"/>
                <w:kern w:val="0"/>
                <w:sz w:val="20"/>
                <w:szCs w:val="20"/>
              </w:rPr>
              <w:t>90</w:t>
            </w:r>
          </w:p>
        </w:tc>
        <w:tc>
          <w:tcPr>
            <w:tcW w:w="1880"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690" w:hRule="atLeast"/>
        </w:trPr>
        <w:tc>
          <w:tcPr>
            <w:tcW w:w="4500"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宋体" w:hAnsi="宋体" w:cs="宋体"/>
                <w:color w:val="000000"/>
                <w:kern w:val="0"/>
                <w:szCs w:val="21"/>
              </w:rPr>
            </w:pPr>
            <w:r>
              <w:rPr>
                <w:rFonts w:hint="eastAsia" w:ascii="宋体" w:hAnsi="宋体" w:cs="宋体"/>
                <w:color w:val="000000"/>
                <w:kern w:val="0"/>
                <w:szCs w:val="21"/>
              </w:rPr>
              <w:t>评价等级</w:t>
            </w:r>
          </w:p>
        </w:tc>
        <w:tc>
          <w:tcPr>
            <w:tcW w:w="5580"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Cs w:val="21"/>
              </w:rPr>
            </w:pPr>
            <w:r>
              <w:rPr>
                <w:rFonts w:ascii="Wingdings" w:hAnsi="Wingdings"/>
                <w:color w:val="000000"/>
                <w:kern w:val="0"/>
                <w:szCs w:val="21"/>
              </w:rPr>
              <w:t></w:t>
            </w:r>
            <w:r>
              <w:rPr>
                <w:rFonts w:hint="eastAsia" w:ascii="仿宋" w:hAnsi="仿宋" w:eastAsia="仿宋"/>
                <w:color w:val="000000"/>
                <w:kern w:val="0"/>
                <w:szCs w:val="21"/>
              </w:rPr>
              <w:t>优</w:t>
            </w:r>
            <w:r>
              <w:rPr>
                <w:rFonts w:hint="eastAsia" w:ascii="宋体" w:hAnsi="宋体"/>
                <w:color w:val="000000"/>
                <w:kern w:val="0"/>
                <w:szCs w:val="21"/>
              </w:rPr>
              <w:t>□</w:t>
            </w:r>
            <w:r>
              <w:rPr>
                <w:rFonts w:hint="eastAsia" w:ascii="仿宋" w:hAnsi="仿宋" w:eastAsia="仿宋"/>
                <w:color w:val="000000"/>
                <w:kern w:val="0"/>
                <w:szCs w:val="21"/>
              </w:rPr>
              <w:t>良□可□差　</w:t>
            </w:r>
          </w:p>
        </w:tc>
      </w:tr>
    </w:tbl>
    <w:p>
      <w:pPr>
        <w:pStyle w:val="3"/>
        <w:spacing w:before="0" w:afterLines="50" w:line="620" w:lineRule="exact"/>
        <w:rPr>
          <w:rFonts w:ascii="黑体" w:eastAsia="黑体" w:cs="Times New Roman"/>
          <w:b w:val="0"/>
          <w:bCs w:val="0"/>
        </w:rPr>
      </w:pPr>
    </w:p>
    <w:p/>
    <w:p>
      <w:pPr>
        <w:pStyle w:val="3"/>
        <w:spacing w:before="0" w:afterLines="50" w:line="62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62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620" w:lineRule="exact"/>
        <w:ind w:firstLine="640" w:firstLineChars="200"/>
        <w:rPr>
          <w:rFonts w:ascii="Calibri" w:hAnsi="Calibri" w:eastAsia="仿宋_GB2312"/>
          <w:sz w:val="32"/>
          <w:szCs w:val="32"/>
        </w:rPr>
      </w:pPr>
      <w:r>
        <w:rPr>
          <w:rFonts w:hint="eastAsia" w:ascii="仿宋_GB2312" w:eastAsia="仿宋_GB2312" w:cs="DengXian-Regular"/>
          <w:sz w:val="32"/>
          <w:szCs w:val="32"/>
        </w:rPr>
        <w:t>本部门2019年度机关运行经费支出37.98万元，比年初预算数增加1.95万元，增加5</w:t>
      </w:r>
      <w:r>
        <w:rPr>
          <w:rFonts w:eastAsia="仿宋_GB2312"/>
          <w:sz w:val="32"/>
          <w:szCs w:val="32"/>
        </w:rPr>
        <w:t>%</w:t>
      </w:r>
      <w:r>
        <w:rPr>
          <w:rFonts w:hint="eastAsia" w:ascii="仿宋_GB2312" w:eastAsia="仿宋_GB2312" w:cs="DengXian-Regular"/>
          <w:sz w:val="32"/>
          <w:szCs w:val="32"/>
        </w:rPr>
        <w:t>。主要是</w:t>
      </w:r>
      <w:r>
        <w:rPr>
          <w:rFonts w:hint="eastAsia" w:ascii="Calibri" w:hAnsi="Calibri" w:eastAsia="仿宋_GB2312"/>
          <w:sz w:val="32"/>
          <w:szCs w:val="32"/>
        </w:rPr>
        <w:t>因为经费费用增加。</w:t>
      </w:r>
      <w:r>
        <w:rPr>
          <w:rFonts w:eastAsia="仿宋_GB2312"/>
          <w:sz w:val="32"/>
          <w:szCs w:val="32"/>
        </w:rPr>
        <w:t>较201</w:t>
      </w:r>
      <w:r>
        <w:rPr>
          <w:rFonts w:hint="eastAsia" w:eastAsia="仿宋_GB2312"/>
          <w:sz w:val="32"/>
          <w:szCs w:val="32"/>
        </w:rPr>
        <w:t>8</w:t>
      </w:r>
      <w:r>
        <w:rPr>
          <w:rFonts w:eastAsia="仿宋_GB2312"/>
          <w:sz w:val="32"/>
          <w:szCs w:val="32"/>
        </w:rPr>
        <w:t>年度决算增加</w:t>
      </w:r>
      <w:r>
        <w:rPr>
          <w:rFonts w:hint="eastAsia" w:eastAsia="仿宋_GB2312"/>
          <w:sz w:val="32"/>
          <w:szCs w:val="32"/>
        </w:rPr>
        <w:t>3.15</w:t>
      </w:r>
      <w:r>
        <w:rPr>
          <w:rFonts w:eastAsia="仿宋_GB2312"/>
          <w:sz w:val="32"/>
          <w:szCs w:val="32"/>
        </w:rPr>
        <w:t>万元，增加</w:t>
      </w:r>
      <w:r>
        <w:rPr>
          <w:rFonts w:hint="eastAsia" w:eastAsia="仿宋_GB2312"/>
          <w:sz w:val="32"/>
          <w:szCs w:val="32"/>
        </w:rPr>
        <w:t>0.83</w:t>
      </w:r>
      <w:r>
        <w:rPr>
          <w:rFonts w:eastAsia="仿宋_GB2312"/>
          <w:sz w:val="32"/>
          <w:szCs w:val="32"/>
        </w:rPr>
        <w:t>%，主要是</w:t>
      </w:r>
      <w:r>
        <w:rPr>
          <w:rFonts w:hint="eastAsia" w:ascii="Calibri" w:hAnsi="Calibri" w:eastAsia="仿宋_GB2312"/>
          <w:sz w:val="32"/>
          <w:szCs w:val="32"/>
        </w:rPr>
        <w:t xml:space="preserve">因为经费费用增加。 </w:t>
      </w:r>
    </w:p>
    <w:p>
      <w:pPr>
        <w:pStyle w:val="4"/>
        <w:spacing w:before="0" w:after="0" w:line="62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ascii="Calibri" w:hAnsi="Calibri" w:eastAsia="仿宋_GB2312"/>
          <w:b w:val="0"/>
          <w:bCs w:val="0"/>
          <w:color w:val="3E3E3E"/>
        </w:rPr>
      </w:pPr>
      <w:r>
        <w:rPr>
          <w:rFonts w:hint="eastAsia" w:ascii="Calibri" w:hAnsi="Calibri" w:eastAsia="仿宋_GB2312"/>
          <w:b w:val="0"/>
          <w:bCs w:val="0"/>
          <w:color w:val="3E3E3E"/>
        </w:rPr>
        <w:t>本部门2019年度政府采购支出总额36.7万元，从采购类型来看，</w:t>
      </w:r>
      <w:r>
        <w:rPr>
          <w:rFonts w:ascii="Calibri" w:hAnsi="Calibri" w:eastAsia="仿宋_GB2312"/>
          <w:b w:val="0"/>
          <w:bCs w:val="0"/>
          <w:color w:val="3E3E3E"/>
        </w:rPr>
        <w:t>政府采购货物支出</w:t>
      </w:r>
      <w:r>
        <w:rPr>
          <w:rFonts w:hint="eastAsia" w:ascii="Calibri" w:hAnsi="Calibri" w:eastAsia="仿宋_GB2312"/>
          <w:b w:val="0"/>
          <w:bCs w:val="0"/>
          <w:color w:val="3E3E3E"/>
        </w:rPr>
        <w:t>0</w:t>
      </w:r>
      <w:r>
        <w:rPr>
          <w:rFonts w:ascii="Calibri" w:hAnsi="Calibri" w:eastAsia="仿宋_GB2312"/>
          <w:b w:val="0"/>
          <w:bCs w:val="0"/>
          <w:color w:val="3E3E3E"/>
        </w:rPr>
        <w:t>万元、政府采购工程支出</w:t>
      </w:r>
      <w:r>
        <w:rPr>
          <w:rFonts w:hint="eastAsia" w:ascii="Calibri" w:hAnsi="Calibri" w:eastAsia="仿宋_GB2312"/>
          <w:b w:val="0"/>
          <w:bCs w:val="0"/>
          <w:color w:val="3E3E3E"/>
        </w:rPr>
        <w:t>0</w:t>
      </w:r>
      <w:r>
        <w:rPr>
          <w:rFonts w:ascii="Calibri" w:hAnsi="Calibri" w:eastAsia="仿宋_GB2312"/>
          <w:b w:val="0"/>
          <w:bCs w:val="0"/>
          <w:color w:val="3E3E3E"/>
        </w:rPr>
        <w:t>万元、政府采购服务支出</w:t>
      </w:r>
      <w:r>
        <w:rPr>
          <w:rFonts w:hint="eastAsia" w:ascii="Calibri" w:hAnsi="Calibri" w:eastAsia="仿宋_GB2312"/>
          <w:b w:val="0"/>
          <w:bCs w:val="0"/>
          <w:color w:val="3E3E3E"/>
        </w:rPr>
        <w:t>36.7</w:t>
      </w:r>
      <w:r>
        <w:rPr>
          <w:rFonts w:ascii="Calibri" w:hAnsi="Calibri" w:eastAsia="仿宋_GB2312"/>
          <w:b w:val="0"/>
          <w:bCs w:val="0"/>
          <w:color w:val="3E3E3E"/>
        </w:rPr>
        <w:t>万元。授予中小企业合同金</w:t>
      </w:r>
      <w:r>
        <w:rPr>
          <w:rFonts w:hint="eastAsia" w:ascii="Calibri" w:hAnsi="Calibri" w:eastAsia="仿宋_GB2312"/>
          <w:b w:val="0"/>
          <w:bCs w:val="0"/>
          <w:color w:val="3E3E3E"/>
        </w:rPr>
        <w:t>36.7</w:t>
      </w:r>
      <w:r>
        <w:rPr>
          <w:rFonts w:ascii="Calibri" w:hAnsi="Calibri" w:eastAsia="仿宋_GB2312"/>
          <w:b w:val="0"/>
          <w:bCs w:val="0"/>
          <w:color w:val="3E3E3E"/>
        </w:rPr>
        <w:t>万元，占政府采购支出总额的</w:t>
      </w:r>
      <w:r>
        <w:rPr>
          <w:rFonts w:hint="eastAsia" w:ascii="Calibri" w:hAnsi="Calibri" w:eastAsia="仿宋_GB2312"/>
          <w:b w:val="0"/>
          <w:bCs w:val="0"/>
          <w:color w:val="3E3E3E"/>
        </w:rPr>
        <w:t>100%，</w:t>
      </w:r>
      <w:r>
        <w:rPr>
          <w:rFonts w:ascii="Calibri" w:hAnsi="Calibri" w:eastAsia="仿宋_GB2312"/>
          <w:b w:val="0"/>
          <w:bCs w:val="0"/>
          <w:color w:val="3E3E3E"/>
        </w:rPr>
        <w:t>其中授予小微企业合同金额</w:t>
      </w:r>
      <w:r>
        <w:rPr>
          <w:rFonts w:hint="eastAsia" w:ascii="Calibri" w:hAnsi="Calibri" w:eastAsia="仿宋_GB2312"/>
          <w:b w:val="0"/>
          <w:bCs w:val="0"/>
          <w:color w:val="3E3E3E"/>
        </w:rPr>
        <w:t>0</w:t>
      </w:r>
      <w:r>
        <w:rPr>
          <w:rFonts w:ascii="Calibri" w:hAnsi="Calibri" w:eastAsia="仿宋_GB2312"/>
          <w:b w:val="0"/>
          <w:bCs w:val="0"/>
          <w:color w:val="3E3E3E"/>
        </w:rPr>
        <w:t xml:space="preserve">万元，占政府采购支出总额的 </w:t>
      </w:r>
      <w:r>
        <w:rPr>
          <w:rFonts w:hint="eastAsia" w:ascii="Calibri" w:hAnsi="Calibri" w:eastAsia="仿宋_GB2312"/>
          <w:b w:val="0"/>
          <w:bCs w:val="0"/>
          <w:color w:val="3E3E3E"/>
        </w:rPr>
        <w:t>0</w:t>
      </w:r>
      <w:r>
        <w:rPr>
          <w:rFonts w:ascii="Calibri" w:hAnsi="Calibri" w:eastAsia="仿宋_GB2312"/>
          <w:b w:val="0"/>
          <w:bCs w:val="0"/>
          <w:color w:val="3E3E3E"/>
        </w:rPr>
        <w:t>%</w:t>
      </w:r>
      <w:r>
        <w:rPr>
          <w:rFonts w:hint="eastAsia" w:ascii="Calibri" w:hAnsi="Calibri" w:eastAsia="仿宋_GB2312"/>
          <w:b w:val="0"/>
          <w:bCs w:val="0"/>
          <w:color w:val="3E3E3E"/>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2019年12月31日，本部门共有车辆1辆，比上年增加（减少）0辆，主要是我单位车辆无变化。其中，副部（省）级及以上领导用车0辆，主要领导干部用车0辆，机要通信用车0辆，应急保障用车0辆，执法执勤用车0辆，特种专业技术用车0辆，离退休干部用车0辆，其他用车0辆，主要是我单位车辆无变化。</w:t>
      </w:r>
    </w:p>
    <w:p>
      <w:pPr>
        <w:adjustRightInd w:val="0"/>
        <w:snapToGrid w:val="0"/>
        <w:spacing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万元以上通用设备0台（套），比上年增加（减少）0套，主要是我单位19年未购入。单位价值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万元以上专用设备0台（套）比上年增加（减少）0套，主要是我单位19年未购入。</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仿宋_GB2312"/>
          <w:sz w:val="32"/>
          <w:szCs w:val="32"/>
        </w:rPr>
      </w:pPr>
      <w:r>
        <w:rPr>
          <w:rFonts w:hint="eastAsia" w:ascii="仿宋_GB2312" w:eastAsia="仿宋_GB2312" w:cs="DengXian-Regular"/>
          <w:sz w:val="32"/>
          <w:szCs w:val="32"/>
        </w:rPr>
        <w:t>1、本部门2019年度</w:t>
      </w:r>
      <w:r>
        <w:rPr>
          <w:rFonts w:hint="eastAsia" w:ascii="仿宋_GB2312" w:eastAsia="仿宋_GB2312" w:cs="仿宋_GB2312"/>
          <w:sz w:val="32"/>
          <w:szCs w:val="32"/>
        </w:rPr>
        <w:t>年末结转和结余</w:t>
      </w:r>
      <w:r>
        <w:rPr>
          <w:rFonts w:eastAsia="仿宋_GB2312"/>
          <w:sz w:val="32"/>
          <w:szCs w:val="32"/>
        </w:rPr>
        <w:t>74</w:t>
      </w:r>
      <w:r>
        <w:rPr>
          <w:rFonts w:hint="eastAsia" w:eastAsia="仿宋_GB2312"/>
          <w:sz w:val="32"/>
          <w:szCs w:val="32"/>
        </w:rPr>
        <w:t>.</w:t>
      </w:r>
      <w:r>
        <w:rPr>
          <w:rFonts w:eastAsia="仿宋_GB2312"/>
          <w:sz w:val="32"/>
          <w:szCs w:val="32"/>
        </w:rPr>
        <w:t>7</w:t>
      </w:r>
      <w:r>
        <w:rPr>
          <w:rFonts w:hint="eastAsia" w:eastAsia="仿宋_GB2312"/>
          <w:sz w:val="32"/>
          <w:szCs w:val="32"/>
        </w:rPr>
        <w:t>3</w:t>
      </w:r>
      <w:r>
        <w:rPr>
          <w:rFonts w:hint="eastAsia" w:ascii="仿宋_GB2312" w:eastAsia="仿宋_GB2312" w:cs="仿宋_GB2312"/>
          <w:sz w:val="32"/>
          <w:szCs w:val="32"/>
        </w:rPr>
        <w:t xml:space="preserve">万元 。             </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adjustRightInd w:val="0"/>
        <w:snapToGrid w:val="0"/>
        <w:spacing w:after="0" w:line="580" w:lineRule="exact"/>
        <w:ind w:firstLine="883" w:firstLineChars="200"/>
        <w:rPr>
          <w:rFonts w:ascii="宋体" w:cs="MS-UIGothic,Bold"/>
          <w:b/>
          <w:bCs/>
          <w:kern w:val="0"/>
          <w:sz w:val="44"/>
          <w:szCs w:val="44"/>
        </w:rPr>
        <w:sectPr>
          <w:pgSz w:w="11907" w:h="16840"/>
          <w:pgMar w:top="720" w:right="720" w:bottom="720" w:left="720" w:header="851" w:footer="992" w:gutter="0"/>
          <w:cols w:space="720" w:num="1"/>
          <w:docGrid w:type="lines" w:linePitch="312" w:charSpace="0"/>
        </w:sect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r>
        <w:rPr>
          <w:rFonts w:hint="eastAsia" w:ascii="黑体" w:eastAsia="黑体"/>
          <w:color w:val="000000"/>
          <w:sz w:val="96"/>
          <w:szCs w:val="96"/>
        </w:rPr>
        <w:t xml:space="preserve">第三部分  </w:t>
      </w:r>
    </w:p>
    <w:p>
      <w:pPr>
        <w:widowControl/>
        <w:spacing w:line="1200" w:lineRule="exact"/>
        <w:jc w:val="center"/>
        <w:rPr>
          <w:color w:val="000000"/>
          <w:sz w:val="96"/>
          <w:szCs w:val="96"/>
        </w:rPr>
      </w:pPr>
      <w:r>
        <w:rPr>
          <w:rFonts w:hint="eastAsia" w:ascii="黑体" w:eastAsia="黑体"/>
          <w:color w:val="000000"/>
          <w:sz w:val="96"/>
          <w:szCs w:val="96"/>
        </w:rPr>
        <w:t>相关名词解释</w:t>
      </w:r>
    </w:p>
    <w:p>
      <w:pPr>
        <w:rPr>
          <w:rFonts w:ascii="宋体" w:cs="ArialUnicodeMS"/>
          <w:color w:val="000000"/>
          <w:kern w:val="0"/>
        </w:rPr>
        <w:sectPr>
          <w:pgSz w:w="11906" w:h="16838"/>
          <w:pgMar w:top="1588" w:right="2098" w:bottom="1474" w:left="1984" w:header="851" w:footer="992" w:gutter="0"/>
          <w:cols w:space="720" w:num="1"/>
          <w:docGrid w:type="lines" w:linePitch="312" w:charSpace="0"/>
        </w:sectPr>
      </w:pP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（一）财政拨款收入：</w:t>
      </w:r>
      <w:r>
        <w:rPr>
          <w:rFonts w:hint="eastAsia" w:ascii="仿宋_GB2312"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（二）事业收入：</w:t>
      </w:r>
      <w:r>
        <w:rPr>
          <w:rFonts w:hint="eastAsia" w:ascii="仿宋_GB2312"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（三）其他收入：</w:t>
      </w:r>
      <w:r>
        <w:rPr>
          <w:rFonts w:hint="eastAsia" w:ascii="仿宋_GB2312"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（四）用事业基金弥补收支差额：</w:t>
      </w:r>
      <w:r>
        <w:rPr>
          <w:rFonts w:hint="eastAsia" w:ascii="仿宋_GB2312"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（五）年初结转和结余：</w:t>
      </w:r>
      <w:r>
        <w:rPr>
          <w:rFonts w:hint="eastAsia" w:ascii="仿宋_GB2312"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（六）结余分配：</w:t>
      </w:r>
      <w:r>
        <w:rPr>
          <w:rFonts w:hint="eastAsia" w:ascii="仿宋_GB2312"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（七）年末结转和结余：</w:t>
      </w:r>
      <w:r>
        <w:rPr>
          <w:rFonts w:hint="eastAsia" w:ascii="仿宋_GB2312"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（八）基本支出：</w:t>
      </w:r>
      <w:r>
        <w:rPr>
          <w:rFonts w:hint="eastAsia" w:ascii="仿宋_GB2312"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（九）项目支出：</w:t>
      </w:r>
      <w:r>
        <w:rPr>
          <w:rFonts w:hint="eastAsia" w:ascii="仿宋_GB2312"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（十）资本性支出（基本建设）：</w:t>
      </w:r>
      <w:r>
        <w:rPr>
          <w:rFonts w:hint="eastAsia" w:ascii="仿宋_GB2312"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（十一）资本性支出：</w:t>
      </w:r>
      <w:r>
        <w:rPr>
          <w:rFonts w:hint="eastAsia" w:ascii="仿宋_GB2312"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（十二）“三公”经费：</w:t>
      </w:r>
      <w:r>
        <w:rPr>
          <w:rFonts w:hint="eastAsia" w:ascii="仿宋_GB2312"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（十三）其他交通费用：</w:t>
      </w:r>
      <w:r>
        <w:rPr>
          <w:rFonts w:hint="eastAsia" w:ascii="仿宋_GB2312"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（十四）公务用车购置：</w:t>
      </w:r>
      <w:r>
        <w:rPr>
          <w:rFonts w:hint="eastAsia" w:ascii="仿宋_GB2312"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（十五）其他交通工具购置：</w:t>
      </w:r>
      <w:r>
        <w:rPr>
          <w:rFonts w:hint="eastAsia" w:ascii="仿宋_GB2312"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color w:val="000000"/>
          <w:kern w:val="0"/>
          <w:sz w:val="32"/>
          <w:szCs w:val="32"/>
        </w:rPr>
      </w:pPr>
      <w:r>
        <w:rPr>
          <w:rFonts w:hint="eastAsia" w:ascii="仿宋_GB2312" w:eastAsia="仿宋_GB2312"/>
          <w:b/>
          <w:bCs/>
          <w:color w:val="000000"/>
          <w:kern w:val="0"/>
          <w:sz w:val="32"/>
          <w:szCs w:val="32"/>
        </w:rPr>
        <w:t>（十六）机关运行经费：</w:t>
      </w:r>
      <w:r>
        <w:rPr>
          <w:rFonts w:hint="eastAsia" w:ascii="仿宋_GB2312"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kern w:val="0"/>
          <w:sz w:val="32"/>
          <w:szCs w:val="32"/>
        </w:rPr>
      </w:pPr>
      <w:r>
        <w:rPr>
          <w:rFonts w:hint="eastAsia" w:ascii="仿宋_GB2312" w:eastAsia="仿宋_GB2312"/>
          <w:b/>
          <w:bCs/>
          <w:color w:val="000000"/>
          <w:kern w:val="0"/>
          <w:sz w:val="32"/>
          <w:szCs w:val="32"/>
        </w:rPr>
        <w:t>（十七）经费形式:</w:t>
      </w:r>
      <w:r>
        <w:rPr>
          <w:rFonts w:hint="eastAsia" w:ascii="仿宋_GB2312" w:eastAsia="仿宋_GB2312"/>
          <w:color w:val="000000"/>
          <w:kern w:val="0"/>
          <w:sz w:val="32"/>
          <w:szCs w:val="32"/>
        </w:rPr>
        <w:t>按照经费来源，</w:t>
      </w:r>
      <w:r>
        <w:rPr>
          <w:rFonts w:hint="eastAsia" w:ascii="仿宋_GB2312"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ind w:firstLine="640" w:firstLineChars="200"/>
        <w:rPr>
          <w:rFonts w:ascii="仿宋_GB2312" w:eastAsia="仿宋_GB2312" w:cs="ArialUnicodeMS"/>
          <w:kern w:val="0"/>
          <w:sz w:val="32"/>
          <w:szCs w:val="32"/>
        </w:rPr>
      </w:pPr>
    </w:p>
    <w:p>
      <w:pPr>
        <w:widowControl/>
        <w:spacing w:after="0" w:line="560" w:lineRule="exact"/>
        <w:rPr>
          <w:rFonts w:ascii="仿宋_GB2312" w:eastAsia="仿宋_GB2312" w:cs="ArialUnicodeMS"/>
          <w:kern w:val="0"/>
          <w:sz w:val="32"/>
          <w:szCs w:val="32"/>
        </w:rPr>
      </w:pPr>
    </w:p>
    <w:p>
      <w:pPr>
        <w:widowControl/>
        <w:spacing w:after="0" w:line="560" w:lineRule="exact"/>
        <w:rPr>
          <w:rFonts w:ascii="仿宋_GB2312" w:eastAsia="仿宋_GB2312" w:cs="ArialUnicodeMS"/>
          <w:kern w:val="0"/>
          <w:sz w:val="32"/>
          <w:szCs w:val="32"/>
        </w:rPr>
      </w:pPr>
    </w:p>
    <w:p>
      <w:pPr>
        <w:widowControl/>
        <w:spacing w:after="0" w:line="560" w:lineRule="exact"/>
        <w:rPr>
          <w:rFonts w:ascii="仿宋_GB2312" w:eastAsia="仿宋_GB2312" w:cs="ArialUnicodeMS"/>
          <w:kern w:val="0"/>
          <w:sz w:val="32"/>
          <w:szCs w:val="32"/>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6"/>
          <w:szCs w:val="96"/>
        </w:rPr>
      </w:pPr>
    </w:p>
    <w:p>
      <w:pPr>
        <w:widowControl/>
        <w:spacing w:line="1200" w:lineRule="exact"/>
        <w:jc w:val="center"/>
        <w:rPr>
          <w:rFonts w:ascii="黑体" w:eastAsia="黑体"/>
          <w:color w:val="000000"/>
          <w:sz w:val="90"/>
          <w:szCs w:val="90"/>
        </w:rPr>
      </w:pPr>
      <w:r>
        <w:rPr>
          <w:rFonts w:hint="eastAsia" w:ascii="黑体" w:eastAsia="黑体"/>
          <w:color w:val="000000"/>
          <w:sz w:val="90"/>
          <w:szCs w:val="90"/>
        </w:rPr>
        <w:t>第四部分</w:t>
      </w:r>
    </w:p>
    <w:p>
      <w:pPr>
        <w:widowControl/>
        <w:spacing w:line="1200" w:lineRule="exact"/>
        <w:jc w:val="center"/>
        <w:rPr>
          <w:rFonts w:eastAsia="黑体"/>
          <w:color w:val="000000"/>
          <w:sz w:val="90"/>
          <w:szCs w:val="90"/>
        </w:rPr>
      </w:pPr>
      <w:r>
        <w:rPr>
          <w:rFonts w:hint="eastAsia" w:ascii="黑体" w:eastAsia="黑体"/>
          <w:color w:val="000000"/>
          <w:sz w:val="90"/>
          <w:szCs w:val="90"/>
        </w:rPr>
        <w:t>2019年度部门决算报表（见附件）</w:t>
      </w:r>
    </w:p>
    <w:p>
      <w:pPr>
        <w:widowControl/>
        <w:spacing w:after="0" w:line="560" w:lineRule="exact"/>
        <w:rPr>
          <w:rFonts w:ascii="仿宋_GB2312" w:eastAsia="仿宋_GB2312" w:cs="ArialUnicodeMS"/>
          <w:kern w:val="0"/>
          <w:sz w:val="32"/>
          <w:szCs w:val="32"/>
        </w:rPr>
      </w:pPr>
    </w:p>
    <w:sectPr>
      <w:pgSz w:w="11906" w:h="16838"/>
      <w:pgMar w:top="1588" w:right="2098" w:bottom="1474" w:left="1985"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Yu Gothic UI Semibold">
    <w:altName w:val="Meiryo"/>
    <w:panose1 w:val="020B0700000000000000"/>
    <w:charset w:val="80"/>
    <w:family w:val="swiss"/>
    <w:pitch w:val="default"/>
    <w:sig w:usb0="00000000" w:usb1="00000000" w:usb2="00000016" w:usb3="00000000" w:csb0="0002009F" w:csb1="00000000"/>
  </w:font>
  <w:font w:name="Meiryo">
    <w:panose1 w:val="020B0604030504040204"/>
    <w:charset w:val="80"/>
    <w:family w:val="auto"/>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思源黑体 HW Bold">
    <w:altName w:val="黑体"/>
    <w:panose1 w:val="00000000000000000000"/>
    <w:charset w:val="86"/>
    <w:family w:val="swiss"/>
    <w:pitch w:val="default"/>
    <w:sig w:usb0="00000000" w:usb1="00000000" w:usb2="00000016" w:usb3="00000000" w:csb0="002E0107" w:csb1="00000000"/>
  </w:font>
  <w:font w:name="仿宋_GB2312">
    <w:panose1 w:val="02010609030101010101"/>
    <w:charset w:val="86"/>
    <w:family w:val="modern"/>
    <w:pitch w:val="default"/>
    <w:sig w:usb0="00000001" w:usb1="080E0000" w:usb2="00000000" w:usb3="00000000" w:csb0="00040000"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2AF" w:usb1="01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g">
          <w:drawing>
            <wp:anchor distT="0" distB="0" distL="114300" distR="114300" simplePos="0" relativeHeight="251661312"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5"/>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77" name="文本框 6"/>
                      <wps:cNvSpPr txBox="1"/>
                      <wps:spPr>
                        <a:xfrm>
                          <a:off x="1401" y="880"/>
                          <a:ext cx="3087" cy="641"/>
                        </a:xfrm>
                        <a:prstGeom prst="rect">
                          <a:avLst/>
                        </a:prstGeom>
                        <a:noFill/>
                        <a:ln w="6350">
                          <a:noFill/>
                        </a:ln>
                        <a:effectLst/>
                      </wps:spPr>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 o:spid="_x0000_s1026" o:spt="203" style="position:absolute;left:0pt;margin-top:29.75pt;height:32pt;width:157.5pt;mso-position-horizontal:left;mso-position-horizontal-relative:page;mso-position-vertical-relative:page;z-index:251661312;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7Mb3udcAAAAHAQAADwAAAAAAAAABACAAAAAiAAAAZHJzL2Rvd25yZXYueG1s&#10;UEsBAhQAFAAAAAgAh07iQLqxDpVPAwAArAgAAA4AAAAAAAAAAQAgAAAAJgEAAGRycy9lMm9Eb2Mu&#10;eG1sUEsFBgAAAAAGAAYAWQEAAOcGA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75550" cy="748665"/>
              <wp:effectExtent l="0" t="0" r="0" b="0"/>
              <wp:wrapNone/>
              <wp:docPr id="22" name="组合 1"/>
              <wp:cNvGraphicFramePr/>
              <a:graphic xmlns:a="http://schemas.openxmlformats.org/drawingml/2006/main">
                <a:graphicData uri="http://schemas.microsoft.com/office/word/2010/wordprocessingGroup">
                  <wpg:wgp>
                    <wpg:cNvGrpSpPr/>
                    <wpg:grpSpPr>
                      <a:xfrm>
                        <a:off x="0" y="0"/>
                        <a:ext cx="7575550" cy="748665"/>
                        <a:chOff x="881" y="505"/>
                        <a:chExt cx="11930" cy="1179203203"/>
                      </a:xfrm>
                    </wpg:grpSpPr>
                    <wps:wsp>
                      <wps:cNvPr id="19" name="矩形 2"/>
                      <wps:cNvSpPr/>
                      <wps:spPr>
                        <a:xfrm>
                          <a:off x="881" y="1538"/>
                          <a:ext cx="11925" cy="146"/>
                        </a:xfrm>
                        <a:prstGeom prst="rect">
                          <a:avLst/>
                        </a:prstGeom>
                        <a:solidFill>
                          <a:srgbClr val="B2A1C7"/>
                        </a:solidFill>
                        <a:ln w="12700">
                          <a:noFill/>
                        </a:ln>
                      </wps:spPr>
                      <wps:bodyPr anchor="ctr" anchorCtr="0" upright="1"/>
                    </wps:wsp>
                    <wps:wsp>
                      <wps:cNvPr id="20"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1"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B2A1C7"/>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1" o:spid="_x0000_s1026" o:spt="203" style="position:absolute;left:0pt;margin-left:0pt;margin-top:0pt;height:58.95pt;width:596.5pt;mso-position-horizontal-relative:page;mso-position-vertical-relative:page;z-index:251660288;mso-width-relative:page;mso-height-relative:page;mso-width-percent:1000;" coordorigin="881,505" coordsize="11930,1179203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aspectratio="f"/>
              <v:rect id="矩形 2" o:spid="_x0000_s1026" o:spt="1" style="position:absolute;left:881;top:1538;height:146;width:11925;v-text-anchor:middle;" fillcolor="#B2A1C7"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B2A1C7"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type="segments" o:connectlocs="598,0;2345,8;2345,1108;0,1108;598,0" o:connectangles="0,0,0,0,0"/>
                <v:fill on="t" focussize="0,0"/>
                <v:stroke on="f" weight="1pt"/>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DB678F"/>
    <w:multiLevelType w:val="multilevel"/>
    <w:tmpl w:val="4BDB678F"/>
    <w:lvl w:ilvl="0" w:tentative="0">
      <w:start w:val="1"/>
      <w:numFmt w:val="decimal"/>
      <w:lvlText w:val="(%1)"/>
      <w:lvlJc w:val="left"/>
      <w:pPr>
        <w:ind w:left="1780" w:hanging="1140"/>
      </w:pPr>
      <w:rPr>
        <w:rFonts w:hint="default" w:cs="仿宋"/>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42"/>
    </o:shapelayout>
  </w:hdrShapeDefaults>
  <w:footnotePr>
    <w:footnote w:id="0"/>
    <w:footnote w:id="1"/>
  </w:footnotePr>
  <w:endnotePr>
    <w:endnote w:id="0"/>
    <w:endnote w:id="1"/>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E88"/>
    <w:rsid w:val="00003862"/>
    <w:rsid w:val="000110C5"/>
    <w:rsid w:val="000247B9"/>
    <w:rsid w:val="000350C2"/>
    <w:rsid w:val="00041C7D"/>
    <w:rsid w:val="00046AC7"/>
    <w:rsid w:val="0006231D"/>
    <w:rsid w:val="000B1C06"/>
    <w:rsid w:val="000B4576"/>
    <w:rsid w:val="000E052A"/>
    <w:rsid w:val="000E4D2A"/>
    <w:rsid w:val="001045DD"/>
    <w:rsid w:val="00105C2B"/>
    <w:rsid w:val="001209BC"/>
    <w:rsid w:val="00134223"/>
    <w:rsid w:val="0017761E"/>
    <w:rsid w:val="00183DDC"/>
    <w:rsid w:val="001B6C72"/>
    <w:rsid w:val="001F5B75"/>
    <w:rsid w:val="00214CD3"/>
    <w:rsid w:val="002218C2"/>
    <w:rsid w:val="00233B31"/>
    <w:rsid w:val="00275D0A"/>
    <w:rsid w:val="00284AFE"/>
    <w:rsid w:val="00292459"/>
    <w:rsid w:val="00294FCF"/>
    <w:rsid w:val="002B7213"/>
    <w:rsid w:val="002E1AE5"/>
    <w:rsid w:val="002F0C1D"/>
    <w:rsid w:val="002F457B"/>
    <w:rsid w:val="003164D3"/>
    <w:rsid w:val="00334711"/>
    <w:rsid w:val="00372FB0"/>
    <w:rsid w:val="003846B9"/>
    <w:rsid w:val="00397896"/>
    <w:rsid w:val="003A5D08"/>
    <w:rsid w:val="003B1E88"/>
    <w:rsid w:val="003E7B13"/>
    <w:rsid w:val="003F2790"/>
    <w:rsid w:val="00404E12"/>
    <w:rsid w:val="00416F9E"/>
    <w:rsid w:val="00421113"/>
    <w:rsid w:val="0042771A"/>
    <w:rsid w:val="00454C8A"/>
    <w:rsid w:val="00455D07"/>
    <w:rsid w:val="00462693"/>
    <w:rsid w:val="00464F86"/>
    <w:rsid w:val="0047778E"/>
    <w:rsid w:val="00484A60"/>
    <w:rsid w:val="00485177"/>
    <w:rsid w:val="004852C0"/>
    <w:rsid w:val="00486814"/>
    <w:rsid w:val="004907FE"/>
    <w:rsid w:val="004960EA"/>
    <w:rsid w:val="004F0C28"/>
    <w:rsid w:val="005219C6"/>
    <w:rsid w:val="0052767A"/>
    <w:rsid w:val="005500F0"/>
    <w:rsid w:val="00550865"/>
    <w:rsid w:val="00552011"/>
    <w:rsid w:val="00561909"/>
    <w:rsid w:val="00566FFD"/>
    <w:rsid w:val="0057079B"/>
    <w:rsid w:val="005820C3"/>
    <w:rsid w:val="00584AE2"/>
    <w:rsid w:val="005B57A2"/>
    <w:rsid w:val="005E7A66"/>
    <w:rsid w:val="00614394"/>
    <w:rsid w:val="00615CD1"/>
    <w:rsid w:val="006327F8"/>
    <w:rsid w:val="006408FF"/>
    <w:rsid w:val="00643217"/>
    <w:rsid w:val="00651F06"/>
    <w:rsid w:val="00651F49"/>
    <w:rsid w:val="00687767"/>
    <w:rsid w:val="00691721"/>
    <w:rsid w:val="006D39C3"/>
    <w:rsid w:val="006F0A15"/>
    <w:rsid w:val="0070361E"/>
    <w:rsid w:val="00714B06"/>
    <w:rsid w:val="007305D6"/>
    <w:rsid w:val="0075691D"/>
    <w:rsid w:val="0076299D"/>
    <w:rsid w:val="00774837"/>
    <w:rsid w:val="00780F3E"/>
    <w:rsid w:val="007B6FB8"/>
    <w:rsid w:val="007B7B2E"/>
    <w:rsid w:val="007C077C"/>
    <w:rsid w:val="007F0057"/>
    <w:rsid w:val="008037A0"/>
    <w:rsid w:val="00821004"/>
    <w:rsid w:val="00831C33"/>
    <w:rsid w:val="00835B2C"/>
    <w:rsid w:val="00847204"/>
    <w:rsid w:val="0088258F"/>
    <w:rsid w:val="00895E4D"/>
    <w:rsid w:val="008A2B6F"/>
    <w:rsid w:val="008A2FCE"/>
    <w:rsid w:val="008D3A60"/>
    <w:rsid w:val="008D7980"/>
    <w:rsid w:val="00943DA8"/>
    <w:rsid w:val="009613E4"/>
    <w:rsid w:val="009A07F1"/>
    <w:rsid w:val="009B43A9"/>
    <w:rsid w:val="009C4667"/>
    <w:rsid w:val="009C55F8"/>
    <w:rsid w:val="009F599B"/>
    <w:rsid w:val="00A16AA5"/>
    <w:rsid w:val="00A6204F"/>
    <w:rsid w:val="00A6677E"/>
    <w:rsid w:val="00A73B0D"/>
    <w:rsid w:val="00A73D6B"/>
    <w:rsid w:val="00A94AA8"/>
    <w:rsid w:val="00AC3B48"/>
    <w:rsid w:val="00AC6ECB"/>
    <w:rsid w:val="00AE1F9C"/>
    <w:rsid w:val="00AF3B65"/>
    <w:rsid w:val="00AF71F0"/>
    <w:rsid w:val="00B32FAA"/>
    <w:rsid w:val="00B40D47"/>
    <w:rsid w:val="00B538EE"/>
    <w:rsid w:val="00B65831"/>
    <w:rsid w:val="00B6799E"/>
    <w:rsid w:val="00B75577"/>
    <w:rsid w:val="00B75E15"/>
    <w:rsid w:val="00B766EB"/>
    <w:rsid w:val="00C12864"/>
    <w:rsid w:val="00C30699"/>
    <w:rsid w:val="00C61FDB"/>
    <w:rsid w:val="00C623BB"/>
    <w:rsid w:val="00C918F4"/>
    <w:rsid w:val="00C91C5D"/>
    <w:rsid w:val="00C95C4A"/>
    <w:rsid w:val="00CA4953"/>
    <w:rsid w:val="00CB40A1"/>
    <w:rsid w:val="00CD5A27"/>
    <w:rsid w:val="00CE106F"/>
    <w:rsid w:val="00CF31A8"/>
    <w:rsid w:val="00CF60ED"/>
    <w:rsid w:val="00CF6AFB"/>
    <w:rsid w:val="00D31F89"/>
    <w:rsid w:val="00D32604"/>
    <w:rsid w:val="00D82392"/>
    <w:rsid w:val="00D86B89"/>
    <w:rsid w:val="00D86CC5"/>
    <w:rsid w:val="00D9519A"/>
    <w:rsid w:val="00DA1CBD"/>
    <w:rsid w:val="00DC49FE"/>
    <w:rsid w:val="00DD3176"/>
    <w:rsid w:val="00DF6351"/>
    <w:rsid w:val="00E06F1C"/>
    <w:rsid w:val="00E21D66"/>
    <w:rsid w:val="00E22105"/>
    <w:rsid w:val="00E43688"/>
    <w:rsid w:val="00E45EE1"/>
    <w:rsid w:val="00E5689F"/>
    <w:rsid w:val="00E6203B"/>
    <w:rsid w:val="00E81330"/>
    <w:rsid w:val="00E947F1"/>
    <w:rsid w:val="00EA192D"/>
    <w:rsid w:val="00EB7F2B"/>
    <w:rsid w:val="00EC699A"/>
    <w:rsid w:val="00EE0933"/>
    <w:rsid w:val="00EE2E2B"/>
    <w:rsid w:val="00EE58E3"/>
    <w:rsid w:val="00EE6495"/>
    <w:rsid w:val="00EE78AC"/>
    <w:rsid w:val="00F01A70"/>
    <w:rsid w:val="00F04FB5"/>
    <w:rsid w:val="00F13CD2"/>
    <w:rsid w:val="00F315E8"/>
    <w:rsid w:val="00F65C2E"/>
    <w:rsid w:val="00F926A3"/>
    <w:rsid w:val="00FB731D"/>
    <w:rsid w:val="00FC12B3"/>
    <w:rsid w:val="00FC69A2"/>
    <w:rsid w:val="00FD30AE"/>
    <w:rsid w:val="00FD340B"/>
    <w:rsid w:val="00FF5228"/>
    <w:rsid w:val="00FF5ABB"/>
    <w:rsid w:val="2B7F0CC3"/>
    <w:rsid w:val="2FE55B0F"/>
    <w:rsid w:val="30D93B21"/>
    <w:rsid w:val="36E0727C"/>
    <w:rsid w:val="37E434A0"/>
    <w:rsid w:val="448B5F87"/>
    <w:rsid w:val="57E44A05"/>
    <w:rsid w:val="5ADE4C91"/>
    <w:rsid w:val="7F337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Calibri" w:hAnsi="Calibri" w:cs="Arial"/>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paragraph" w:styleId="5">
    <w:name w:val="heading 4"/>
    <w:basedOn w:val="1"/>
    <w:next w:val="1"/>
    <w:qFormat/>
    <w:uiPriority w:val="0"/>
    <w:pPr>
      <w:keepNext/>
      <w:keepLines/>
      <w:spacing w:before="280" w:after="290" w:line="377" w:lineRule="auto"/>
      <w:outlineLvl w:val="3"/>
    </w:pPr>
    <w:rPr>
      <w:rFonts w:ascii="Calibri" w:hAnsi="Calibri" w:cs="Arial"/>
      <w:b/>
      <w:bCs/>
      <w:sz w:val="28"/>
      <w:szCs w:val="28"/>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qFormat/>
    <w:uiPriority w:val="0"/>
    <w:pPr>
      <w:ind w:left="2500" w:leftChars="2500"/>
    </w:pPr>
  </w:style>
  <w:style w:type="paragraph" w:styleId="7">
    <w:name w:val="Balloon Text"/>
    <w:basedOn w:val="1"/>
    <w:uiPriority w:val="0"/>
    <w:rPr>
      <w:sz w:val="18"/>
      <w:szCs w:val="18"/>
    </w:rPr>
  </w:style>
  <w:style w:type="paragraph" w:styleId="8">
    <w:name w:val="footer"/>
    <w:basedOn w:val="1"/>
    <w:link w:val="24"/>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qFormat/>
    <w:uiPriority w:val="0"/>
    <w:pPr>
      <w:widowControl/>
      <w:spacing w:after="200" w:line="276" w:lineRule="auto"/>
      <w:jc w:val="left"/>
    </w:pPr>
    <w:rPr>
      <w:rFonts w:ascii="Calibri" w:hAnsi="Calibri" w:cs="Arial"/>
      <w:i/>
      <w:iCs/>
      <w:color w:val="F0A22E"/>
      <w:spacing w:val="15"/>
      <w:kern w:val="0"/>
      <w:sz w:val="24"/>
    </w:rPr>
  </w:style>
  <w:style w:type="paragraph" w:styleId="11">
    <w:name w:val="Normal (Web)"/>
    <w:basedOn w:val="1"/>
    <w:qFormat/>
    <w:uiPriority w:val="0"/>
    <w:pPr>
      <w:spacing w:beforeAutospacing="1" w:after="0" w:afterAutospacing="1"/>
      <w:jc w:val="left"/>
    </w:pPr>
    <w:rPr>
      <w:kern w:val="0"/>
      <w:sz w:val="24"/>
    </w:rPr>
  </w:style>
  <w:style w:type="paragraph" w:styleId="12">
    <w:name w:val="Title"/>
    <w:basedOn w:val="1"/>
    <w:next w:val="1"/>
    <w:qFormat/>
    <w:uiPriority w:val="0"/>
    <w:pPr>
      <w:widowControl/>
      <w:pBdr>
        <w:bottom w:val="single" w:color="F0A22E" w:sz="8" w:space="4"/>
      </w:pBdr>
      <w:spacing w:after="300"/>
      <w:contextualSpacing/>
      <w:jc w:val="left"/>
    </w:pPr>
    <w:rPr>
      <w:rFonts w:ascii="Calibri" w:hAnsi="Calibri" w:cs="Arial"/>
      <w:color w:val="3A2C23"/>
      <w:spacing w:val="5"/>
      <w:kern w:val="28"/>
      <w:sz w:val="52"/>
      <w:szCs w:val="52"/>
    </w:rPr>
  </w:style>
  <w:style w:type="paragraph" w:customStyle="1" w:styleId="15">
    <w:name w:val="无间隔1"/>
    <w:qFormat/>
    <w:uiPriority w:val="0"/>
    <w:pPr>
      <w:spacing w:after="160" w:line="480" w:lineRule="auto"/>
    </w:pPr>
    <w:rPr>
      <w:rFonts w:ascii="Cambria" w:hAnsi="Cambria" w:eastAsia="黑体" w:cs="Times New Roman"/>
      <w:sz w:val="22"/>
      <w:szCs w:val="22"/>
      <w:lang w:val="en-US" w:eastAsia="zh-CN" w:bidi="ar-SA"/>
    </w:rPr>
  </w:style>
  <w:style w:type="character" w:customStyle="1" w:styleId="16">
    <w:name w:val="Style1"/>
    <w:basedOn w:val="14"/>
    <w:uiPriority w:val="0"/>
    <w:rPr>
      <w:rFonts w:ascii="Cambria" w:hAnsi="Cambria" w:eastAsia="黑体" w:cs="Times New Roman"/>
      <w:sz w:val="22"/>
      <w:szCs w:val="22"/>
      <w:lang w:eastAsia="zh-CN"/>
    </w:rPr>
  </w:style>
  <w:style w:type="character" w:customStyle="1" w:styleId="17">
    <w:name w:val="Style2"/>
    <w:basedOn w:val="14"/>
    <w:uiPriority w:val="0"/>
    <w:rPr>
      <w:rFonts w:ascii="Cambria" w:hAnsi="Cambria" w:eastAsia="黑体" w:cs="Times New Roman"/>
      <w:sz w:val="22"/>
      <w:szCs w:val="22"/>
      <w:lang w:eastAsia="zh-CN"/>
    </w:rPr>
  </w:style>
  <w:style w:type="character" w:customStyle="1" w:styleId="18">
    <w:name w:val="Style3"/>
    <w:basedOn w:val="14"/>
    <w:qFormat/>
    <w:uiPriority w:val="0"/>
    <w:rPr>
      <w:rFonts w:ascii="Cambria" w:hAnsi="Cambria" w:eastAsia="黑体" w:cs="Times New Roman"/>
      <w:szCs w:val="22"/>
      <w:lang w:eastAsia="zh-CN"/>
    </w:rPr>
  </w:style>
  <w:style w:type="character" w:customStyle="1" w:styleId="19">
    <w:name w:val="Style4"/>
    <w:basedOn w:val="14"/>
    <w:uiPriority w:val="0"/>
    <w:rPr>
      <w:rFonts w:ascii="Cambria" w:hAnsi="Cambria" w:eastAsia="黑体" w:cs="Times New Roman"/>
      <w:szCs w:val="22"/>
      <w:lang w:eastAsia="zh-CN"/>
    </w:rPr>
  </w:style>
  <w:style w:type="character" w:customStyle="1" w:styleId="20">
    <w:name w:val="Style5"/>
    <w:basedOn w:val="14"/>
    <w:uiPriority w:val="0"/>
    <w:rPr>
      <w:rFonts w:ascii="Cambria" w:hAnsi="Cambria" w:eastAsia="黑体" w:cs="Times New Roman"/>
      <w:sz w:val="22"/>
      <w:szCs w:val="22"/>
      <w:lang w:eastAsia="zh-CN"/>
    </w:rPr>
  </w:style>
  <w:style w:type="paragraph" w:customStyle="1" w:styleId="21">
    <w:name w:val="列出段落1"/>
    <w:basedOn w:val="1"/>
    <w:qFormat/>
    <w:uiPriority w:val="0"/>
    <w:pPr>
      <w:ind w:firstLine="200" w:firstLineChars="200"/>
    </w:pPr>
  </w:style>
  <w:style w:type="paragraph" w:styleId="22">
    <w:name w:val="List Paragraph"/>
    <w:basedOn w:val="1"/>
    <w:unhideWhenUsed/>
    <w:uiPriority w:val="99"/>
    <w:pPr>
      <w:ind w:firstLine="420" w:firstLineChars="200"/>
    </w:pPr>
  </w:style>
  <w:style w:type="character" w:customStyle="1" w:styleId="23">
    <w:name w:val="页眉 Char"/>
    <w:basedOn w:val="14"/>
    <w:link w:val="9"/>
    <w:qFormat/>
    <w:uiPriority w:val="99"/>
    <w:rPr>
      <w:rFonts w:ascii="Cambria" w:hAnsi="Cambria" w:eastAsia="黑体"/>
      <w:kern w:val="2"/>
      <w:sz w:val="18"/>
      <w:szCs w:val="18"/>
    </w:rPr>
  </w:style>
  <w:style w:type="character" w:customStyle="1" w:styleId="24">
    <w:name w:val="页脚 Char"/>
    <w:basedOn w:val="14"/>
    <w:link w:val="8"/>
    <w:qFormat/>
    <w:uiPriority w:val="99"/>
    <w:rPr>
      <w:rFonts w:ascii="Cambria" w:hAnsi="Cambria" w:eastAsia="黑体"/>
      <w:kern w:val="2"/>
      <w:sz w:val="18"/>
      <w:szCs w:val="18"/>
    </w:rPr>
  </w:style>
  <w:style w:type="paragraph" w:customStyle="1" w:styleId="25">
    <w:name w:val="普通(网站)1"/>
    <w:basedOn w:val="1"/>
    <w:qFormat/>
    <w:uiPriority w:val="0"/>
    <w:pPr>
      <w:spacing w:after="0" w:line="240" w:lineRule="auto"/>
      <w:jc w:val="left"/>
    </w:pPr>
    <w:rPr>
      <w:rFonts w:ascii="Calibri" w:hAnsi="Calibri" w:cs="黑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2019&#20915;&#31639;&#20844;&#24320;\2019&#24180;&#20915;&#31639;&#22270;&#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2019&#20915;&#31639;&#20844;&#24320;\2019&#24180;&#20915;&#31639;&#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019&#20915;&#31639;&#21046;&#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2019&#20915;&#31639;&#20844;&#24320;\2019&#24180;&#20915;&#31639;&#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支出决算饼状图</a:t>
            </a:r>
            <a:endParaRPr lang="zh-CN" altLang="en-US"/>
          </a:p>
        </c:rich>
      </c:tx>
      <c:layout/>
      <c:overlay val="0"/>
    </c:title>
    <c:autoTitleDeleted val="0"/>
    <c:plotArea>
      <c:layout/>
      <c:pieChart>
        <c:varyColors val="1"/>
        <c:ser>
          <c:idx val="0"/>
          <c:order val="0"/>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支出决算饼状图!$A$3:$B$3</c:f>
              <c:strCache>
                <c:ptCount val="2"/>
                <c:pt idx="0">
                  <c:v>基本支出</c:v>
                </c:pt>
                <c:pt idx="1">
                  <c:v>项目支出</c:v>
                </c:pt>
              </c:strCache>
            </c:strRef>
          </c:cat>
          <c:val>
            <c:numRef>
              <c:f>支出决算饼状图!$A$4:$B$4</c:f>
              <c:numCache>
                <c:formatCode>0.00%</c:formatCode>
                <c:ptCount val="2"/>
                <c:pt idx="0">
                  <c:v>0.893</c:v>
                </c:pt>
                <c:pt idx="1">
                  <c:v>0.107</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财政拨款收支与</a:t>
            </a:r>
            <a:r>
              <a:rPr lang="en-US" altLang="zh-CN"/>
              <a:t>2018</a:t>
            </a:r>
            <a:r>
              <a:rPr lang="zh-CN" altLang="en-US"/>
              <a:t>年度决算对比情况</a:t>
            </a:r>
            <a:endParaRPr lang="zh-CN" altLang="en-US"/>
          </a:p>
        </c:rich>
      </c:tx>
      <c:layout/>
      <c:overlay val="0"/>
    </c:title>
    <c:autoTitleDeleted val="0"/>
    <c:plotArea>
      <c:layout/>
      <c:barChart>
        <c:barDir val="col"/>
        <c:grouping val="stacked"/>
        <c:varyColors val="0"/>
        <c:ser>
          <c:idx val="0"/>
          <c:order val="0"/>
          <c:invertIfNegative val="0"/>
          <c:dLbls>
            <c:delete val="1"/>
          </c:dLbls>
          <c:cat>
            <c:multiLvlStrRef>
              <c:f>收支与2018年对比!$A$1:$D$3</c:f>
              <c:multiLvlStrCache>
                <c:ptCount val="4"/>
                <c:lvl>
                  <c:pt idx="0">
                    <c:v>2019年收入</c:v>
                  </c:pt>
                  <c:pt idx="1">
                    <c:v>2018年收入</c:v>
                  </c:pt>
                  <c:pt idx="2">
                    <c:v>2019年支出</c:v>
                  </c:pt>
                  <c:pt idx="3">
                    <c:v>2018年支出</c:v>
                  </c:pt>
                </c:lvl>
                <c:lvl>
                  <c:pt idx="2">
                    <c:v>金额单位：万元</c:v>
                  </c:pt>
                </c:lvl>
                <c:lvl>
                  <c:pt idx="0">
                    <c:v>财政拨款收支与2018年度决算对比情况</c:v>
                  </c:pt>
                </c:lvl>
              </c:multiLvlStrCache>
            </c:multiLvlStrRef>
          </c:cat>
          <c:val>
            <c:numRef>
              <c:f>收支与2018年对比!$A$4:$D$4</c:f>
              <c:numCache>
                <c:formatCode>#,##0.00</c:formatCode>
                <c:ptCount val="4"/>
                <c:pt idx="0">
                  <c:v>588.795264</c:v>
                </c:pt>
                <c:pt idx="1">
                  <c:v>773.098400000001</c:v>
                </c:pt>
                <c:pt idx="2">
                  <c:v>603.585263999999</c:v>
                </c:pt>
                <c:pt idx="3">
                  <c:v>613.213858000001</c:v>
                </c:pt>
              </c:numCache>
            </c:numRef>
          </c:val>
        </c:ser>
        <c:dLbls>
          <c:showLegendKey val="0"/>
          <c:showVal val="0"/>
          <c:showCatName val="0"/>
          <c:showSerName val="0"/>
          <c:showPercent val="0"/>
          <c:showBubbleSize val="0"/>
        </c:dLbls>
        <c:gapWidth val="75"/>
        <c:overlap val="100"/>
        <c:axId val="40983552"/>
        <c:axId val="67769088"/>
      </c:barChart>
      <c:catAx>
        <c:axId val="4098355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7769088"/>
        <c:crosses val="autoZero"/>
        <c:auto val="1"/>
        <c:lblAlgn val="ctr"/>
        <c:lblOffset val="100"/>
        <c:noMultiLvlLbl val="0"/>
      </c:catAx>
      <c:valAx>
        <c:axId val="67769088"/>
        <c:scaling>
          <c:orientation val="minMax"/>
        </c:scaling>
        <c:delete val="0"/>
        <c:axPos val="l"/>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983552"/>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ysClr val="windowText" lastClr="000000"/>
                </a:solidFill>
                <a:latin typeface="+mn-lt"/>
                <a:ea typeface="+mn-ea"/>
                <a:cs typeface="+mn-cs"/>
              </a:defRPr>
            </a:pPr>
            <a:r>
              <a:rPr b="1">
                <a:solidFill>
                  <a:sysClr val="windowText" lastClr="000000"/>
                </a:solidFill>
              </a:rPr>
              <a:t>财政拨款收支与年初预算数对比情况</a:t>
            </a:r>
            <a:endParaRPr b="1">
              <a:solidFill>
                <a:sysClr val="windowText" lastClr="000000"/>
              </a:solidFill>
            </a:endParaRPr>
          </a:p>
        </c:rich>
      </c:tx>
      <c:layout/>
      <c:overlay val="0"/>
      <c:spPr>
        <a:noFill/>
        <a:ln>
          <a:noFill/>
        </a:ln>
        <a:effectLst/>
      </c:spPr>
    </c:title>
    <c:autoTitleDeleted val="0"/>
    <c:plotArea>
      <c:layout>
        <c:manualLayout>
          <c:layoutTarget val="inner"/>
          <c:xMode val="edge"/>
          <c:yMode val="edge"/>
          <c:x val="0.101171950829462"/>
          <c:y val="0.0190712489063867"/>
          <c:w val="0.84482476201393"/>
          <c:h val="0.7843290682414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[2019决算制表.xls]Sheet1!$A$46:$A$49</c:f>
              <c:strCache>
                <c:ptCount val="4"/>
                <c:pt idx="0">
                  <c:v>2019年决算收入</c:v>
                </c:pt>
                <c:pt idx="1">
                  <c:v>2019年预算收入</c:v>
                </c:pt>
                <c:pt idx="2">
                  <c:v>2019年决算支出</c:v>
                </c:pt>
                <c:pt idx="3">
                  <c:v>2019年预算支出</c:v>
                </c:pt>
              </c:strCache>
            </c:strRef>
          </c:cat>
          <c:val>
            <c:numRef>
              <c:f>[2019决算制表.xls]Sheet1!$B$46:$B$49</c:f>
              <c:numCache>
                <c:formatCode>General</c:formatCode>
                <c:ptCount val="4"/>
                <c:pt idx="0">
                  <c:v>5051.49</c:v>
                </c:pt>
                <c:pt idx="1">
                  <c:v>3712.43</c:v>
                </c:pt>
                <c:pt idx="2">
                  <c:v>4926.93</c:v>
                </c:pt>
                <c:pt idx="3">
                  <c:v>3712.43</c:v>
                </c:pt>
              </c:numCache>
            </c:numRef>
          </c:val>
        </c:ser>
        <c:dLbls>
          <c:showLegendKey val="0"/>
          <c:showVal val="1"/>
          <c:showCatName val="0"/>
          <c:showSerName val="0"/>
          <c:showPercent val="0"/>
          <c:showBubbleSize val="0"/>
        </c:dLbls>
        <c:gapWidth val="219"/>
        <c:overlap val="-27"/>
        <c:axId val="115394432"/>
        <c:axId val="163570432"/>
      </c:barChart>
      <c:catAx>
        <c:axId val="1153944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63570432"/>
        <c:crosses val="autoZero"/>
        <c:auto val="1"/>
        <c:lblAlgn val="ctr"/>
        <c:lblOffset val="100"/>
        <c:noMultiLvlLbl val="0"/>
      </c:catAx>
      <c:valAx>
        <c:axId val="1635704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rPr>
                    <a:solidFill>
                      <a:sysClr val="windowText" lastClr="000000"/>
                    </a:solidFill>
                  </a:rPr>
                  <a:t>金额：万元</a:t>
                </a:r>
                <a:endParaRPr>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1539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财政拨款支出决算结构图</a:t>
            </a:r>
            <a:endParaRPr lang="zh-CN" altLang="en-US"/>
          </a:p>
        </c:rich>
      </c:tx>
      <c:layout/>
      <c:overlay val="0"/>
    </c:title>
    <c:autoTitleDeleted val="0"/>
    <c:plotArea>
      <c:layout/>
      <c:pieChart>
        <c:varyColors val="1"/>
        <c:ser>
          <c:idx val="0"/>
          <c:order val="0"/>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财政拨款支出决算!$A$3:$A$7</c:f>
              <c:strCache>
                <c:ptCount val="5"/>
                <c:pt idx="0">
                  <c:v>一般公共服务支出</c:v>
                </c:pt>
                <c:pt idx="1">
                  <c:v>社会保障和就业支出</c:v>
                </c:pt>
                <c:pt idx="2">
                  <c:v>卫生健康支出</c:v>
                </c:pt>
                <c:pt idx="3">
                  <c:v>农林水支出</c:v>
                </c:pt>
                <c:pt idx="4">
                  <c:v>住房保障支出</c:v>
                </c:pt>
              </c:strCache>
            </c:strRef>
          </c:cat>
          <c:val>
            <c:numRef>
              <c:f>财政拨款支出决算!$B$3:$B$7</c:f>
              <c:numCache>
                <c:formatCode>General</c:formatCode>
                <c:ptCount val="5"/>
                <c:pt idx="0">
                  <c:v>539.19</c:v>
                </c:pt>
                <c:pt idx="1">
                  <c:v>42.48</c:v>
                </c:pt>
                <c:pt idx="2">
                  <c:v>15.2</c:v>
                </c:pt>
                <c:pt idx="3">
                  <c:v>5.4</c:v>
                </c:pt>
                <c:pt idx="4">
                  <c:v>1.33</c:v>
                </c:pt>
              </c:numCache>
            </c:numRef>
          </c:val>
        </c:ser>
        <c:ser>
          <c:idx val="1"/>
          <c:order val="1"/>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财政拨款支出决算!$A$3:$A$7</c:f>
              <c:strCache>
                <c:ptCount val="5"/>
                <c:pt idx="0">
                  <c:v>一般公共服务支出</c:v>
                </c:pt>
                <c:pt idx="1">
                  <c:v>社会保障和就业支出</c:v>
                </c:pt>
                <c:pt idx="2">
                  <c:v>卫生健康支出</c:v>
                </c:pt>
                <c:pt idx="3">
                  <c:v>农林水支出</c:v>
                </c:pt>
                <c:pt idx="4">
                  <c:v>住房保障支出</c:v>
                </c:pt>
              </c:strCache>
            </c:strRef>
          </c:cat>
          <c:val>
            <c:numRef>
              <c:f>财政拨款支出决算!$C$3:$C$7</c:f>
              <c:numCache>
                <c:formatCode>0.00%</c:formatCode>
                <c:ptCount val="5"/>
                <c:pt idx="0">
                  <c:v>0.8933</c:v>
                </c:pt>
                <c:pt idx="1">
                  <c:v>0.0703000000000001</c:v>
                </c:pt>
                <c:pt idx="2">
                  <c:v>0.0252</c:v>
                </c:pt>
                <c:pt idx="3">
                  <c:v>0.00890000000000001</c:v>
                </c:pt>
                <c:pt idx="4">
                  <c:v>0.0022</c:v>
                </c:pt>
              </c:numCache>
            </c:numRef>
          </c:val>
        </c:ser>
        <c:dLbls>
          <c:showLegendKey val="0"/>
          <c:showVal val="0"/>
          <c:showCatName val="0"/>
          <c:showSerName val="0"/>
          <c:showPercent val="1"/>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F4D762-E745-44DA-9D4F-6DB808428E2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2482</Words>
  <Characters>14150</Characters>
  <Lines>117</Lines>
  <Paragraphs>33</Paragraphs>
  <TotalTime>1</TotalTime>
  <ScaleCrop>false</ScaleCrop>
  <LinksUpToDate>false</LinksUpToDate>
  <CharactersWithSpaces>16599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2020-11-24T22:54:00Z</dcterms:created>
  <dc:creator>User</dc:creator>
  <cp:lastModifiedBy>大帅</cp:lastModifiedBy>
  <cp:lastPrinted>2020-11-19T07:05:00Z</cp:lastPrinted>
  <dcterms:modified xsi:type="dcterms:W3CDTF">2021-05-25T09:01:24Z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DAEEAC22076E473BB4267B99730039E6</vt:lpwstr>
  </property>
</Properties>
</file>