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image/x-emf" PartName="/word/media/image2.emf"/>
  <Default ContentType="image/png" Extension="png"/>
  <Override ContentType="image/x-emf" PartName="/word/media/image5.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rPr>
        <w:t>大城县能源办公室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大城县能源办公室</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大城县能源办公室</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keepNext/>
        <w:keepLines/>
        <w:widowControl w:val="0"/>
        <w:numPr>
          <w:numId w:val="0"/>
        </w:numPr>
        <w:wordWrap/>
        <w:adjustRightInd/>
        <w:snapToGrid/>
        <w:spacing w:before="0" w:after="0" w:line="600" w:lineRule="exact"/>
        <w:ind w:left="0" w:leftChars="0" w:right="0" w:firstLine="640" w:firstLineChars="200"/>
        <w:jc w:val="left"/>
        <w:textAlignment w:val="auto"/>
        <w:outlineLvl w:val="0"/>
        <w:rPr>
          <w:rFonts w:hint="eastAsia"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1、代表县政府与油田、煤田、铁路、电力等单位开展工作联系，并协调在勘查开发、选线确站、管道铺设和生产建设中与地方的关系，搞好项目工程的全方位服务。</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2、承担全县煤炭生产许可证的审核、申报和监管工作，依法整顿和规范煤炭生产秩序。同时，对不具备生产条件的矿井依法组织关闭。</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3、协调施工单位办理项目占地、设施拆迁、树木砍伐、土价确定等工作；负责压煤区域的搬迁、补偿和安置工作，依法对压煤项目的审批工作。并会同财政单位及工程单位做好相关补偿工作。</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4、参与煤矿建设工程的初审；审查国有煤矿采矿权转让方案；审查、报批煤矿建筑物、水体、公路、铁路压煤开采方案设计，会同有关单位统一规划建设煤矿公共建设设施和配套服务区。</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5、承办县委、县政府交办的其他事项。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4"/>
        <w:tblpPr w:leftFromText="180" w:rightFromText="180" w:vertAnchor="text" w:horzAnchor="page" w:tblpXSpec="center" w:tblpY="10"/>
        <w:tblOverlap w:val="never"/>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744"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before="0" w:beforeAutospacing="0" w:after="0" w:afterAutospacing="0" w:line="560" w:lineRule="exact"/>
              <w:ind w:left="0" w:right="0"/>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val="en-US" w:eastAsia="zh-CN"/>
              </w:rPr>
              <w:t>大城县能源办公室（本级）</w:t>
            </w:r>
          </w:p>
        </w:tc>
        <w:tc>
          <w:tcPr>
            <w:tcW w:w="2445"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eastAsia="zh-CN"/>
              </w:rPr>
              <w:t>参公事业单位</w:t>
            </w:r>
          </w:p>
        </w:tc>
        <w:tc>
          <w:tcPr>
            <w:tcW w:w="2744"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eastAsia="zh-CN"/>
              </w:rPr>
              <w:t>财政拨款</w:t>
            </w:r>
          </w:p>
        </w:tc>
      </w:tr>
    </w:tbl>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hint="eastAsia" w:ascii="黑体" w:hAnsi="宋体" w:eastAsia="黑体"/>
          <w:color w:val="000000"/>
          <w:sz w:val="72"/>
          <w:szCs w:val="96"/>
        </w:rPr>
      </w:pPr>
      <w:r>
        <w:rPr>
          <w:rFonts w:hint="eastAsia" w:ascii="黑体" w:hAnsi="宋体" w:eastAsia="黑体"/>
          <w:color w:val="000000"/>
          <w:sz w:val="72"/>
          <w:szCs w:val="96"/>
        </w:rPr>
        <w:t>2018年度部门决算报表</w:t>
      </w:r>
    </w:p>
    <w:p>
      <w:pPr>
        <w:widowControl/>
        <w:spacing w:line="1200" w:lineRule="exact"/>
        <w:jc w:val="center"/>
        <w:rPr>
          <w:rFonts w:hint="eastAsia" w:ascii="黑体" w:hAnsi="宋体" w:eastAsia="黑体"/>
          <w:color w:val="000000"/>
          <w:sz w:val="72"/>
          <w:szCs w:val="96"/>
          <w:lang w:val="en-US" w:eastAsia="zh-CN"/>
        </w:rPr>
      </w:pPr>
      <w:r>
        <w:rPr>
          <w:rFonts w:hint="eastAsia" w:ascii="黑体" w:hAnsi="宋体" w:eastAsia="黑体"/>
          <w:color w:val="000000"/>
          <w:sz w:val="72"/>
          <w:szCs w:val="96"/>
          <w:lang w:val="en-US" w:eastAsia="zh-CN"/>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w:t>
      </w:r>
      <w:r>
        <w:rPr>
          <w:rFonts w:hint="eastAsia" w:ascii="仿宋_GB2312" w:eastAsia="仿宋_GB2312" w:cs="DengXian-Regular"/>
          <w:sz w:val="32"/>
          <w:szCs w:val="32"/>
          <w:lang w:eastAsia="zh-CN"/>
        </w:rPr>
        <w:t>（含结转和结余）</w:t>
      </w:r>
      <w:r>
        <w:rPr>
          <w:rFonts w:hint="eastAsia" w:ascii="仿宋_GB2312" w:eastAsia="仿宋_GB2312" w:cs="DengXian-Regular"/>
          <w:sz w:val="32"/>
          <w:szCs w:val="32"/>
          <w:lang w:val="en-US" w:eastAsia="zh-CN"/>
        </w:rPr>
        <w:t>129.12</w:t>
      </w:r>
      <w:r>
        <w:rPr>
          <w:rFonts w:hint="eastAsia" w:ascii="仿宋_GB2312" w:eastAsia="仿宋_GB2312" w:cs="DengXian-Regular"/>
          <w:sz w:val="32"/>
          <w:szCs w:val="32"/>
        </w:rPr>
        <w:t>万元。与2017年度决算相比，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107.04</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45.33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项目资金调整</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eastAsia="仿宋_GB2312"/>
          <w:sz w:val="32"/>
          <w:szCs w:val="32"/>
          <w:lang w:eastAsia="zh-CN"/>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112.53</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89.75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79.76</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22.78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20.24</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hint="eastAsia" w:eastAsia="仿宋_GB2312"/>
          <w:sz w:val="32"/>
          <w:szCs w:val="32"/>
          <w:lang w:eastAsia="zh-CN"/>
        </w:rPr>
      </w:pPr>
      <w:r>
        <w:rPr>
          <w:rFonts w:hint="eastAsia" w:ascii="Times New Roman" w:hAnsi="Times New Roman" w:eastAsia="仿宋_GB2312" w:cs="Times New Roman"/>
          <w:kern w:val="2"/>
          <w:sz w:val="32"/>
          <w:szCs w:val="32"/>
          <w:lang w:val="en-US" w:eastAsia="zh-CN" w:bidi="ar-SA"/>
        </w:rPr>
        <w:pict>
          <v:shape id="Picture 9" type="#_x0000_t75" style="position:absolute;left:0;margin-left:-8.6pt;margin-top:35.35pt;height:255.9pt;width:408.8pt;rotation:0f;z-index:251661312;" o:ole="t" fillcolor="#FFFFFF" filled="f" o:preferrelative="t" stroked="f" coordorigin="0,0" coordsize="21600,21600">
            <v:fill on="f" color2="#FFFFFF" focus="0%"/>
            <v:imagedata gain="65536f" blacklevel="0f" gamma="0" o:title="" r:id="rId6"/>
            <o:lock v:ext="edit" position="f" selection="f" grouping="f" rotation="f" cropping="f" text="f" aspectratio="t"/>
          </v:shape>
          <o:OLEObject Type="Embed" ProgID="Excel.Chart.8" ShapeID="Picture 9" DrawAspect="Content" ObjectID="_1" r:id="rId5"/>
        </w:pict>
      </w:r>
      <w:r>
        <w:rPr>
          <w:rFonts w:hint="eastAsia" w:eastAsia="仿宋_GB2312"/>
          <w:sz w:val="32"/>
          <w:szCs w:val="32"/>
          <w:lang w:val="en-US" w:eastAsia="zh-CN"/>
        </w:rPr>
        <w:t xml:space="preserve">                                      </w:t>
      </w: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jc w:val="cente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114.9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67.84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59.04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47.06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40.96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pict>
          <v:shape id="Picture 10" type="#_x0000_t75" style="position:absolute;left:0;margin-left:34.25pt;margin-top:18.2pt;height:332.25pt;width:387pt;rotation:0f;z-index:251662336;"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Excel.Chart.8" ShapeID="Picture 10" DrawAspect="Content" ObjectID="_2" r:id="rId7"/>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本部门2018年度形成的财政拨款收支均为一般公共预算财政拨款，其中一般公共预算财政拨款本年收入89.75万元,比2017年度增加12.92万元，增长16.82</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人员增资，项目资金调整</w:t>
      </w:r>
      <w:r>
        <w:rPr>
          <w:rFonts w:hint="eastAsia" w:ascii="仿宋_GB2312" w:eastAsia="仿宋_GB2312" w:cs="DengXian-Regular"/>
          <w:sz w:val="32"/>
          <w:szCs w:val="32"/>
        </w:rPr>
        <w:t>；本年支出84.89万元，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8.06万元，增长10.49</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人员增资，项目资金调整</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right"/>
        <w:rPr>
          <w:rFonts w:hint="default" w:eastAsia="仿宋_GB2312"/>
          <w:sz w:val="32"/>
          <w:szCs w:val="32"/>
          <w:lang w:val="en-US" w:eastAsia="zh-CN"/>
        </w:rPr>
      </w:pPr>
      <w:r>
        <w:rPr>
          <w:rFonts w:hint="eastAsia" w:eastAsia="仿宋_GB2312"/>
          <w:sz w:val="32"/>
          <w:szCs w:val="32"/>
          <w:lang w:eastAsia="zh-CN"/>
        </w:rPr>
        <w:t>单位：万元</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kern w:val="2"/>
          <w:sz w:val="32"/>
          <w:szCs w:val="32"/>
          <w:lang w:val="en-US" w:eastAsia="zh-CN" w:bidi="ar-SA"/>
        </w:rPr>
        <w:pict>
          <v:shape id="图表 3" o:spid="_x0000_s1028" type="#_x0000_t75" style="position:absolute;left:0;margin-left:11.45pt;margin-top:13.05pt;height:328.3pt;width:410.8pt;rotation:0f;z-index:251659264;"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本部门2018年度一般公共预算财政拨款收入89.75万元，完成年初预算的</w:t>
      </w:r>
      <w:r>
        <w:rPr>
          <w:rFonts w:hint="eastAsia" w:ascii="仿宋_GB2312" w:eastAsia="仿宋_GB2312" w:cs="DengXian-Regular"/>
          <w:sz w:val="32"/>
          <w:szCs w:val="32"/>
          <w:lang w:val="en-US" w:eastAsia="zh-CN"/>
        </w:rPr>
        <w:t>105.68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4.82</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人员增资</w:t>
      </w:r>
      <w:r>
        <w:rPr>
          <w:rFonts w:hint="eastAsia" w:ascii="仿宋_GB2312" w:eastAsia="仿宋_GB2312" w:cs="DengXian-Regular"/>
          <w:sz w:val="32"/>
          <w:szCs w:val="32"/>
        </w:rPr>
        <w:t>；本年支出84.89万元，完成年初预算的</w:t>
      </w:r>
      <w:r>
        <w:rPr>
          <w:rFonts w:hint="eastAsia" w:ascii="仿宋_GB2312" w:eastAsia="仿宋_GB2312" w:cs="DengXian-Regular"/>
          <w:sz w:val="32"/>
          <w:szCs w:val="32"/>
          <w:lang w:val="en-US" w:eastAsia="zh-CN"/>
        </w:rPr>
        <w:t>99.95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0.04</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厉行节约，减少经费支出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right"/>
        <w:rPr>
          <w:rFonts w:hint="default" w:eastAsia="仿宋_GB2312"/>
          <w:sz w:val="32"/>
          <w:szCs w:val="32"/>
          <w:lang w:val="en-US" w:eastAsia="zh-CN"/>
        </w:rPr>
      </w:pPr>
      <w:r>
        <w:rPr>
          <w:rFonts w:hint="eastAsia" w:eastAsia="仿宋_GB2312"/>
          <w:sz w:val="32"/>
          <w:szCs w:val="32"/>
          <w:lang w:eastAsia="zh-CN"/>
        </w:rPr>
        <w:t>单位</w:t>
      </w:r>
      <w:r>
        <w:rPr>
          <w:rFonts w:hint="eastAsia" w:eastAsia="仿宋_GB2312"/>
          <w:sz w:val="32"/>
          <w:szCs w:val="32"/>
          <w:lang w:val="en-US" w:eastAsia="zh-CN"/>
        </w:rPr>
        <w:t>:万元</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hAnsi="Times New Roman" w:eastAsia="仿宋_GB2312" w:cs="DengXian-Regular"/>
          <w:kern w:val="2"/>
          <w:sz w:val="32"/>
          <w:szCs w:val="32"/>
          <w:lang w:val="en-US" w:eastAsia="zh-CN" w:bidi="ar-SA"/>
        </w:rPr>
        <w:pict>
          <v:shape id="图表 4" o:spid="_x0000_s1029" type="#_x0000_t75" style="position:absolute;left:0;margin-left:21.45pt;margin-top:2.3pt;height:300pt;width:400pt;rotation:0f;z-index:251660288;"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84.89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一般公共服务（类）支出74.33万元，占</w:t>
      </w:r>
      <w:r>
        <w:rPr>
          <w:rFonts w:hint="eastAsia" w:ascii="仿宋_GB2312" w:eastAsia="仿宋_GB2312" w:cs="DengXian-Regular"/>
          <w:sz w:val="32"/>
          <w:szCs w:val="32"/>
          <w:lang w:val="en-US" w:eastAsia="zh-CN"/>
        </w:rPr>
        <w:t>87.56</w:t>
      </w:r>
      <w:r>
        <w:rPr>
          <w:rFonts w:hint="eastAsia" w:ascii="仿宋_GB2312" w:eastAsia="仿宋_GB2312" w:cs="DengXian-Regular"/>
          <w:sz w:val="32"/>
          <w:szCs w:val="32"/>
        </w:rPr>
        <w:t>%；社会保障和就业(类）支出6.82万元，占</w:t>
      </w:r>
      <w:r>
        <w:rPr>
          <w:rFonts w:hint="eastAsia" w:ascii="仿宋_GB2312" w:eastAsia="仿宋_GB2312" w:cs="DengXian-Regular"/>
          <w:sz w:val="32"/>
          <w:szCs w:val="32"/>
          <w:lang w:val="en-US" w:eastAsia="zh-CN"/>
        </w:rPr>
        <w:t>8.03</w:t>
      </w:r>
      <w:r>
        <w:rPr>
          <w:rFonts w:hint="eastAsia" w:ascii="仿宋_GB2312" w:eastAsia="仿宋_GB2312" w:cs="DengXian-Regular"/>
          <w:sz w:val="32"/>
          <w:szCs w:val="32"/>
        </w:rPr>
        <w:t>%；医疗卫生与计划生育(类）支出3.74万元，占</w:t>
      </w:r>
      <w:r>
        <w:rPr>
          <w:rFonts w:hint="eastAsia" w:ascii="仿宋_GB2312" w:eastAsia="仿宋_GB2312" w:cs="DengXian-Regular"/>
          <w:sz w:val="32"/>
          <w:szCs w:val="32"/>
          <w:lang w:val="en-US" w:eastAsia="zh-CN"/>
        </w:rPr>
        <w:t>4.41</w:t>
      </w:r>
      <w:r>
        <w:rPr>
          <w:rFonts w:hint="eastAsia" w:ascii="仿宋_GB2312" w:eastAsia="仿宋_GB2312" w:cs="DengXian-Regular"/>
          <w:sz w:val="32"/>
          <w:szCs w:val="32"/>
          <w:lang w:eastAsia="zh-CN"/>
        </w:rPr>
        <w:t>%</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hAnsi="Times New Roman" w:eastAsia="楷体_GB2312" w:cs="DengXian-Bold"/>
          <w:b/>
          <w:bCs/>
          <w:kern w:val="2"/>
          <w:sz w:val="32"/>
          <w:szCs w:val="32"/>
          <w:lang w:val="en-US" w:eastAsia="zh-CN" w:bidi="ar-SA"/>
        </w:rPr>
        <w:pict>
          <v:shape id="Picture 11" type="#_x0000_t75" style="position:absolute;left:0;margin-left:0pt;margin-top:4.95pt;height:291pt;width:486.75pt;rotation:0f;z-index:-251658240;"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Excel.Chart.8" ShapeID="Picture 11" DrawAspect="Content" ObjectID="_5" r:id="rId11"/>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67.84万元，其中：人员经费61.32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6.53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3.33</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0.67</w:t>
      </w:r>
      <w:r>
        <w:rPr>
          <w:rFonts w:eastAsia="仿宋_GB2312"/>
          <w:sz w:val="32"/>
          <w:szCs w:val="32"/>
        </w:rPr>
        <w:t>万元，降低</w:t>
      </w:r>
      <w:r>
        <w:rPr>
          <w:rFonts w:hint="eastAsia" w:eastAsia="仿宋_GB2312"/>
          <w:sz w:val="32"/>
          <w:szCs w:val="32"/>
          <w:lang w:val="en-US" w:eastAsia="zh-CN"/>
        </w:rPr>
        <w:t>16.75</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0.32</w:t>
      </w:r>
      <w:r>
        <w:rPr>
          <w:rFonts w:eastAsia="仿宋_GB2312"/>
          <w:sz w:val="32"/>
          <w:szCs w:val="32"/>
        </w:rPr>
        <w:t>万元，降低</w:t>
      </w:r>
      <w:r>
        <w:rPr>
          <w:rFonts w:hint="eastAsia" w:eastAsia="仿宋_GB2312"/>
          <w:sz w:val="32"/>
          <w:szCs w:val="32"/>
          <w:lang w:val="en-US" w:eastAsia="zh-CN"/>
        </w:rPr>
        <w:t>8.77</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3.13</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0.37</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10.57</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厉行节约，压减支出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0.63</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3.13</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0.37</w:t>
      </w:r>
      <w:r>
        <w:rPr>
          <w:rFonts w:eastAsia="仿宋_GB2312"/>
          <w:sz w:val="32"/>
          <w:szCs w:val="32"/>
        </w:rPr>
        <w:t>万元，降低</w:t>
      </w:r>
      <w:r>
        <w:rPr>
          <w:rFonts w:hint="eastAsia" w:eastAsia="仿宋_GB2312"/>
          <w:sz w:val="32"/>
          <w:szCs w:val="32"/>
          <w:lang w:val="en-US" w:eastAsia="zh-CN"/>
        </w:rPr>
        <w:t>10.57</w:t>
      </w:r>
      <w:r>
        <w:rPr>
          <w:rFonts w:eastAsia="仿宋_GB2312"/>
          <w:sz w:val="32"/>
          <w:szCs w:val="32"/>
        </w:rPr>
        <w:t>%，主要是</w:t>
      </w:r>
      <w:r>
        <w:rPr>
          <w:rFonts w:hint="eastAsia" w:ascii="仿宋_GB2312" w:eastAsia="仿宋_GB2312" w:cs="DengXian-Regular"/>
          <w:sz w:val="32"/>
          <w:szCs w:val="32"/>
          <w:lang w:eastAsia="zh-CN"/>
        </w:rPr>
        <w:t>厉行节约，压减公车运行维护费支出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0.63</w:t>
      </w:r>
      <w:r>
        <w:rPr>
          <w:rFonts w:eastAsia="仿宋_GB2312"/>
          <w:sz w:val="32"/>
          <w:szCs w:val="32"/>
        </w:rPr>
        <w:t>%，主要是</w:t>
      </w:r>
      <w:r>
        <w:rPr>
          <w:rFonts w:hint="eastAsia" w:ascii="仿宋_GB2312" w:eastAsia="仿宋_GB2312" w:cs="DengXian-Regular"/>
          <w:sz w:val="32"/>
          <w:szCs w:val="32"/>
          <w:lang w:eastAsia="zh-CN"/>
        </w:rPr>
        <w:t>厉行节约，压减公车运行维护费</w:t>
      </w:r>
      <w:bookmarkStart w:id="0" w:name="_GoBack"/>
      <w:bookmarkEnd w:id="0"/>
      <w:r>
        <w:rPr>
          <w:rFonts w:hint="eastAsia" w:ascii="仿宋_GB2312" w:eastAsia="仿宋_GB2312" w:cs="DengXian-Regular"/>
          <w:sz w:val="32"/>
          <w:szCs w:val="32"/>
          <w:lang w:eastAsia="zh-CN"/>
        </w:rPr>
        <w:t>支出</w:t>
      </w:r>
      <w:r>
        <w:rPr>
          <w:rFonts w:eastAsia="仿宋_GB2312"/>
          <w:sz w:val="32"/>
          <w:szCs w:val="32"/>
        </w:rPr>
        <w:t>。</w:t>
      </w:r>
    </w:p>
    <w:p>
      <w:pPr>
        <w:widowControl w:val="0"/>
        <w:wordWrap/>
        <w:adjustRightInd/>
        <w:snapToGrid/>
        <w:spacing w:after="160" w:line="480" w:lineRule="auto"/>
        <w:ind w:left="0" w:leftChars="0" w:right="0" w:firstLine="643" w:firstLineChars="200"/>
        <w:jc w:val="both"/>
        <w:textAlignment w:val="auto"/>
        <w:outlineLvl w:val="9"/>
      </w:pPr>
      <w:r>
        <w:rPr>
          <w:rFonts w:eastAsia="楷体_GB2312"/>
          <w:b/>
          <w:bCs/>
          <w:sz w:val="32"/>
          <w:szCs w:val="32"/>
        </w:rPr>
        <w:t>（三）公务接待费支出</w:t>
      </w:r>
      <w:r>
        <w:rPr>
          <w:rFonts w:hint="eastAsia" w:eastAsia="楷体_GB2312"/>
          <w:b/>
          <w:bCs/>
          <w:sz w:val="32"/>
          <w:szCs w:val="32"/>
          <w:lang w:val="en-US" w:eastAsia="zh-CN"/>
        </w:rPr>
        <w:t>0.19</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4</w:t>
      </w:r>
      <w:r>
        <w:rPr>
          <w:rFonts w:eastAsia="仿宋_GB2312"/>
          <w:sz w:val="32"/>
          <w:szCs w:val="32"/>
        </w:rPr>
        <w:t>批次、</w:t>
      </w:r>
      <w:r>
        <w:rPr>
          <w:rFonts w:hint="eastAsia" w:eastAsia="仿宋_GB2312"/>
          <w:sz w:val="32"/>
          <w:szCs w:val="32"/>
          <w:lang w:val="en-US" w:eastAsia="zh-CN"/>
        </w:rPr>
        <w:t>42</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减少</w:t>
      </w:r>
      <w:r>
        <w:rPr>
          <w:rFonts w:hint="eastAsia" w:eastAsia="仿宋_GB2312"/>
          <w:sz w:val="32"/>
          <w:szCs w:val="32"/>
          <w:lang w:val="en-US" w:eastAsia="zh-CN"/>
        </w:rPr>
        <w:t>0.31</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62</w:t>
      </w:r>
      <w:r>
        <w:rPr>
          <w:rFonts w:eastAsia="仿宋_GB2312"/>
          <w:sz w:val="32"/>
          <w:szCs w:val="32"/>
        </w:rPr>
        <w:t>%，主要是</w:t>
      </w:r>
      <w:r>
        <w:rPr>
          <w:rFonts w:hint="eastAsia" w:ascii="仿宋_GB2312" w:eastAsia="仿宋_GB2312" w:cs="DengXian-Regular"/>
          <w:sz w:val="32"/>
          <w:szCs w:val="32"/>
          <w:lang w:eastAsia="zh-CN"/>
        </w:rPr>
        <w:t>厉行节约，压减公务接待费支出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0.31</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62</w:t>
      </w:r>
      <w:r>
        <w:rPr>
          <w:rFonts w:eastAsia="仿宋_GB2312"/>
          <w:sz w:val="32"/>
          <w:szCs w:val="32"/>
        </w:rPr>
        <w:t>%，主要是</w:t>
      </w:r>
      <w:r>
        <w:rPr>
          <w:rFonts w:hint="eastAsia" w:ascii="仿宋_GB2312" w:eastAsia="仿宋_GB2312" w:cs="DengXian-Regular"/>
          <w:sz w:val="32"/>
          <w:szCs w:val="32"/>
          <w:lang w:eastAsia="zh-CN"/>
        </w:rPr>
        <w:t>厉行节约，压减公务接待费支出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exact"/>
        <w:ind w:firstLine="640" w:firstLineChars="200"/>
        <w:rPr>
          <w:rFonts w:eastAsia="仿宋"/>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要求，结合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numId w:val="0"/>
        </w:num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全年工作目标任务基本完成。</w:t>
      </w:r>
      <w:r>
        <w:rPr>
          <w:rFonts w:hint="eastAsia" w:ascii="仿宋_GB2312" w:eastAsia="仿宋_GB2312" w:cs="DengXian-Regular"/>
          <w:sz w:val="32"/>
          <w:szCs w:val="32"/>
        </w:rPr>
        <w:t>代表县政府与油田、煤田、铁路、电力等单位开展工作联系，并协调相关单位在勘查开发、选线确站、管道铺设和生产建设中与地方的关系，搞好项目工程的全方位服务。承担全县煤炭生产许可证的审核、申报和监管工作，依法整顿和规范煤炭生产秩序。同时，对不具备生产条件的矿井依法组织关闭。协助施工单位办理项目占地、设施拆迁、树木砍伐、土价确定等工作；负责压煤区域的搬迁、补偿和安置工作，依法对压煤项目的审批工作。并会同财政单位及工程单位做好相关补偿工作。参与煤矿建设工程的初审；审查国有煤矿采矿权转让方案；审查、报批煤矿建筑物、水体、公路、铁路压煤开采方案设计，会同有关单位统一规划建设煤矿公共建设设施和配套服务区。承办县委、县政府交办的其他事项。</w:t>
      </w:r>
      <w:r>
        <w:rPr>
          <w:rFonts w:hint="eastAsia" w:ascii="仿宋_GB2312" w:eastAsia="仿宋_GB2312" w:cs="DengXian-Regular"/>
          <w:sz w:val="32"/>
          <w:szCs w:val="32"/>
          <w:lang w:eastAsia="zh-CN"/>
        </w:rPr>
        <w:t>自评为优。</w:t>
      </w:r>
    </w:p>
    <w:p>
      <w:pPr>
        <w:widowControl w:val="0"/>
        <w:numPr>
          <w:numId w:val="0"/>
        </w:numPr>
        <w:wordWrap/>
        <w:adjustRightInd w:val="0"/>
        <w:snapToGrid w:val="0"/>
        <w:spacing w:after="0" w:line="580" w:lineRule="exact"/>
        <w:ind w:left="0" w:leftChars="0" w:right="0" w:firstLine="640" w:firstLineChars="200"/>
        <w:jc w:val="both"/>
        <w:textAlignment w:val="auto"/>
        <w:outlineLvl w:val="9"/>
        <w:rPr>
          <w:rFonts w:hint="eastAsia"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widowControl w:val="0"/>
        <w:wordWrap/>
        <w:adjustRightInd/>
        <w:snapToGrid/>
        <w:spacing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煤炭气化、煤层气勘探、试采、电力、津华原油管道、铁路经费。绩效目标：处理好煤田、油田、铁路系统各企业与地方的工农关系，推进煤田企业在我县项目的顺利实施；依法做好全县煤炭生产许可证的审核、申报和监管工作；严格审查煤田压覆项目。评价结果：年度支持煤田、油田、铁路系统工作情况、全县煤炭生产许可证审核、申报和监管工作完成程度、煤田压覆项目审查完成程度自评完成度均在97%以上，结果优秀。</w:t>
      </w:r>
    </w:p>
    <w:p>
      <w:pPr>
        <w:pStyle w:val="3"/>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6.53</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9.93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厉行节约，压减支出</w:t>
      </w:r>
      <w:r>
        <w:rPr>
          <w:rFonts w:hint="eastAsia" w:ascii="仿宋_GB2312" w:hAnsi="仿宋_GB2312" w:eastAsia="仿宋_GB2312" w:cs="仿宋_GB2312"/>
          <w:sz w:val="32"/>
          <w:szCs w:val="32"/>
        </w:rPr>
        <w:t>。较2017年度决算增加</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46.09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人员增加，经费增加</w:t>
      </w:r>
      <w:r>
        <w:rPr>
          <w:rFonts w:hint="eastAsia" w:ascii="仿宋_GB2312" w:hAnsi="仿宋_GB2312" w:eastAsia="仿宋_GB2312" w:cs="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1、本部门2018年度政府性基金无收支及结转结余情况，故08表以空表列示。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本部门2018年度国有资本经营无收支及结转结余情况，故0</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本部门2018年度政府采购无收支及结转结余情况，故</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344820">
    <w:nsid w:val="079720B4"/>
    <w:multiLevelType w:val="singleLevel"/>
    <w:tmpl w:val="079720B4"/>
    <w:lvl w:ilvl="0" w:tentative="1">
      <w:start w:val="2"/>
      <w:numFmt w:val="chineseCounting"/>
      <w:suff w:val="nothing"/>
      <w:lvlText w:val="（%1）"/>
      <w:lvlJc w:val="left"/>
      <w:rPr>
        <w:rFonts w:hint="eastAsia"/>
      </w:rPr>
    </w:lvl>
  </w:abstractNum>
  <w:abstractNum w:abstractNumId="1172019847">
    <w:nsid w:val="45DB9A87"/>
    <w:multiLevelType w:val="singleLevel"/>
    <w:tmpl w:val="45DB9A87"/>
    <w:lvl w:ilvl="0" w:tentative="1">
      <w:start w:val="3"/>
      <w:numFmt w:val="chineseCounting"/>
      <w:suff w:val="nothing"/>
      <w:lvlText w:val="（%1）"/>
      <w:lvlJc w:val="left"/>
      <w:rPr>
        <w:rFonts w:hint="eastAsia"/>
      </w:rPr>
    </w:lvl>
  </w:abstractNum>
  <w:num w:numId="1">
    <w:abstractNumId w:val="1172019847"/>
  </w:num>
  <w:num w:numId="2">
    <w:abstractNumId w:val="1273448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C6B15"/>
    <w:rsid w:val="027A2B23"/>
    <w:rsid w:val="04073F84"/>
    <w:rsid w:val="043F4B84"/>
    <w:rsid w:val="05344197"/>
    <w:rsid w:val="0B60750A"/>
    <w:rsid w:val="0D6A692C"/>
    <w:rsid w:val="0E1A7433"/>
    <w:rsid w:val="10686488"/>
    <w:rsid w:val="10DF728A"/>
    <w:rsid w:val="1264200E"/>
    <w:rsid w:val="12E902DE"/>
    <w:rsid w:val="141C5B77"/>
    <w:rsid w:val="17473AF3"/>
    <w:rsid w:val="18D8339D"/>
    <w:rsid w:val="193A6581"/>
    <w:rsid w:val="1A21388F"/>
    <w:rsid w:val="1A570D2F"/>
    <w:rsid w:val="203B3D71"/>
    <w:rsid w:val="23B50B24"/>
    <w:rsid w:val="28FB0B8D"/>
    <w:rsid w:val="2D2B7942"/>
    <w:rsid w:val="2D46481D"/>
    <w:rsid w:val="2E733B28"/>
    <w:rsid w:val="2F172E4F"/>
    <w:rsid w:val="31852B5A"/>
    <w:rsid w:val="32D01238"/>
    <w:rsid w:val="364B2EA2"/>
    <w:rsid w:val="3DCA649C"/>
    <w:rsid w:val="3DFC59A8"/>
    <w:rsid w:val="3EC11302"/>
    <w:rsid w:val="3ECF245E"/>
    <w:rsid w:val="3FB96314"/>
    <w:rsid w:val="451851EA"/>
    <w:rsid w:val="462908AA"/>
    <w:rsid w:val="48E674A9"/>
    <w:rsid w:val="50690DE6"/>
    <w:rsid w:val="534215C3"/>
    <w:rsid w:val="53A44FAF"/>
    <w:rsid w:val="594329EC"/>
    <w:rsid w:val="5A5F7173"/>
    <w:rsid w:val="5BEE1540"/>
    <w:rsid w:val="5D903810"/>
    <w:rsid w:val="5DE61A5D"/>
    <w:rsid w:val="5FD33F0B"/>
    <w:rsid w:val="63C04243"/>
    <w:rsid w:val="649C01C7"/>
    <w:rsid w:val="699A3F60"/>
    <w:rsid w:val="6B3A6CFA"/>
    <w:rsid w:val="7023260A"/>
    <w:rsid w:val="714040DC"/>
    <w:rsid w:val="72345E83"/>
    <w:rsid w:val="72902E62"/>
    <w:rsid w:val="73C61104"/>
    <w:rsid w:val="776452EA"/>
    <w:rsid w:val="7DC663B9"/>
    <w:rsid w:val="7FD2103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Calibri" w:hAnsi="Calibri" w:eastAsia="宋体" w:cs="黑体"/>
      <w:b/>
      <w:bCs/>
      <w:sz w:val="28"/>
      <w:szCs w:val="28"/>
    </w:rPr>
  </w:style>
  <w:style w:type="character" w:default="1" w:styleId="12">
    <w:name w:val="Default Paragraph Font"/>
    <w:unhideWhenUsed/>
    <w:uiPriority w:val="1"/>
  </w:style>
  <w:style w:type="table" w:default="1" w:styleId="13">
    <w:name w:val="Normal Table"/>
    <w:unhideWhenUsed/>
    <w:qFormat/>
    <w:uiPriority w:val="99"/>
    <w:pPr>
      <w:widowControl/>
      <w:spacing w:before="0" w:beforeAutospacing="0" w:after="0" w:afterAutospacing="0"/>
      <w:ind w:left="0" w:right="0"/>
    </w:pPr>
    <w:rPr>
      <w:rFonts w:hint="default" w:ascii="Calibri" w:hAnsi="Calibri" w:cs="Calibri"/>
      <w:kern w:val="2"/>
      <w:sz w:val="21"/>
      <w:szCs w:val="22"/>
    </w:rPr>
    <w:tblPr>
      <w:tblStyle w:val="13"/>
      <w:tblLayout w:type="fixed"/>
      <w:tblCellMar>
        <w:top w:w="0" w:type="dxa"/>
        <w:left w:w="108" w:type="dxa"/>
        <w:bottom w:w="0" w:type="dxa"/>
        <w:right w:w="108" w:type="dxa"/>
      </w:tblCellMar>
    </w:tblPr>
    <w:tcPr>
      <w:textDirection w:val="lrTb"/>
    </w:tcPr>
  </w:style>
  <w:style w:type="paragraph" w:styleId="6">
    <w:name w:val="Date"/>
    <w:basedOn w:val="1"/>
    <w:next w:val="1"/>
    <w:link w:val="32"/>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Cambria" w:hAnsi="Cambria" w:eastAsia="黑体" w:cs="黑体"/>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Cambria" w:hAnsi="Cambria" w:eastAsia="黑体" w:cs="黑体"/>
      <w:sz w:val="18"/>
      <w:szCs w:val="18"/>
    </w:rPr>
  </w:style>
  <w:style w:type="paragraph" w:styleId="10">
    <w:name w:val="Subtitle"/>
    <w:basedOn w:val="1"/>
    <w:next w:val="1"/>
    <w:link w:val="22"/>
    <w:qFormat/>
    <w:uiPriority w:val="11"/>
    <w:pPr>
      <w:widowControl/>
      <w:spacing w:after="200" w:line="276" w:lineRule="auto"/>
      <w:jc w:val="left"/>
    </w:pPr>
    <w:rPr>
      <w:rFonts w:ascii="Calibri" w:hAnsi="Calibri" w:eastAsia="宋体" w:cs="黑体"/>
      <w:i/>
      <w:iCs/>
      <w:color w:val="F0A22E"/>
      <w:spacing w:val="15"/>
      <w:kern w:val="0"/>
      <w:sz w:val="24"/>
    </w:rPr>
  </w:style>
  <w:style w:type="paragraph" w:styleId="11">
    <w:name w:val="Title"/>
    <w:basedOn w:val="1"/>
    <w:next w:val="1"/>
    <w:link w:val="21"/>
    <w:qFormat/>
    <w:uiPriority w:val="1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table" w:styleId="14">
    <w:name w:val="Table Grid"/>
    <w:basedOn w:val="13"/>
    <w:qFormat/>
    <w:uiPriority w:val="1"/>
    <w:pPr/>
    <w:rPr>
      <w:sz w:val="22"/>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5">
    <w:name w:val="No Spacing"/>
    <w:link w:val="19"/>
    <w:qFormat/>
    <w:uiPriority w:val="1"/>
    <w:pPr>
      <w:spacing w:after="160" w:line="480" w:lineRule="auto"/>
    </w:pPr>
    <w:rPr>
      <w:rFonts w:ascii="Cambria" w:hAnsi="Cambria" w:eastAsia="黑体" w:cs="黑体"/>
      <w:sz w:val="22"/>
      <w:szCs w:val="22"/>
      <w:lang w:val="en-US" w:eastAsia="zh-CN" w:bidi="ar-SA"/>
    </w:rPr>
  </w:style>
  <w:style w:type="paragraph" w:customStyle="1" w:styleId="16">
    <w:name w:val="List Paragraph"/>
    <w:basedOn w:val="1"/>
    <w:unhideWhenUsed/>
    <w:qFormat/>
    <w:uiPriority w:val="99"/>
    <w:pPr>
      <w:ind w:firstLine="420" w:firstLineChars="200"/>
    </w:pPr>
  </w:style>
  <w:style w:type="character" w:customStyle="1" w:styleId="17">
    <w:name w:val="页眉 Char"/>
    <w:basedOn w:val="12"/>
    <w:link w:val="9"/>
    <w:qFormat/>
    <w:uiPriority w:val="99"/>
    <w:rPr>
      <w:sz w:val="18"/>
      <w:szCs w:val="18"/>
    </w:rPr>
  </w:style>
  <w:style w:type="character" w:customStyle="1" w:styleId="18">
    <w:name w:val="页脚 Char"/>
    <w:basedOn w:val="12"/>
    <w:link w:val="8"/>
    <w:qFormat/>
    <w:uiPriority w:val="99"/>
    <w:rPr>
      <w:sz w:val="18"/>
      <w:szCs w:val="18"/>
    </w:rPr>
  </w:style>
  <w:style w:type="character" w:customStyle="1" w:styleId="19">
    <w:name w:val="无间隔 Char"/>
    <w:basedOn w:val="12"/>
    <w:link w:val="15"/>
    <w:qFormat/>
    <w:uiPriority w:val="1"/>
    <w:rPr>
      <w:kern w:val="0"/>
      <w:sz w:val="22"/>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标题 Char"/>
    <w:basedOn w:val="12"/>
    <w:link w:val="11"/>
    <w:qFormat/>
    <w:uiPriority w:val="10"/>
    <w:rPr>
      <w:rFonts w:ascii="Calibri" w:hAnsi="Calibri" w:eastAsia="宋体" w:cs="黑体"/>
      <w:color w:val="392B23"/>
      <w:spacing w:val="5"/>
      <w:kern w:val="28"/>
      <w:sz w:val="52"/>
      <w:szCs w:val="52"/>
    </w:rPr>
  </w:style>
  <w:style w:type="character" w:customStyle="1" w:styleId="22">
    <w:name w:val="副标题 Char"/>
    <w:basedOn w:val="12"/>
    <w:link w:val="10"/>
    <w:qFormat/>
    <w:uiPriority w:val="11"/>
    <w:rPr>
      <w:rFonts w:ascii="Calibri" w:hAnsi="Calibri" w:eastAsia="宋体" w:cs="黑体"/>
      <w:i/>
      <w:iCs/>
      <w:color w:val="F0A22E"/>
      <w:spacing w:val="15"/>
      <w:kern w:val="0"/>
      <w:sz w:val="24"/>
      <w:szCs w:val="24"/>
    </w:rPr>
  </w:style>
  <w:style w:type="character" w:customStyle="1" w:styleId="23">
    <w:name w:val="Style1"/>
    <w:basedOn w:val="12"/>
    <w:qFormat/>
    <w:uiPriority w:val="1"/>
    <w:rPr>
      <w:rFonts w:ascii="Cambria" w:hAnsi="黑体" w:eastAsia="黑体" w:cs="黑体"/>
      <w:sz w:val="22"/>
      <w:szCs w:val="22"/>
      <w:lang w:eastAsia="zh-CN"/>
    </w:rPr>
  </w:style>
  <w:style w:type="character" w:customStyle="1" w:styleId="24">
    <w:name w:val="Style2"/>
    <w:basedOn w:val="12"/>
    <w:qFormat/>
    <w:uiPriority w:val="1"/>
    <w:rPr>
      <w:rFonts w:ascii="Cambria" w:hAnsi="黑体" w:eastAsia="黑体" w:cs="黑体"/>
      <w:sz w:val="22"/>
      <w:szCs w:val="22"/>
      <w:lang w:eastAsia="zh-CN"/>
    </w:rPr>
  </w:style>
  <w:style w:type="character" w:customStyle="1" w:styleId="25">
    <w:name w:val="Style3"/>
    <w:basedOn w:val="12"/>
    <w:qFormat/>
    <w:uiPriority w:val="1"/>
    <w:rPr>
      <w:rFonts w:ascii="Cambria" w:hAnsi="黑体" w:eastAsia="黑体" w:cs="黑体"/>
      <w:szCs w:val="22"/>
      <w:lang w:eastAsia="zh-CN"/>
    </w:rPr>
  </w:style>
  <w:style w:type="character" w:customStyle="1" w:styleId="26">
    <w:name w:val="Style4"/>
    <w:basedOn w:val="12"/>
    <w:qFormat/>
    <w:uiPriority w:val="1"/>
    <w:rPr>
      <w:rFonts w:ascii="Cambria" w:hAnsi="黑体" w:eastAsia="黑体" w:cs="黑体"/>
      <w:szCs w:val="22"/>
      <w:lang w:eastAsia="zh-CN"/>
    </w:rPr>
  </w:style>
  <w:style w:type="character" w:customStyle="1" w:styleId="27">
    <w:name w:val="Style5"/>
    <w:basedOn w:val="12"/>
    <w:qFormat/>
    <w:uiPriority w:val="1"/>
    <w:rPr>
      <w:rFonts w:ascii="Cambria" w:hAnsi="黑体" w:eastAsia="黑体" w:cs="黑体"/>
      <w:sz w:val="22"/>
      <w:szCs w:val="22"/>
      <w:lang w:eastAsia="zh-CN"/>
    </w:rPr>
  </w:style>
  <w:style w:type="character" w:customStyle="1" w:styleId="28">
    <w:name w:val="标题 1 Char"/>
    <w:basedOn w:val="12"/>
    <w:link w:val="2"/>
    <w:qFormat/>
    <w:uiPriority w:val="9"/>
    <w:rPr>
      <w:rFonts w:ascii="Times New Roman" w:hAnsi="Times New Roman" w:eastAsia="宋体" w:cs="Times New Roman"/>
      <w:b/>
      <w:bCs/>
      <w:kern w:val="44"/>
      <w:sz w:val="44"/>
      <w:szCs w:val="44"/>
    </w:rPr>
  </w:style>
  <w:style w:type="character" w:customStyle="1" w:styleId="29">
    <w:name w:val="标题 2 Char"/>
    <w:basedOn w:val="12"/>
    <w:link w:val="3"/>
    <w:qFormat/>
    <w:uiPriority w:val="9"/>
    <w:rPr>
      <w:rFonts w:ascii="Calibri" w:hAnsi="Calibri" w:eastAsia="宋体" w:cs="黑体"/>
      <w:b/>
      <w:bCs/>
      <w:sz w:val="32"/>
      <w:szCs w:val="32"/>
    </w:rPr>
  </w:style>
  <w:style w:type="character" w:customStyle="1" w:styleId="30">
    <w:name w:val="标题 3 Char"/>
    <w:basedOn w:val="12"/>
    <w:link w:val="4"/>
    <w:qFormat/>
    <w:uiPriority w:val="9"/>
    <w:rPr>
      <w:rFonts w:ascii="Times New Roman" w:hAnsi="Times New Roman" w:eastAsia="宋体" w:cs="Times New Roman"/>
      <w:b/>
      <w:bCs/>
      <w:sz w:val="32"/>
      <w:szCs w:val="32"/>
    </w:rPr>
  </w:style>
  <w:style w:type="character" w:customStyle="1" w:styleId="31">
    <w:name w:val="标题 4 Char"/>
    <w:basedOn w:val="12"/>
    <w:link w:val="5"/>
    <w:qFormat/>
    <w:uiPriority w:val="9"/>
    <w:rPr>
      <w:rFonts w:ascii="Calibri" w:hAnsi="Calibri" w:eastAsia="宋体" w:cs="黑体"/>
      <w:b/>
      <w:bCs/>
      <w:sz w:val="28"/>
      <w:szCs w:val="28"/>
    </w:rPr>
  </w:style>
  <w:style w:type="character" w:customStyle="1" w:styleId="32">
    <w:name w:val="日期 Char"/>
    <w:basedOn w:val="12"/>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emf"/><Relationship Id="rId11" Type="http://schemas.openxmlformats.org/officeDocument/2006/relationships/oleObject" Target="embeddings/oleObject3.bin"/><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2021-05-27T02:44:31Z</dcterms:modified>
  <dc:subject>石家庄市xxx部门</dc:subject>
  <dc:title>2017年度部门决算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7B3318688D6C48DC9C8C348B197CD66B</vt:lpwstr>
  </property>
</Properties>
</file>