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CCE8CF [3212]" filled="t" stroked="f" coordsize="21600,21600" o:gfxdata="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1PB+2wAAAAsBAAAPAAAAAAAAAAEAIAAAACIAAABkcnMvZG93bnJldi54bWxQ&#10;SwECFAAUAAAACACHTuJANdyJg/QBAADVAwAADgAAAAAAAAABACAAAAAqAQAAZHJzL2Uyb0RvYy54&#10;bWxQSwUGAAAAAAYABgBZAQAAkA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CCE8C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CCE8C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highlight w:val="non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大城县农业农村局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8480;v-text-anchor:middle;mso-width-relative:page;mso-height-relative:page;" fillcolor="#FFD966" filled="t" stroked="t" coordsize="21600,21600" o:gfxdata="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kab9NoAAAAN&#10;AQAADwAAAAAAAAABACAAAAAiAAAAZHJzL2Rvd25yZXYueG1sUEsBAhQAFAAAAAgAh07iQFxli76M&#10;AgAALQUAAA4AAAAAAAAAAQAgAAAAKQEAAGRycy9lMm9Eb2MueG1sUEsFBgAAAAAGAAYAWQEAACcG&#10;AAAAAA==&#10;">
                <v:fill type="pattern" on="t" color2="#CCE8CF [3212]" o:title="5%" focussize="0,0" r:id="rId24"/>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统筹研究和组织实施全县“三农”工作的发展战略、中长期规划、重大政策。组织起草农业农村有关地方规范性文件草案。指导全县农业综合执法。参与涉农的财税、价格、收储、金融保险、进出口等政策制定。</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（二）协调推动发展全县农村社会事业、农村公共服务、农村文化、农村基础设施和乡村治理。牵头组织改善农村人居环境。协调推进乡村文明和优秀农耕文化建设。指导农业行业安全生产工作。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拟订县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指导全县乡村产业、农产品加工业和休闲农业发展工作。提出促进大宗农产品流通的建议，培育、保护农业品牌。发布农业农村经济信息，监测分析农业农村经济运行。承担农业统计和农业农村信息化有关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（五）负责全县种植业、畜牧业、渔业、</w:t>
      </w:r>
      <w:r>
        <w:rPr>
          <w:rFonts w:hint="eastAsia" w:ascii="仿宋_GB2312" w:hAnsi="仿宋" w:eastAsia="仿宋_GB2312"/>
          <w:sz w:val="32"/>
          <w:szCs w:val="32"/>
          <w:lang w:eastAsia="zh-CN"/>
        </w:rPr>
        <w:t>农垦、</w:t>
      </w:r>
      <w:r>
        <w:rPr>
          <w:rFonts w:hint="eastAsia" w:ascii="仿宋_GB2312" w:hAnsi="仿宋" w:eastAsia="仿宋_GB2312"/>
          <w:sz w:val="32"/>
          <w:szCs w:val="32"/>
        </w:rPr>
        <w:t>农业机械化等农业各产业的监督管理。指导粮、棉、油、菜、水果、肉、蛋、奶、蜜、渔等农产品生产。组织构建现代农业产业体系、生产体系、经营体系，指导农业标准化生产。负责渔业</w:t>
      </w:r>
      <w:r>
        <w:rPr>
          <w:rFonts w:hint="eastAsia" w:ascii="仿宋_GB2312" w:hAnsi="仿宋" w:eastAsia="仿宋_GB2312"/>
          <w:sz w:val="32"/>
          <w:szCs w:val="32"/>
          <w:lang w:eastAsia="zh-CN"/>
        </w:rPr>
        <w:t>渔政</w:t>
      </w:r>
      <w:r>
        <w:rPr>
          <w:rFonts w:hint="eastAsia" w:ascii="仿宋_GB2312" w:hAnsi="仿宋" w:eastAsia="仿宋_GB2312"/>
          <w:sz w:val="32"/>
          <w:szCs w:val="32"/>
        </w:rPr>
        <w:t>监督管理。</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（六）负责全县农产品质量安全监督管理。组织开展农产品质量安全监测、追溯、风险评估和监督抽查。参与制定农产品质量安全地方标准并会同有关部门组织实施。指导农业检验检测体系建设。</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负责全县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负责有关农业生产资料和农业投入品的监督管理。组织农业生产资料市场体系建设，拟订有关农业生产资料县级标准并监督实施。制定兽药残留限量和残留检测方法县级标准并按规定发布。组织兽医医政、兽药药政药检工作，负责执业兽医和畜禽屠宰行业管理。</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（九）负责农业防灾减灾、农作物重大病虫害预测预报及防治工作。指导动植物防疫检疫体系建设，组织、监督县内动植物防疫检疫工作，依法发布疫情并组织扑灭。</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负责农业投资管理。提出农业投融资体制机制改革建议。编制县级投资安排的农业投资项目建设规划，提出农业投资规模和方向、扶持农业农村发展财政项目的建议，按规定权限审批农业投资项目，负责农业投资项目资金安排和监督管理。</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（十二）指导农业农村人才工作。拟订农业农村人才队伍建设规划并组织实施，指导农业教育和农业职业技能开发，指导新型职业农民培育、农业科技人才培养和农村实用人才培训工作。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（十三）牵头开展农业对外合作工作。承办政府间农业涉外事务，组织开展对外农业贸易和有关国际交流合作，具体执行有关农业援外项目。</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（十四）完成县委、县政府和县委农村工作领导小组交办的其他任务。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大城县农业农村局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3"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950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950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7052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70528;v-text-anchor:middle;mso-width-relative:page;mso-height-relative:page;" fillcolor="#FFD966" filled="t" stroked="t" coordsize="21600,21600" o:gfxdata="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4hSavbAAAACwEAAA8AAAAAAAAAAQAg&#10;AAAAIgAAAGRycy9kb3ducmV2LnhtbFBLAQIUABQAAAAIAIdO4kD9/3bUfQIAAAgFAAAOAAAAAAAA&#10;AAEAIAAAACoBAABkcnMvZTJvRG9jLnhtbFBLBQYAAAAABgAGAFkBAAAZBgAAAAA=&#10;">
                <v:fill type="pattern" on="t" color2="#CCE8CF [3212]" o:title="5%" focussize="0,0" r:id="rId2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w:t>
      </w:r>
      <w:r>
        <w:rPr>
          <w:rFonts w:hint="eastAsia" w:ascii="仿宋_GB2312" w:hAnsi="Times New Roman" w:eastAsia="仿宋_GB2312" w:cs="DengXian-Regular"/>
          <w:sz w:val="32"/>
          <w:szCs w:val="32"/>
          <w:lang w:eastAsia="zh-CN"/>
        </w:rPr>
        <w:t>入总计</w:t>
      </w:r>
      <w:r>
        <w:rPr>
          <w:rFonts w:hint="eastAsia" w:ascii="仿宋_GB2312" w:hAnsi="Times New Roman" w:eastAsia="仿宋_GB2312" w:cs="DengXian-Regular"/>
          <w:sz w:val="32"/>
          <w:szCs w:val="32"/>
        </w:rPr>
        <w:t>（含结转和结余）</w:t>
      </w:r>
      <w:r>
        <w:rPr>
          <w:rFonts w:hint="eastAsia" w:ascii="仿宋_GB2312" w:hAnsi="Times New Roman" w:eastAsia="仿宋_GB2312" w:cs="DengXian-Regular"/>
          <w:sz w:val="32"/>
          <w:szCs w:val="32"/>
          <w:lang w:val="en-US" w:eastAsia="zh-CN"/>
        </w:rPr>
        <w:t>29710.67万元，</w:t>
      </w:r>
      <w:r>
        <w:rPr>
          <w:rFonts w:hint="eastAsia" w:ascii="仿宋_GB2312" w:hAnsi="Times New Roman" w:eastAsia="仿宋_GB2312" w:cs="DengXian-Regular"/>
          <w:sz w:val="32"/>
          <w:szCs w:val="32"/>
        </w:rPr>
        <w:t>支</w:t>
      </w:r>
      <w:r>
        <w:rPr>
          <w:rFonts w:hint="eastAsia" w:ascii="仿宋_GB2312" w:hAnsi="Times New Roman" w:eastAsia="仿宋_GB2312" w:cs="DengXian-Regular"/>
          <w:sz w:val="32"/>
          <w:szCs w:val="32"/>
          <w:lang w:eastAsia="zh-CN"/>
        </w:rPr>
        <w:t>出</w:t>
      </w:r>
      <w:r>
        <w:rPr>
          <w:rFonts w:hint="eastAsia" w:ascii="仿宋_GB2312" w:hAnsi="Times New Roman" w:eastAsia="仿宋_GB2312" w:cs="DengXian-Regular"/>
          <w:sz w:val="32"/>
          <w:szCs w:val="32"/>
        </w:rPr>
        <w:t>总计（含结转和结余）</w:t>
      </w:r>
      <w:r>
        <w:rPr>
          <w:rFonts w:hint="eastAsia" w:ascii="仿宋_GB2312" w:hAnsi="Times New Roman" w:eastAsia="仿宋_GB2312" w:cs="DengXian-Regular"/>
          <w:sz w:val="32"/>
          <w:szCs w:val="32"/>
          <w:lang w:val="en-US" w:eastAsia="zh-CN"/>
        </w:rPr>
        <w:t>29710.67</w:t>
      </w:r>
      <w:r>
        <w:rPr>
          <w:rFonts w:hint="eastAsia" w:ascii="仿宋_GB2312" w:hAnsi="Times New Roman" w:eastAsia="仿宋_GB2312" w:cs="DengXian-Regular"/>
          <w:sz w:val="32"/>
          <w:szCs w:val="32"/>
        </w:rPr>
        <w:t>万元。与2018年度决算相比，收</w:t>
      </w:r>
      <w:r>
        <w:rPr>
          <w:rFonts w:hint="eastAsia" w:ascii="仿宋_GB2312" w:hAnsi="Times New Roman" w:eastAsia="仿宋_GB2312" w:cs="DengXian-Regular"/>
          <w:sz w:val="32"/>
          <w:szCs w:val="32"/>
          <w:lang w:eastAsia="zh-CN"/>
        </w:rPr>
        <w:t>入总计增加</w:t>
      </w:r>
      <w:r>
        <w:rPr>
          <w:rFonts w:hint="eastAsia" w:ascii="仿宋_GB2312" w:hAnsi="Times New Roman" w:eastAsia="仿宋_GB2312" w:cs="DengXian-Regular"/>
          <w:sz w:val="32"/>
          <w:szCs w:val="32"/>
          <w:lang w:val="en-US" w:eastAsia="zh-CN"/>
        </w:rPr>
        <w:t>7978.43万元</w:t>
      </w:r>
      <w:r>
        <w:rPr>
          <w:rFonts w:hint="eastAsia" w:ascii="仿宋_GB2312" w:hAnsi="Times New Roman" w:eastAsia="仿宋_GB2312" w:cs="DengXian-Regular"/>
          <w:sz w:val="32"/>
          <w:szCs w:val="32"/>
        </w:rPr>
        <w:t>（含结转和结余），增长</w:t>
      </w:r>
      <w:r>
        <w:rPr>
          <w:rFonts w:hint="eastAsia" w:ascii="仿宋_GB2312" w:hAnsi="Times New Roman" w:eastAsia="仿宋_GB2312" w:cs="DengXian-Regular"/>
          <w:sz w:val="32"/>
          <w:szCs w:val="32"/>
          <w:lang w:val="en-US" w:eastAsia="zh-CN"/>
        </w:rPr>
        <w:t>26.85</w:t>
      </w:r>
      <w:r>
        <w:rPr>
          <w:rFonts w:hint="eastAsia" w:ascii="仿宋_GB2312" w:hAnsi="Times New Roman" w:eastAsia="仿宋_GB2312" w:cs="DengXian-Regular"/>
          <w:sz w:val="32"/>
          <w:szCs w:val="32"/>
        </w:rPr>
        <w:t>%，支</w:t>
      </w:r>
      <w:r>
        <w:rPr>
          <w:rFonts w:hint="eastAsia" w:ascii="仿宋_GB2312" w:hAnsi="Times New Roman" w:eastAsia="仿宋_GB2312" w:cs="DengXian-Regular"/>
          <w:sz w:val="32"/>
          <w:szCs w:val="32"/>
          <w:lang w:eastAsia="zh-CN"/>
        </w:rPr>
        <w:t>出总计</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7978.43</w:t>
      </w:r>
      <w:r>
        <w:rPr>
          <w:rFonts w:hint="eastAsia" w:ascii="仿宋_GB2312" w:hAnsi="Times New Roman" w:eastAsia="仿宋_GB2312" w:cs="DengXian-Regular"/>
          <w:sz w:val="32"/>
          <w:szCs w:val="32"/>
        </w:rPr>
        <w:t>万元（含结转和结余）</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增长</w:t>
      </w:r>
      <w:r>
        <w:rPr>
          <w:rFonts w:hint="eastAsia" w:ascii="仿宋_GB2312" w:hAnsi="Times New Roman" w:eastAsia="仿宋_GB2312" w:cs="DengXian-Regular"/>
          <w:sz w:val="32"/>
          <w:szCs w:val="32"/>
          <w:lang w:val="en-US" w:eastAsia="zh-CN"/>
        </w:rPr>
        <w:t>26.85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机构改革项目资金增加</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19880.34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19880.34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r>
        <w:rPr>
          <w:rFonts w:hint="eastAsia" w:ascii="仿宋_GB2312" w:hAnsi="Times New Roman" w:eastAsia="仿宋_GB2312" w:cs="DengXian-Regular"/>
          <w:sz w:val="32"/>
          <w:szCs w:val="32"/>
          <w:lang w:eastAsia="zh-CN"/>
        </w:rPr>
        <w:t>：</w:t>
      </w:r>
    </w:p>
    <w:p>
      <w:pPr>
        <w:jc w:val="center"/>
        <w:rPr>
          <w:rFonts w:hint="eastAsia" w:ascii="黑体" w:hAnsi="Calibri" w:eastAsia="黑体" w:cs="Times New Roman"/>
          <w:sz w:val="32"/>
          <w:szCs w:val="32"/>
        </w:rPr>
      </w:pPr>
      <w:r>
        <w:rPr>
          <w:rFonts w:hint="eastAsia" w:ascii="黑体" w:hAnsi="黑体" w:eastAsia="黑体" w:cs="黑体"/>
          <w:sz w:val="56"/>
          <w:szCs w:val="72"/>
          <w:lang w:eastAsia="zh-CN"/>
        </w:rPr>
        <w:drawing>
          <wp:inline distT="0" distB="0" distL="114300" distR="114300">
            <wp:extent cx="5080000" cy="3429000"/>
            <wp:effectExtent l="4445" t="4445" r="20955" b="1460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hint="eastAsia" w:ascii="黑体" w:hAnsi="黑体" w:eastAsia="黑体" w:cs="黑体"/>
          <w:sz w:val="56"/>
          <w:szCs w:val="72"/>
          <w:lang w:val="en-US" w:eastAsia="zh-CN"/>
        </w:rPr>
        <w:t xml:space="preserve">  </w:t>
      </w:r>
      <w:r>
        <w:rPr>
          <w:rFonts w:eastAsia="仿宋_GB2312"/>
          <w:sz w:val="32"/>
          <w:szCs w:val="32"/>
        </w:rPr>
        <w:t>图1：收入决算结构饼状图</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20751.16</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3580.35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17.25</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17170.81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82.75</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anchor distT="0" distB="0" distL="114300" distR="114300" simplePos="0" relativeHeight="251674624" behindDoc="0" locked="0" layoutInCell="1" allowOverlap="1">
            <wp:simplePos x="0" y="0"/>
            <wp:positionH relativeFrom="column">
              <wp:posOffset>408940</wp:posOffset>
            </wp:positionH>
            <wp:positionV relativeFrom="paragraph">
              <wp:posOffset>180340</wp:posOffset>
            </wp:positionV>
            <wp:extent cx="5080000" cy="3810000"/>
            <wp:effectExtent l="4445" t="4445" r="20955" b="14605"/>
            <wp:wrapSquare wrapText="bothSides"/>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0" w:firstLineChars="200"/>
        <w:jc w:val="center"/>
        <w:outlineLvl w:val="1"/>
        <w:rPr>
          <w:rFonts w:eastAsia="仿宋_GB2312"/>
          <w:sz w:val="32"/>
          <w:szCs w:val="32"/>
        </w:rPr>
      </w:pPr>
      <w:r>
        <w:rPr>
          <w:rFonts w:eastAsia="仿宋_GB2312"/>
          <w:sz w:val="32"/>
          <w:szCs w:val="32"/>
        </w:rPr>
        <w:t>图2：支出决算结构饼状图</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lang w:eastAsia="zh-CN"/>
        </w:rPr>
        <w:t>四</w:t>
      </w:r>
      <w:r>
        <w:rPr>
          <w:rFonts w:hint="eastAsia" w:ascii="黑体" w:hAnsi="Calibri" w:eastAsia="黑体" w:cs="Times New Roman"/>
          <w:sz w:val="32"/>
          <w:szCs w:val="32"/>
        </w:rPr>
        <w:t>、</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19880.34</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3119.42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15.69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机构改革项目增加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20751.16</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4922.18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23.72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机构改革项目增加，人员增加</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19780.34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4538.64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22.94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机构改革项目增加，人员增加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19671.56</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5324.9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27.07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机构改革项目支出增加，人员及公用支出增加</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1419.22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1419.22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基金收入减少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1079.6</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402.72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37.3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基金收入减少安排项目资金支出减少</w:t>
      </w:r>
      <w:r>
        <w:rPr>
          <w:rFonts w:hint="eastAsia" w:ascii="仿宋_GB2312" w:hAnsi="Times New Roman" w:eastAsia="仿宋_GB2312" w:cs="DengXian-Regular"/>
          <w:sz w:val="32"/>
          <w:szCs w:val="32"/>
        </w:rPr>
        <w:t>。</w:t>
      </w:r>
    </w:p>
    <w:p>
      <w:pPr>
        <w:snapToGrid w:val="0"/>
        <w:spacing w:line="580" w:lineRule="exact"/>
        <w:ind w:firstLine="640" w:firstLineChars="200"/>
        <w:rPr>
          <w:rFonts w:hint="eastAsia" w:ascii="楷体_GB2312" w:hAnsi="Times New Roman" w:eastAsia="楷体_GB2312" w:cs="DengXian-Bold"/>
          <w:b/>
          <w:bCs/>
          <w:sz w:val="32"/>
          <w:szCs w:val="32"/>
        </w:rPr>
      </w:pPr>
      <w:r>
        <w:rPr>
          <w:rFonts w:ascii="仿宋_GB2312" w:eastAsia="仿宋_GB2312" w:cs="DengXian-Regular"/>
          <w:sz w:val="32"/>
          <w:szCs w:val="32"/>
        </w:rPr>
        <w:drawing>
          <wp:anchor distT="0" distB="0" distL="0" distR="0" simplePos="0" relativeHeight="251676672" behindDoc="0" locked="0" layoutInCell="1" allowOverlap="1">
            <wp:simplePos x="0" y="0"/>
            <wp:positionH relativeFrom="column">
              <wp:posOffset>347345</wp:posOffset>
            </wp:positionH>
            <wp:positionV relativeFrom="paragraph">
              <wp:posOffset>200660</wp:posOffset>
            </wp:positionV>
            <wp:extent cx="5486400" cy="4375150"/>
            <wp:effectExtent l="4445" t="4445" r="14605" b="20955"/>
            <wp:wrapSquare wrapText="bothSides"/>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0" w:firstLineChars="200"/>
        <w:jc w:val="center"/>
        <w:rPr>
          <w:rFonts w:hint="eastAsia" w:ascii="楷体_GB2312" w:hAnsi="Times New Roman" w:eastAsia="楷体_GB2312" w:cs="DengXian-Bold"/>
          <w:b/>
          <w:bCs/>
          <w:sz w:val="32"/>
          <w:szCs w:val="32"/>
        </w:rPr>
      </w:pPr>
      <w:r>
        <w:rPr>
          <w:rFonts w:hint="eastAsia" w:eastAsia="仿宋_GB2312"/>
          <w:sz w:val="32"/>
          <w:szCs w:val="32"/>
        </w:rPr>
        <w:t>图</w:t>
      </w:r>
      <w:r>
        <w:rPr>
          <w:rFonts w:hint="eastAsia" w:eastAsia="仿宋_GB2312"/>
          <w:sz w:val="32"/>
          <w:szCs w:val="32"/>
          <w:lang w:eastAsia="zh-CN"/>
        </w:rPr>
        <w:t>图</w:t>
      </w:r>
      <w:r>
        <w:rPr>
          <w:rFonts w:hint="eastAsia" w:eastAsia="仿宋_GB2312"/>
          <w:sz w:val="32"/>
          <w:szCs w:val="32"/>
        </w:rPr>
        <w:t>3：财政拨款收支情况</w:t>
      </w: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19880.34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144.27</w:t>
      </w:r>
      <w:r>
        <w:rPr>
          <w:rFonts w:hint="eastAsia" w:ascii="仿宋_GB2312" w:hAnsi="Times New Roman" w:eastAsia="仿宋_GB2312" w:cs="DengXian-Regular"/>
          <w:sz w:val="32"/>
          <w:szCs w:val="32"/>
        </w:rPr>
        <w:t>%（如图4）,比年初预算增加</w:t>
      </w:r>
      <w:r>
        <w:rPr>
          <w:rFonts w:hint="eastAsia" w:ascii="仿宋_GB2312" w:hAnsi="Times New Roman" w:eastAsia="仿宋_GB2312" w:cs="DengXian-Regular"/>
          <w:sz w:val="32"/>
          <w:szCs w:val="32"/>
          <w:lang w:val="en-US" w:eastAsia="zh-CN"/>
        </w:rPr>
        <w:t>6100.31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机构改革项目增加，下达专款增加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20751.16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150.59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6971.13</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机构改革项目支出增加，下达专款支出增加</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154.17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6950.31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机构改革项目增加，下达专款增加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153.32</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6841.53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机构改革项目支出增加，下达专款支出增加</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10.53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850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政府基金安排项目收入减少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113.64</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129.6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上年结转资金支出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ascii="仿宋_GB2312" w:eastAsia="仿宋_GB2312" w:cs="DengXian-Regular"/>
          <w:sz w:val="32"/>
          <w:szCs w:val="32"/>
        </w:rPr>
        <w:drawing>
          <wp:anchor distT="0" distB="0" distL="0" distR="0" simplePos="0" relativeHeight="251677696" behindDoc="0" locked="0" layoutInCell="1" allowOverlap="1">
            <wp:simplePos x="0" y="0"/>
            <wp:positionH relativeFrom="column">
              <wp:posOffset>394970</wp:posOffset>
            </wp:positionH>
            <wp:positionV relativeFrom="paragraph">
              <wp:posOffset>124460</wp:posOffset>
            </wp:positionV>
            <wp:extent cx="5486400" cy="3200400"/>
            <wp:effectExtent l="4445" t="4445" r="14605" b="14605"/>
            <wp:wrapSquare wrapText="bothSides"/>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after="0" w:line="240" w:lineRule="auto"/>
        <w:jc w:val="center"/>
        <w:rPr>
          <w:rFonts w:ascii="仿宋_GB2312" w:eastAsia="仿宋_GB2312" w:cs="DengXian-Regular"/>
          <w:sz w:val="24"/>
        </w:rPr>
      </w:pPr>
      <w:r>
        <w:rPr>
          <w:rFonts w:hint="eastAsia" w:eastAsia="仿宋_GB2312"/>
          <w:sz w:val="32"/>
          <w:szCs w:val="32"/>
        </w:rPr>
        <w:t>图4：财政拨款收支预决算对比情况</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20751.16</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19.83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%，；科学技术（类）支出</w:t>
      </w:r>
      <w:r>
        <w:rPr>
          <w:rFonts w:hint="eastAsia" w:ascii="仿宋_GB2312" w:hAnsi="Times New Roman" w:eastAsia="仿宋_GB2312" w:cs="DengXian-Regular"/>
          <w:sz w:val="32"/>
          <w:szCs w:val="32"/>
          <w:lang w:val="en-US" w:eastAsia="zh-CN"/>
        </w:rPr>
        <w:t>140</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0.67</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214.68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卫生健康支出</w:t>
      </w:r>
      <w:r>
        <w:rPr>
          <w:rFonts w:hint="eastAsia" w:ascii="仿宋_GB2312" w:hAnsi="Times New Roman" w:eastAsia="仿宋_GB2312" w:cs="DengXian-Regular"/>
          <w:sz w:val="32"/>
          <w:szCs w:val="32"/>
          <w:lang w:val="en-US" w:eastAsia="zh-CN"/>
        </w:rPr>
        <w:t>79.13万元，占0.38%；节能环保支出2564.63万元，占12.36%；城乡社区支出1045万元，占5.04%；农林水支出16645.15万元，占80.21%；</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6.72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灾害防治及应急管理支出</w:t>
      </w:r>
      <w:r>
        <w:rPr>
          <w:rFonts w:hint="eastAsia" w:ascii="仿宋_GB2312" w:hAnsi="Times New Roman" w:eastAsia="仿宋_GB2312" w:cs="DengXian-Regular"/>
          <w:sz w:val="32"/>
          <w:szCs w:val="32"/>
          <w:lang w:val="en-US" w:eastAsia="zh-CN"/>
        </w:rPr>
        <w:t>1.41万元，占0.01%；其他支出34.6万元，占0.17%</w:t>
      </w:r>
      <w:r>
        <w:rPr>
          <w:rFonts w:hint="eastAsia" w:ascii="仿宋_GB2312" w:hAnsi="Times New Roman" w:eastAsia="仿宋_GB2312" w:cs="DengXian-Regular"/>
          <w:sz w:val="32"/>
          <w:szCs w:val="32"/>
        </w:rPr>
        <w:t>。</w:t>
      </w:r>
    </w:p>
    <w:p>
      <w:pPr>
        <w:adjustRightInd w:val="0"/>
        <w:snapToGrid w:val="0"/>
        <w:spacing w:line="580" w:lineRule="exact"/>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lang w:eastAsia="zh-CN"/>
        </w:rPr>
        <w:drawing>
          <wp:anchor distT="0" distB="0" distL="114300" distR="114300" simplePos="0" relativeHeight="251675648" behindDoc="0" locked="0" layoutInCell="1" allowOverlap="1">
            <wp:simplePos x="0" y="0"/>
            <wp:positionH relativeFrom="column">
              <wp:posOffset>184785</wp:posOffset>
            </wp:positionH>
            <wp:positionV relativeFrom="paragraph">
              <wp:posOffset>164465</wp:posOffset>
            </wp:positionV>
            <wp:extent cx="5603240" cy="5396865"/>
            <wp:effectExtent l="4445" t="4445" r="12065" b="8890"/>
            <wp:wrapSquare wrapText="bothSides"/>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adjustRightInd w:val="0"/>
        <w:snapToGrid w:val="0"/>
        <w:spacing w:line="580" w:lineRule="exact"/>
        <w:ind w:left="420" w:leftChars="200"/>
        <w:jc w:val="center"/>
        <w:rPr>
          <w:rFonts w:hint="eastAsia" w:ascii="楷体_GB2312" w:hAnsi="Times New Roman"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3580.35</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3253.98</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326.36</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24.6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92.48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厉行节约，压减三公经费支出</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12.89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34.38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机构改革，压缩三公经费支出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hint="eastAsia" w:ascii="仿宋_GB2312" w:hAnsi="Times New Roman" w:eastAsia="仿宋_GB2312" w:cs="DengXian-Regular"/>
          <w:sz w:val="32"/>
          <w:szCs w:val="32"/>
          <w:highlight w:val="none"/>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000000"/>
          <w:sz w:val="32"/>
          <w:szCs w:val="32"/>
          <w:highlight w:val="none"/>
        </w:rPr>
        <w:t>与年初预算持平</w:t>
      </w:r>
      <w:r>
        <w:rPr>
          <w:rFonts w:hint="eastAsia" w:ascii="仿宋_GB2312" w:hAnsi="Times New Roman" w:eastAsia="仿宋_GB2312" w:cs="DengXian-Regular"/>
          <w:sz w:val="32"/>
          <w:szCs w:val="32"/>
          <w:highlight w:val="none"/>
        </w:rPr>
        <w:t>；较上年增加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w:t>
      </w:r>
      <w:r>
        <w:rPr>
          <w:rFonts w:hint="eastAsia" w:ascii="仿宋_GB2312" w:hAnsi="Times New Roman" w:eastAsia="仿宋_GB2312" w:cs="DengXian-Regular"/>
          <w:color w:val="000000"/>
          <w:sz w:val="32"/>
          <w:szCs w:val="32"/>
          <w:highlight w:val="none"/>
        </w:rPr>
        <w:t>与2018年度决算支出持平</w:t>
      </w:r>
      <w:r>
        <w:rPr>
          <w:rFonts w:hint="eastAsia" w:ascii="仿宋_GB2312" w:hAnsi="Times New Roman" w:eastAsia="仿宋_GB2312" w:cs="DengXian-Regular"/>
          <w:sz w:val="32"/>
          <w:szCs w:val="32"/>
          <w:highlight w:val="none"/>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24.29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1.12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厉行节约，压减支出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1.16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4.56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厉行节约，压减支出</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highlight w:val="none"/>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highlight w:val="none"/>
        </w:rPr>
        <w:t>；较上年增加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w:t>
      </w:r>
      <w:r>
        <w:rPr>
          <w:rFonts w:hint="eastAsia" w:ascii="仿宋_GB2312" w:hAnsi="Times New Roman" w:eastAsia="仿宋_GB2312" w:cs="DengXian-Regular"/>
          <w:color w:val="000000"/>
          <w:sz w:val="32"/>
          <w:szCs w:val="32"/>
          <w:highlight w:val="none"/>
        </w:rPr>
        <w:t>与2018年度决算支出持平</w:t>
      </w:r>
      <w:r>
        <w:rPr>
          <w:rFonts w:hint="eastAsia" w:ascii="仿宋_GB2312" w:hAnsi="Times New Roman" w:eastAsia="仿宋_GB2312" w:cs="DengXian-Regular"/>
          <w:sz w:val="32"/>
          <w:szCs w:val="32"/>
          <w:highlight w:val="none"/>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1.21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4.39</w:t>
      </w:r>
      <w:r>
        <w:rPr>
          <w:rFonts w:hint="eastAsia" w:ascii="仿宋_GB2312" w:hAnsi="Times New Roman" w:eastAsia="仿宋_GB2312" w:cs="DengXian-Regular"/>
          <w:sz w:val="32"/>
          <w:szCs w:val="32"/>
        </w:rPr>
        <w:t>%,主要是</w:t>
      </w:r>
      <w:r>
        <w:rPr>
          <w:rFonts w:hint="eastAsia" w:eastAsia="仿宋_GB2312"/>
          <w:b w:val="0"/>
          <w:bCs w:val="0"/>
          <w:color w:val="000000" w:themeColor="text1"/>
          <w:sz w:val="32"/>
          <w:szCs w:val="32"/>
          <w14:textFill>
            <w14:solidFill>
              <w14:schemeClr w14:val="tx1"/>
            </w14:solidFill>
          </w14:textFill>
        </w:rPr>
        <w:t>严格公车使用和管理</w:t>
      </w:r>
      <w:r>
        <w:rPr>
          <w:rFonts w:hint="eastAsia" w:ascii="仿宋_GB2312" w:hAnsi="Times New Roman" w:eastAsia="仿宋_GB2312" w:cs="DengXian-Regular"/>
          <w:sz w:val="32"/>
          <w:szCs w:val="32"/>
          <w:lang w:eastAsia="zh-CN"/>
        </w:rPr>
        <w:t>，压减公务用车运行维护费支出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1.16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4.56</w:t>
      </w:r>
      <w:r>
        <w:rPr>
          <w:rFonts w:hint="eastAsia" w:ascii="仿宋_GB2312" w:hAnsi="Times New Roman" w:eastAsia="仿宋_GB2312" w:cs="DengXian-Regular"/>
          <w:sz w:val="32"/>
          <w:szCs w:val="32"/>
        </w:rPr>
        <w:t>%，主要是</w:t>
      </w:r>
      <w:r>
        <w:rPr>
          <w:rFonts w:hint="eastAsia" w:eastAsia="仿宋_GB2312"/>
          <w:b w:val="0"/>
          <w:bCs w:val="0"/>
          <w:color w:val="000000" w:themeColor="text1"/>
          <w:sz w:val="32"/>
          <w:szCs w:val="32"/>
          <w14:textFill>
            <w14:solidFill>
              <w14:schemeClr w14:val="tx1"/>
            </w14:solidFill>
          </w14:textFill>
        </w:rPr>
        <w:t>严格公车使用和管理</w:t>
      </w:r>
      <w:r>
        <w:rPr>
          <w:rFonts w:hint="eastAsia" w:ascii="仿宋_GB2312" w:hAnsi="Times New Roman" w:eastAsia="仿宋_GB2312" w:cs="DengXian-Regular"/>
          <w:sz w:val="32"/>
          <w:szCs w:val="32"/>
          <w:lang w:eastAsia="zh-CN"/>
        </w:rPr>
        <w:t>，压减公务用车运行维护费支出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0.31</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42</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0.79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71.82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厉行节约，减少公务接待费支出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0.33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51.56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厉行节约，减少公务接待费支出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根据预算绩效管理要求，本部门组织对2019年度一般公共预算项目支出全面开展绩效自评，一般公共预算项目</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16091.2</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。组织对农业综合开发高标准农田建设项目县级配套资金等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1079.6</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。从评价情况来看，</w:t>
      </w:r>
      <w:r>
        <w:rPr>
          <w:rFonts w:hint="eastAsia" w:ascii="仿宋_GB2312" w:hAnsi="仿宋_GB2312" w:eastAsia="仿宋_GB2312" w:cs="仿宋_GB2312"/>
          <w:sz w:val="32"/>
          <w:szCs w:val="32"/>
          <w:lang w:eastAsia="zh-CN"/>
        </w:rPr>
        <w:t>项目整体性及延续性得到认可，项目补贴资金的标准及发放群体收到评价机构关注，希望能达到更好的效果。</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动物防疫等补助项目</w:t>
      </w:r>
      <w:r>
        <w:rPr>
          <w:rFonts w:hint="eastAsia" w:ascii="仿宋_GB2312" w:hAnsi="仿宋_GB2312" w:eastAsia="仿宋_GB2312" w:cs="仿宋_GB2312"/>
          <w:sz w:val="32"/>
          <w:szCs w:val="32"/>
        </w:rPr>
        <w:t>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动物防疫等补助项目绩效自评综述：根据年初设定的绩效目标，动物防疫等补助项目绩效自评得分为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eastAsia="仿宋_GB2312" w:cs="仿宋_GB2312"/>
          <w:sz w:val="32"/>
          <w:szCs w:val="32"/>
          <w:lang w:val="en-US" w:eastAsia="zh-CN"/>
        </w:rPr>
        <w:t>（绩效自评表附后）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197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口蹄疫、高致病性禽流感、小反刍兽疫等强制免疫病种应免畜禽的免疫密度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%以上，平均抗体合格率常年保持80%以上；</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养殖环节收集的病死猪100%进行无害化处理</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养殖环节无害化处理资金发放率100%。发现的主要问题及原因：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。下一步改进措施：进一步加强预算资金管理，减少预算资金使用的随意性，对预算的事前、事中、事后进行全过程控制，加大对预算编制与执行的监督管理力度，提高预算资金使用效率。</w:t>
      </w:r>
    </w:p>
    <w:p>
      <w:pPr>
        <w:pStyle w:val="2"/>
        <w:rPr>
          <w:rFonts w:hint="eastAsia" w:ascii="仿宋_GB2312" w:hAnsi="仿宋_GB2312" w:eastAsia="仿宋_GB2312" w:cs="仿宋_GB2312"/>
          <w:sz w:val="32"/>
          <w:szCs w:val="32"/>
        </w:rPr>
      </w:pPr>
    </w:p>
    <w:tbl>
      <w:tblPr>
        <w:tblStyle w:val="7"/>
        <w:tblW w:w="10545" w:type="dxa"/>
        <w:tblInd w:w="-10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0"/>
        <w:gridCol w:w="480"/>
        <w:gridCol w:w="486"/>
        <w:gridCol w:w="1059"/>
        <w:gridCol w:w="848"/>
        <w:gridCol w:w="1134"/>
        <w:gridCol w:w="126"/>
        <w:gridCol w:w="1447"/>
        <w:gridCol w:w="1065"/>
        <w:gridCol w:w="480"/>
        <w:gridCol w:w="450"/>
        <w:gridCol w:w="705"/>
        <w:gridCol w:w="306"/>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69" w:type="dxa"/>
          <w:trHeight w:val="374" w:hRule="atLeast"/>
        </w:trPr>
        <w:tc>
          <w:tcPr>
            <w:tcW w:w="9876" w:type="dxa"/>
            <w:gridSpan w:val="13"/>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10545" w:type="dxa"/>
            <w:gridSpan w:val="14"/>
            <w:tcBorders>
              <w:top w:val="nil"/>
              <w:left w:val="nil"/>
              <w:bottom w:val="nil"/>
              <w:right w:val="nil"/>
              <w:tl2br w:val="nil"/>
              <w:tr2bl w:val="nil"/>
            </w:tcBorders>
            <w:vAlign w:val="top"/>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ascii="仿宋" w:eastAsia="仿宋"/>
                <w:kern w:val="0"/>
                <w:sz w:val="20"/>
                <w:szCs w:val="20"/>
              </w:rPr>
              <w:t>2019</w:t>
            </w:r>
            <w:r>
              <w:rPr>
                <w:rFonts w:hint="eastAsia" w:ascii="仿宋" w:eastAsia="仿宋"/>
                <w:kern w:val="0"/>
                <w:sz w:val="20"/>
                <w:szCs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7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877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cs="仿宋"/>
                <w:color w:val="auto"/>
                <w:sz w:val="20"/>
                <w:szCs w:val="20"/>
                <w:lang w:eastAsia="zh-CN"/>
              </w:rPr>
              <w:t>大城县</w:t>
            </w:r>
            <w:r>
              <w:rPr>
                <w:rFonts w:hint="eastAsia" w:ascii="仿宋" w:eastAsia="仿宋" w:cs="仿宋"/>
                <w:color w:val="auto"/>
                <w:sz w:val="20"/>
                <w:szCs w:val="20"/>
                <w:lang w:val="en-US" w:eastAsia="zh-CN"/>
              </w:rPr>
              <w:t>中央动物防疫等补助经费项目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7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510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大城县农业农村局</w:t>
            </w: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61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eastAsia="zh-CN"/>
              </w:rPr>
              <w:t>大城县农业农村局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1" w:hRule="atLeast"/>
        </w:trPr>
        <w:tc>
          <w:tcPr>
            <w:tcW w:w="177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2393"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5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9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77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393"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5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197</w:t>
            </w: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197</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77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393"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5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197</w:t>
            </w: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197</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100</w:t>
            </w:r>
            <w:r>
              <w:rPr>
                <w:rFonts w:ascii="仿宋" w:eastAsia="仿宋"/>
                <w:kern w:val="0"/>
                <w:sz w:val="20"/>
                <w:szCs w:val="20"/>
              </w:rPr>
              <w:t>%</w:t>
            </w:r>
          </w:p>
        </w:tc>
        <w:tc>
          <w:tcPr>
            <w:tcW w:w="9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77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393"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5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77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393"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5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9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5580"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67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5580"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sz w:val="18"/>
                <w:szCs w:val="18"/>
              </w:rPr>
              <w:t>口蹄疫、高致病性禽流感、布病、小反刍兽疫等强制免疫病种应免畜禽的免疫密度90%以上，平均抗体合格率常年保持70%以上。二是养殖环节收集的病死猪100%进行无害化处理；三是经费统筹使用效率进一步提高</w:t>
            </w:r>
            <w:r>
              <w:rPr>
                <w:rFonts w:hint="eastAsia" w:ascii="仿宋_GB2312" w:hAnsi="仿宋_GB2312" w:eastAsia="仿宋_GB2312" w:cs="仿宋_GB2312"/>
                <w:sz w:val="18"/>
                <w:szCs w:val="18"/>
                <w:lang w:eastAsia="zh-CN"/>
              </w:rPr>
              <w:t>。</w:t>
            </w:r>
          </w:p>
        </w:tc>
        <w:tc>
          <w:tcPr>
            <w:tcW w:w="367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口蹄疫、高致病性禽流感、布病、小反刍兽疫等应免畜禽免疫密度达100%。高致病性禽流感、口蹄疫、小反刍兽疫等应免畜禽免疫抗体合格率达到80%以上。</w:t>
            </w:r>
            <w:r>
              <w:rPr>
                <w:rFonts w:hint="eastAsia" w:ascii="仿宋_GB2312" w:hAnsi="仿宋_GB2312" w:eastAsia="仿宋_GB2312" w:cs="仿宋_GB2312"/>
                <w:sz w:val="18"/>
                <w:szCs w:val="18"/>
              </w:rPr>
              <w:t>养殖环节收集的病死猪100%进行无害化处理</w:t>
            </w:r>
            <w:r>
              <w:rPr>
                <w:rFonts w:hint="eastAsia" w:ascii="仿宋_GB2312" w:hAnsi="仿宋_GB2312" w:eastAsia="仿宋_GB2312" w:cs="仿宋_GB2312"/>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1290"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96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05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4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05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数量指标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18"/>
                <w:szCs w:val="18"/>
              </w:rPr>
            </w:pPr>
            <w:r>
              <w:rPr>
                <w:rFonts w:hint="eastAsia" w:ascii="仿宋" w:eastAsia="仿宋"/>
                <w:color w:val="000000"/>
                <w:kern w:val="0"/>
                <w:sz w:val="18"/>
                <w:szCs w:val="18"/>
              </w:rPr>
              <w:t>应免动物疫病强制免疫率</w:t>
            </w:r>
          </w:p>
        </w:tc>
        <w:tc>
          <w:tcPr>
            <w:tcW w:w="14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eastAsia="zh-CN"/>
              </w:rPr>
              <w:t>应</w:t>
            </w:r>
            <w:r>
              <w:rPr>
                <w:rFonts w:hint="eastAsia" w:ascii="仿宋" w:eastAsia="仿宋"/>
                <w:kern w:val="0"/>
                <w:sz w:val="18"/>
                <w:szCs w:val="18"/>
              </w:rPr>
              <w:t>免畜禽免疫密度</w:t>
            </w:r>
            <w:r>
              <w:rPr>
                <w:rFonts w:hint="eastAsia" w:ascii="仿宋" w:eastAsia="仿宋"/>
                <w:kern w:val="0"/>
                <w:sz w:val="18"/>
                <w:szCs w:val="18"/>
                <w:lang w:val="en-US" w:eastAsia="zh-CN"/>
              </w:rPr>
              <w:t>90%以上</w:t>
            </w: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100%</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15</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15</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059" w:type="dxa"/>
            <w:tcBorders>
              <w:top w:val="nil"/>
              <w:left w:val="single" w:color="auto" w:sz="4" w:space="0"/>
              <w:bottom w:val="single" w:color="auto" w:sz="4" w:space="0"/>
              <w:right w:val="single" w:color="auto" w:sz="4" w:space="0"/>
              <w:tl2br w:val="nil"/>
              <w:tr2bl w:val="nil"/>
            </w:tcBorders>
            <w:vAlign w:val="center"/>
          </w:tcPr>
          <w:p>
            <w:pPr>
              <w:jc w:val="center"/>
              <w:rPr>
                <w:rFonts w:hint="eastAsia" w:ascii="仿宋" w:eastAsia="仿宋"/>
                <w:sz w:val="20"/>
                <w:szCs w:val="20"/>
              </w:rPr>
            </w:pPr>
            <w:r>
              <w:rPr>
                <w:rFonts w:hint="eastAsia" w:ascii="仿宋" w:eastAsia="仿宋"/>
                <w:kern w:val="0"/>
                <w:sz w:val="20"/>
                <w:szCs w:val="20"/>
              </w:rPr>
              <w:t>质量指标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18"/>
                <w:szCs w:val="18"/>
              </w:rPr>
            </w:pPr>
            <w:r>
              <w:rPr>
                <w:rFonts w:hint="eastAsia" w:ascii="仿宋" w:eastAsia="仿宋"/>
                <w:color w:val="000000"/>
                <w:kern w:val="0"/>
                <w:sz w:val="18"/>
                <w:szCs w:val="18"/>
              </w:rPr>
              <w:t>抗体检测合格率</w:t>
            </w:r>
          </w:p>
        </w:tc>
        <w:tc>
          <w:tcPr>
            <w:tcW w:w="1447"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18"/>
                <w:szCs w:val="18"/>
              </w:rPr>
            </w:pPr>
            <w:r>
              <w:rPr>
                <w:rFonts w:hint="eastAsia" w:ascii="仿宋" w:eastAsia="仿宋"/>
                <w:b w:val="0"/>
                <w:i w:val="0"/>
                <w:sz w:val="18"/>
                <w:szCs w:val="18"/>
              </w:rPr>
              <w:t>抗体检测合格数量≥</w:t>
            </w:r>
            <w:r>
              <w:rPr>
                <w:rFonts w:hint="eastAsia" w:ascii="仿宋" w:eastAsia="仿宋"/>
                <w:b w:val="0"/>
                <w:i w:val="0"/>
                <w:sz w:val="18"/>
                <w:szCs w:val="18"/>
                <w:lang w:val="en-US" w:eastAsia="zh-CN"/>
              </w:rPr>
              <w:t>7</w:t>
            </w:r>
            <w:r>
              <w:rPr>
                <w:rFonts w:hint="eastAsia" w:ascii="仿宋" w:eastAsia="仿宋"/>
                <w:b w:val="0"/>
                <w:i w:val="0"/>
                <w:sz w:val="18"/>
                <w:szCs w:val="18"/>
              </w:rPr>
              <w:t>0%</w:t>
            </w:r>
          </w:p>
        </w:tc>
        <w:tc>
          <w:tcPr>
            <w:tcW w:w="1065" w:type="dxa"/>
            <w:tcBorders>
              <w:top w:val="nil"/>
              <w:left w:val="nil"/>
              <w:bottom w:val="single" w:color="auto" w:sz="4" w:space="0"/>
              <w:right w:val="single" w:color="auto" w:sz="4" w:space="0"/>
              <w:tl2br w:val="nil"/>
              <w:tr2bl w:val="nil"/>
            </w:tcBorders>
            <w:vAlign w:val="center"/>
          </w:tcPr>
          <w:p>
            <w:pPr>
              <w:jc w:val="center"/>
              <w:rPr>
                <w:rFonts w:hint="default" w:ascii="仿宋" w:eastAsia="仿宋"/>
                <w:b w:val="0"/>
                <w:i w:val="0"/>
                <w:sz w:val="18"/>
                <w:szCs w:val="18"/>
                <w:lang w:val="en-US" w:eastAsia="zh-CN"/>
              </w:rPr>
            </w:pPr>
            <w:r>
              <w:rPr>
                <w:rFonts w:hint="eastAsia" w:ascii="仿宋" w:eastAsia="仿宋"/>
                <w:b w:val="0"/>
                <w:i w:val="0"/>
                <w:sz w:val="18"/>
                <w:szCs w:val="18"/>
              </w:rPr>
              <w:t>≥</w:t>
            </w:r>
            <w:r>
              <w:rPr>
                <w:rFonts w:hint="eastAsia" w:ascii="仿宋" w:eastAsia="仿宋"/>
                <w:b w:val="0"/>
                <w:i w:val="0"/>
                <w:sz w:val="18"/>
                <w:szCs w:val="18"/>
                <w:lang w:val="en-US" w:eastAsia="zh-CN"/>
              </w:rPr>
              <w:t>80%以上</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15</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15</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exac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05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时效指标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spacing w:line="240" w:lineRule="exact"/>
              <w:jc w:val="center"/>
              <w:rPr>
                <w:rFonts w:hint="eastAsia" w:ascii="仿宋" w:eastAsia="仿宋"/>
                <w:b w:val="0"/>
                <w:i w:val="0"/>
                <w:color w:val="000000"/>
                <w:sz w:val="18"/>
                <w:szCs w:val="18"/>
              </w:rPr>
            </w:pPr>
            <w:r>
              <w:rPr>
                <w:rFonts w:hint="eastAsia" w:ascii="仿宋" w:eastAsia="仿宋"/>
                <w:b w:val="0"/>
                <w:i w:val="0"/>
                <w:color w:val="000000"/>
                <w:sz w:val="18"/>
                <w:szCs w:val="18"/>
              </w:rPr>
              <w:t>集中免疫时间</w:t>
            </w:r>
          </w:p>
        </w:tc>
        <w:tc>
          <w:tcPr>
            <w:tcW w:w="1447"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仿宋" w:eastAsia="仿宋"/>
                <w:b w:val="0"/>
                <w:i w:val="0"/>
                <w:sz w:val="18"/>
                <w:szCs w:val="18"/>
              </w:rPr>
            </w:pPr>
            <w:r>
              <w:rPr>
                <w:rFonts w:hint="eastAsia" w:ascii="仿宋" w:eastAsia="仿宋"/>
                <w:b w:val="0"/>
                <w:i w:val="0"/>
                <w:sz w:val="18"/>
                <w:szCs w:val="18"/>
              </w:rPr>
              <w:t>按照时间节点完成</w:t>
            </w:r>
          </w:p>
        </w:tc>
        <w:tc>
          <w:tcPr>
            <w:tcW w:w="1065" w:type="dxa"/>
            <w:tcBorders>
              <w:top w:val="single" w:color="auto" w:sz="4" w:space="0"/>
              <w:left w:val="nil"/>
              <w:bottom w:val="single" w:color="auto" w:sz="4" w:space="0"/>
              <w:right w:val="single" w:color="auto" w:sz="4" w:space="0"/>
              <w:tl2br w:val="nil"/>
              <w:tr2bl w:val="nil"/>
            </w:tcBorders>
            <w:vAlign w:val="center"/>
          </w:tcPr>
          <w:p>
            <w:pPr>
              <w:jc w:val="center"/>
              <w:rPr>
                <w:rFonts w:hint="default" w:ascii="仿宋" w:eastAsia="仿宋"/>
                <w:b w:val="0"/>
                <w:i w:val="0"/>
                <w:sz w:val="18"/>
                <w:szCs w:val="18"/>
                <w:lang w:val="en-US" w:eastAsia="zh-CN"/>
              </w:rPr>
            </w:pPr>
            <w:r>
              <w:rPr>
                <w:rFonts w:hint="eastAsia" w:ascii="仿宋" w:eastAsia="仿宋"/>
                <w:b w:val="0"/>
                <w:i w:val="0"/>
                <w:sz w:val="18"/>
                <w:szCs w:val="18"/>
                <w:lang w:val="en-US" w:eastAsia="zh-CN"/>
              </w:rPr>
              <w:t>100%</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15</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15</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05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成本指标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18"/>
                <w:szCs w:val="18"/>
              </w:rPr>
            </w:pPr>
            <w:r>
              <w:rPr>
                <w:rFonts w:hint="eastAsia" w:ascii="仿宋" w:eastAsia="仿宋"/>
                <w:color w:val="000000"/>
                <w:kern w:val="0"/>
                <w:sz w:val="18"/>
                <w:szCs w:val="18"/>
              </w:rPr>
              <w:t>按照时间节点完成</w:t>
            </w:r>
          </w:p>
        </w:tc>
        <w:tc>
          <w:tcPr>
            <w:tcW w:w="14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r>
              <w:rPr>
                <w:rFonts w:hint="eastAsia" w:ascii="仿宋" w:eastAsia="仿宋"/>
                <w:kern w:val="0"/>
                <w:sz w:val="18"/>
                <w:szCs w:val="18"/>
              </w:rPr>
              <w:t>实际资金支出≤</w:t>
            </w:r>
            <w:r>
              <w:rPr>
                <w:rFonts w:hint="eastAsia" w:ascii="仿宋" w:eastAsia="仿宋"/>
                <w:kern w:val="0"/>
                <w:sz w:val="18"/>
                <w:szCs w:val="18"/>
                <w:lang w:val="en-US" w:eastAsia="zh-CN"/>
              </w:rPr>
              <w:t>197</w:t>
            </w:r>
            <w:r>
              <w:rPr>
                <w:rFonts w:hint="eastAsia" w:ascii="仿宋" w:eastAsia="仿宋"/>
                <w:kern w:val="0"/>
                <w:sz w:val="18"/>
                <w:szCs w:val="18"/>
              </w:rPr>
              <w:t>万元</w:t>
            </w: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r>
              <w:rPr>
                <w:rFonts w:hint="eastAsia" w:ascii="仿宋" w:eastAsia="仿宋"/>
                <w:kern w:val="0"/>
                <w:sz w:val="18"/>
                <w:szCs w:val="18"/>
              </w:rPr>
              <w:t>未超出</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10</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10</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05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hint="eastAsia" w:ascii="仿宋" w:eastAsia="仿宋"/>
                <w:kern w:val="0"/>
                <w:sz w:val="20"/>
                <w:szCs w:val="20"/>
              </w:rPr>
            </w:pPr>
            <w:r>
              <w:rPr>
                <w:rFonts w:hint="eastAsia" w:ascii="仿宋" w:eastAsia="仿宋"/>
                <w:kern w:val="0"/>
                <w:sz w:val="20"/>
                <w:szCs w:val="20"/>
              </w:rPr>
              <w:t>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18"/>
                <w:szCs w:val="18"/>
              </w:rPr>
            </w:pPr>
            <w:r>
              <w:rPr>
                <w:rFonts w:hint="eastAsia" w:ascii="仿宋" w:eastAsia="仿宋"/>
                <w:color w:val="000000"/>
                <w:kern w:val="0"/>
                <w:sz w:val="18"/>
                <w:szCs w:val="18"/>
              </w:rPr>
              <w:t>指标1：</w:t>
            </w:r>
          </w:p>
        </w:tc>
        <w:tc>
          <w:tcPr>
            <w:tcW w:w="14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059" w:type="dxa"/>
            <w:vMerge w:val="continue"/>
            <w:tcBorders>
              <w:top w:val="nil"/>
              <w:left w:val="single" w:color="auto" w:sz="4" w:space="0"/>
              <w:bottom w:val="single" w:color="auto" w:sz="4" w:space="0"/>
              <w:right w:val="single" w:color="auto" w:sz="4" w:space="0"/>
              <w:tl2br w:val="nil"/>
              <w:tr2bl w:val="nil"/>
            </w:tcBorders>
            <w:vAlign w:val="center"/>
          </w:tcPr>
          <w:p>
            <w:pPr>
              <w:rPr>
                <w:sz w:val="20"/>
                <w:szCs w:val="20"/>
              </w:rPr>
            </w:pP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18"/>
                <w:szCs w:val="18"/>
              </w:rPr>
            </w:pPr>
            <w:r>
              <w:rPr>
                <w:rFonts w:hint="eastAsia" w:ascii="仿宋" w:eastAsia="仿宋"/>
                <w:color w:val="000000"/>
                <w:kern w:val="0"/>
                <w:sz w:val="18"/>
                <w:szCs w:val="18"/>
              </w:rPr>
              <w:t>指标2：</w:t>
            </w:r>
          </w:p>
        </w:tc>
        <w:tc>
          <w:tcPr>
            <w:tcW w:w="14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05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hint="eastAsia" w:ascii="仿宋" w:eastAsia="仿宋"/>
                <w:kern w:val="0"/>
                <w:sz w:val="20"/>
                <w:szCs w:val="20"/>
              </w:rPr>
            </w:pPr>
            <w:r>
              <w:rPr>
                <w:rFonts w:hint="eastAsia" w:ascii="仿宋" w:eastAsia="仿宋"/>
                <w:kern w:val="0"/>
                <w:sz w:val="20"/>
                <w:szCs w:val="20"/>
              </w:rPr>
              <w:t>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18"/>
                <w:szCs w:val="18"/>
              </w:rPr>
            </w:pPr>
            <w:r>
              <w:rPr>
                <w:rFonts w:hint="eastAsia" w:ascii="仿宋" w:eastAsia="仿宋"/>
                <w:b w:val="0"/>
                <w:i w:val="0"/>
                <w:color w:val="000000"/>
                <w:sz w:val="18"/>
                <w:szCs w:val="18"/>
              </w:rPr>
              <w:t>社会影响力</w:t>
            </w:r>
          </w:p>
        </w:tc>
        <w:tc>
          <w:tcPr>
            <w:tcW w:w="1447"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18"/>
                <w:szCs w:val="18"/>
              </w:rPr>
            </w:pPr>
            <w:r>
              <w:rPr>
                <w:rFonts w:hint="eastAsia" w:ascii="仿宋" w:eastAsia="仿宋"/>
                <w:b w:val="0"/>
                <w:i w:val="0"/>
                <w:sz w:val="18"/>
                <w:szCs w:val="18"/>
                <w:lang w:val="en-US" w:eastAsia="zh-CN"/>
              </w:rPr>
              <w:t>确保不发生区域性重大动物疫病，保障了动物产品质量安全。</w:t>
            </w:r>
          </w:p>
        </w:tc>
        <w:tc>
          <w:tcPr>
            <w:tcW w:w="1065"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18"/>
                <w:szCs w:val="18"/>
              </w:rPr>
            </w:pPr>
            <w:r>
              <w:rPr>
                <w:rFonts w:hint="eastAsia" w:ascii="仿宋" w:eastAsia="仿宋"/>
                <w:b w:val="0"/>
                <w:i w:val="0"/>
                <w:sz w:val="18"/>
                <w:szCs w:val="18"/>
              </w:rPr>
              <w:t>未发生</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10</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10</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05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hint="eastAsia" w:ascii="仿宋" w:eastAsia="仿宋"/>
                <w:kern w:val="0"/>
                <w:sz w:val="20"/>
                <w:szCs w:val="20"/>
              </w:rPr>
            </w:pPr>
            <w:r>
              <w:rPr>
                <w:rFonts w:hint="eastAsia" w:ascii="仿宋" w:eastAsia="仿宋"/>
                <w:kern w:val="0"/>
                <w:sz w:val="20"/>
                <w:szCs w:val="20"/>
              </w:rPr>
              <w:t>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18"/>
                <w:szCs w:val="18"/>
              </w:rPr>
            </w:pPr>
            <w:r>
              <w:rPr>
                <w:rFonts w:hint="eastAsia" w:ascii="仿宋" w:eastAsia="仿宋"/>
                <w:color w:val="000000"/>
                <w:kern w:val="0"/>
                <w:sz w:val="18"/>
                <w:szCs w:val="18"/>
              </w:rPr>
              <w:t>无害化处理达标率</w:t>
            </w:r>
          </w:p>
        </w:tc>
        <w:tc>
          <w:tcPr>
            <w:tcW w:w="14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r>
              <w:rPr>
                <w:rFonts w:hint="eastAsia" w:ascii="仿宋" w:eastAsia="仿宋"/>
                <w:kern w:val="0"/>
                <w:sz w:val="18"/>
                <w:szCs w:val="18"/>
              </w:rPr>
              <w:t>无害化处理合格总数与无害化处理总数的比率=100%</w:t>
            </w:r>
          </w:p>
        </w:tc>
        <w:tc>
          <w:tcPr>
            <w:tcW w:w="10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r>
              <w:rPr>
                <w:rFonts w:hint="eastAsia" w:ascii="仿宋" w:eastAsia="仿宋"/>
                <w:kern w:val="0"/>
                <w:sz w:val="18"/>
                <w:szCs w:val="18"/>
              </w:rPr>
              <w:t>100%</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15</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15</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0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hint="eastAsia" w:ascii="仿宋" w:eastAsia="仿宋"/>
                <w:kern w:val="0"/>
                <w:sz w:val="20"/>
                <w:szCs w:val="20"/>
              </w:rPr>
            </w:pPr>
            <w:r>
              <w:rPr>
                <w:rFonts w:hint="eastAsia" w:ascii="仿宋" w:eastAsia="仿宋"/>
                <w:kern w:val="0"/>
                <w:sz w:val="20"/>
                <w:szCs w:val="20"/>
              </w:rPr>
              <w:t>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jc w:val="center"/>
              <w:rPr>
                <w:rFonts w:hint="eastAsia" w:ascii="仿宋" w:eastAsia="仿宋"/>
                <w:b w:val="0"/>
                <w:i w:val="0"/>
                <w:color w:val="000000"/>
                <w:sz w:val="18"/>
                <w:szCs w:val="18"/>
              </w:rPr>
            </w:pPr>
            <w:r>
              <w:rPr>
                <w:rFonts w:hint="eastAsia" w:ascii="仿宋" w:eastAsia="仿宋"/>
                <w:b w:val="0"/>
                <w:i w:val="0"/>
                <w:color w:val="000000"/>
                <w:sz w:val="18"/>
                <w:szCs w:val="18"/>
              </w:rPr>
              <w:t>食品安全</w:t>
            </w:r>
          </w:p>
        </w:tc>
        <w:tc>
          <w:tcPr>
            <w:tcW w:w="1447"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仿宋" w:eastAsia="仿宋"/>
                <w:b w:val="0"/>
                <w:i w:val="0"/>
                <w:sz w:val="18"/>
                <w:szCs w:val="18"/>
              </w:rPr>
            </w:pPr>
            <w:r>
              <w:rPr>
                <w:rFonts w:hint="eastAsia" w:ascii="仿宋" w:eastAsia="仿宋"/>
                <w:b w:val="0"/>
                <w:i w:val="0"/>
                <w:sz w:val="18"/>
                <w:szCs w:val="18"/>
              </w:rPr>
              <w:t>开展对食品安全提升情况</w:t>
            </w:r>
          </w:p>
        </w:tc>
        <w:tc>
          <w:tcPr>
            <w:tcW w:w="1065"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仿宋" w:eastAsia="仿宋"/>
                <w:b w:val="0"/>
                <w:i w:val="0"/>
                <w:sz w:val="18"/>
                <w:szCs w:val="18"/>
              </w:rPr>
            </w:pPr>
            <w:r>
              <w:rPr>
                <w:rFonts w:hint="eastAsia" w:ascii="仿宋" w:eastAsia="仿宋"/>
                <w:b w:val="0"/>
                <w:i w:val="0"/>
                <w:sz w:val="18"/>
                <w:szCs w:val="18"/>
              </w:rPr>
              <w:t>显著</w:t>
            </w:r>
          </w:p>
        </w:tc>
        <w:tc>
          <w:tcPr>
            <w:tcW w:w="48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10</w:t>
            </w:r>
          </w:p>
        </w:tc>
        <w:tc>
          <w:tcPr>
            <w:tcW w:w="45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18"/>
                <w:szCs w:val="18"/>
                <w:lang w:val="en-US" w:eastAsia="zh-CN"/>
              </w:rPr>
            </w:pPr>
            <w:r>
              <w:rPr>
                <w:rFonts w:hint="eastAsia" w:ascii="仿宋" w:eastAsia="仿宋"/>
                <w:kern w:val="0"/>
                <w:sz w:val="18"/>
                <w:szCs w:val="18"/>
                <w:lang w:val="en-US" w:eastAsia="zh-CN"/>
              </w:rPr>
              <w:t>10</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290" w:type="dxa"/>
            <w:vMerge w:val="continue"/>
            <w:tcBorders>
              <w:top w:val="nil"/>
              <w:left w:val="single" w:color="auto" w:sz="4" w:space="0"/>
              <w:bottom w:val="single" w:color="auto" w:sz="4" w:space="0"/>
              <w:right w:val="single" w:color="auto" w:sz="4" w:space="0"/>
              <w:tl2br w:val="nil"/>
              <w:tr2bl w:val="nil"/>
            </w:tcBorders>
            <w:vAlign w:val="center"/>
          </w:tcPr>
          <w:p/>
        </w:tc>
        <w:tc>
          <w:tcPr>
            <w:tcW w:w="966" w:type="dxa"/>
            <w:gridSpan w:val="2"/>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05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服务对象满意度指标</w:t>
            </w:r>
          </w:p>
        </w:tc>
        <w:tc>
          <w:tcPr>
            <w:tcW w:w="210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18"/>
                <w:szCs w:val="18"/>
              </w:rPr>
            </w:pPr>
            <w:r>
              <w:rPr>
                <w:rFonts w:hint="eastAsia" w:ascii="仿宋" w:eastAsia="仿宋"/>
                <w:color w:val="000000"/>
                <w:kern w:val="0"/>
                <w:sz w:val="18"/>
                <w:szCs w:val="18"/>
              </w:rPr>
              <w:t>服务对象满意度</w:t>
            </w:r>
          </w:p>
        </w:tc>
        <w:tc>
          <w:tcPr>
            <w:tcW w:w="1447"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18"/>
                <w:szCs w:val="18"/>
              </w:rPr>
            </w:pPr>
            <w:r>
              <w:rPr>
                <w:rFonts w:hint="eastAsia" w:ascii="仿宋" w:eastAsia="仿宋"/>
                <w:b w:val="0"/>
                <w:i w:val="0"/>
                <w:sz w:val="18"/>
                <w:szCs w:val="18"/>
              </w:rPr>
              <w:t>养殖户对动物防疫工作满意度&gt;=90%</w:t>
            </w:r>
          </w:p>
        </w:tc>
        <w:tc>
          <w:tcPr>
            <w:tcW w:w="1065" w:type="dxa"/>
            <w:tcBorders>
              <w:top w:val="nil"/>
              <w:left w:val="nil"/>
              <w:bottom w:val="single" w:color="auto" w:sz="4" w:space="0"/>
              <w:right w:val="single" w:color="auto" w:sz="4" w:space="0"/>
              <w:tl2br w:val="nil"/>
              <w:tr2bl w:val="nil"/>
            </w:tcBorders>
            <w:vAlign w:val="center"/>
          </w:tcPr>
          <w:p>
            <w:pPr>
              <w:jc w:val="center"/>
              <w:rPr>
                <w:rFonts w:hint="eastAsia" w:ascii="仿宋" w:eastAsia="仿宋"/>
                <w:b w:val="0"/>
                <w:i w:val="0"/>
                <w:sz w:val="18"/>
                <w:szCs w:val="18"/>
              </w:rPr>
            </w:pPr>
            <w:r>
              <w:rPr>
                <w:rFonts w:hint="eastAsia" w:ascii="仿宋" w:eastAsia="仿宋"/>
                <w:b w:val="0"/>
                <w:i w:val="0"/>
                <w:sz w:val="18"/>
                <w:szCs w:val="18"/>
              </w:rPr>
              <w:t>9</w:t>
            </w:r>
            <w:r>
              <w:rPr>
                <w:rFonts w:hint="eastAsia" w:ascii="仿宋" w:eastAsia="仿宋"/>
                <w:b w:val="0"/>
                <w:i w:val="0"/>
                <w:sz w:val="18"/>
                <w:szCs w:val="18"/>
                <w:lang w:val="en-US" w:eastAsia="zh-CN"/>
              </w:rPr>
              <w:t>8</w:t>
            </w:r>
            <w:r>
              <w:rPr>
                <w:rFonts w:hint="eastAsia" w:ascii="仿宋" w:eastAsia="仿宋"/>
                <w:b w:val="0"/>
                <w:i w:val="0"/>
                <w:sz w:val="18"/>
                <w:szCs w:val="18"/>
              </w:rPr>
              <w:t>%</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lang w:val="en-US" w:eastAsia="zh-CN"/>
              </w:rPr>
            </w:pPr>
            <w:r>
              <w:rPr>
                <w:rFonts w:hint="eastAsia" w:ascii="仿宋" w:eastAsia="仿宋"/>
                <w:kern w:val="0"/>
                <w:sz w:val="18"/>
                <w:szCs w:val="18"/>
              </w:rPr>
              <w:t>1</w:t>
            </w:r>
            <w:r>
              <w:rPr>
                <w:rFonts w:hint="eastAsia" w:ascii="仿宋" w:eastAsia="仿宋"/>
                <w:kern w:val="0"/>
                <w:sz w:val="18"/>
                <w:szCs w:val="18"/>
                <w:lang w:val="en-US" w:eastAsia="zh-CN"/>
              </w:rPr>
              <w:t>0</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18"/>
                <w:szCs w:val="18"/>
              </w:rPr>
            </w:pPr>
            <w:r>
              <w:rPr>
                <w:rFonts w:hint="eastAsia" w:ascii="仿宋" w:eastAsia="仿宋"/>
                <w:kern w:val="0"/>
                <w:sz w:val="18"/>
                <w:szCs w:val="18"/>
              </w:rPr>
              <w:t>10</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7935"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rPr>
            </w:pPr>
            <w:r>
              <w:rPr>
                <w:rFonts w:hint="eastAsia" w:ascii="仿宋" w:eastAsia="仿宋"/>
                <w:color w:val="000000"/>
                <w:kern w:val="0"/>
                <w:sz w:val="20"/>
                <w:szCs w:val="20"/>
              </w:rPr>
              <w:t>总分</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rPr>
            </w:pPr>
            <w:r>
              <w:rPr>
                <w:rFonts w:hint="eastAsia" w:ascii="仿宋" w:eastAsia="仿宋"/>
                <w:color w:val="000000"/>
                <w:kern w:val="0"/>
                <w:sz w:val="20"/>
                <w:szCs w:val="20"/>
              </w:rPr>
              <w:t>100</w:t>
            </w:r>
          </w:p>
        </w:tc>
        <w:tc>
          <w:tcPr>
            <w:tcW w:w="45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68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keepLines/>
        <w:numPr>
          <w:ilvl w:val="0"/>
          <w:numId w:val="2"/>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一）2019年度全程机械化绩效评价结果：为做好2019年全程机械化示范县建设工作，促进农业供给侧结构性改革，发展现代农业，完成相关任务目标，创建全国全程机械化示范县，该项目从投入、管理、产出、效果等方面提升了大城县全程机械化水平。</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一是深化工作理念。大城县农业农村局根据政府办实施方案文件要求，对主要农作物全程机械化高度重视，充分认识到主要农作物全程机械化的重要意义，成立专门的领导小组以推进此项工作顺利进行。</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二是财务管理健全。资金分配集体决策，程序公开透明。在资金的分配上，做到了资金分配公开透明，程序规范，强化了资金监督管理，资金使用有效履行相关报批手续，为本项目财务管理工作提供了健全的财务制度保障。</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三是管理水平提升。大城县农业农村局及项目涉及的2个示范社负责人本着对项目高度负责的态度，认真按照工作计划开展全程机械化工作，并及时听取专家意见，对项目建设工作做出相应调整，建立健全项目建设管理制度并真正落实。</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四是社会效益显著。该项目建设样板示范社，采取典型示范方式，建设2个可复制可推广的全程机械化示范农机合作社；打造“智慧农场”，培育新型经营主体；以示范项目为抓手，提升大城县全程机械化水平，使项目建设最大程度地满足群众利益。</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运用由项目组设计并经相关部门确认的评价指标体系及评分标准，对大城县农业农村局全程机械化项目绩效进行客观评价。根据绩效评价指标体系，结合评价工作过程中掌握的情况，2019年度全程机械化绩效评价综合得分为93.9分，评价等级为“优”。</w:t>
      </w:r>
    </w:p>
    <w:p>
      <w:pPr>
        <w:adjustRightInd w:val="0"/>
        <w:snapToGrid w:val="0"/>
        <w:spacing w:line="580" w:lineRule="exact"/>
        <w:ind w:firstLine="640" w:firstLineChars="200"/>
        <w:rPr>
          <w:rFonts w:hint="eastAsia" w:ascii="仿宋_GB2312" w:hAnsi="Times New Roman" w:eastAsia="仿宋_GB2312" w:cs="DengXian-Regular"/>
          <w:kern w:val="2"/>
          <w:sz w:val="32"/>
          <w:szCs w:val="32"/>
          <w:lang w:val="en-US" w:eastAsia="zh-CN" w:bidi="ar-SA"/>
        </w:rPr>
      </w:pPr>
      <w:r>
        <w:rPr>
          <w:rFonts w:hint="eastAsia" w:ascii="仿宋_GB2312" w:hAnsi="Times New Roman" w:eastAsia="仿宋_GB2312" w:cs="DengXian-Regular"/>
          <w:kern w:val="2"/>
          <w:sz w:val="32"/>
          <w:szCs w:val="32"/>
          <w:lang w:val="en-US" w:eastAsia="zh-CN" w:bidi="ar-SA"/>
        </w:rPr>
        <w:t>（二）2019年度大城县小麦节水品种及配套技术推广补贴项目绩效评价结果：经审阅、询问、入户走访、数据分析等方法，本次评价的2019年度大城县小麦节水品种及配套技术推广补贴项目综合得分为97.6分，评价等级为“优”。</w:t>
      </w:r>
      <w:bookmarkStart w:id="0" w:name="_GoBack"/>
      <w:bookmarkEnd w:id="0"/>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262.67</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102.37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63.86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机构改革工作任务增加，人员经费及公用经费增加</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3881.43</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1350.98</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2277</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253.45</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3419.58</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88.1</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3319.53</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85.52</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highlight w:val="none"/>
        </w:rPr>
      </w:pPr>
      <w:r>
        <w:rPr>
          <w:rFonts w:hint="eastAsia" w:ascii="仿宋_GB2312" w:hAnsi="Times New Roman" w:eastAsia="仿宋_GB2312" w:cs="DengXian-Regular"/>
          <w:sz w:val="32"/>
          <w:szCs w:val="32"/>
          <w:highlight w:val="none"/>
        </w:rPr>
        <w:t>截至2019年12月31日，本部门共有车辆</w:t>
      </w:r>
      <w:r>
        <w:rPr>
          <w:rFonts w:hint="eastAsia" w:ascii="仿宋_GB2312" w:hAnsi="Times New Roman" w:eastAsia="仿宋_GB2312" w:cs="DengXian-Regular"/>
          <w:sz w:val="32"/>
          <w:szCs w:val="32"/>
          <w:highlight w:val="none"/>
          <w:lang w:val="en-US" w:eastAsia="zh-CN"/>
        </w:rPr>
        <w:t>5</w:t>
      </w:r>
      <w:r>
        <w:rPr>
          <w:rFonts w:hint="eastAsia" w:ascii="仿宋_GB2312" w:hAnsi="Times New Roman" w:eastAsia="仿宋_GB2312" w:cs="DengXian-Regular"/>
          <w:sz w:val="32"/>
          <w:szCs w:val="32"/>
          <w:highlight w:val="none"/>
        </w:rPr>
        <w:t>辆，比上年增加</w:t>
      </w:r>
      <w:r>
        <w:rPr>
          <w:rFonts w:hint="eastAsia" w:ascii="仿宋_GB2312" w:hAnsi="Times New Roman" w:eastAsia="仿宋_GB2312" w:cs="DengXian-Regular"/>
          <w:sz w:val="32"/>
          <w:szCs w:val="32"/>
          <w:highlight w:val="none"/>
          <w:lang w:val="en-US" w:eastAsia="zh-CN"/>
        </w:rPr>
        <w:t>1</w:t>
      </w:r>
      <w:r>
        <w:rPr>
          <w:rFonts w:hint="eastAsia" w:ascii="仿宋_GB2312" w:hAnsi="Times New Roman" w:eastAsia="仿宋_GB2312" w:cs="DengXian-Regular"/>
          <w:sz w:val="32"/>
          <w:szCs w:val="32"/>
          <w:highlight w:val="none"/>
        </w:rPr>
        <w:t>辆，主要是</w:t>
      </w:r>
      <w:r>
        <w:rPr>
          <w:rFonts w:hint="eastAsia" w:ascii="仿宋_GB2312" w:hAnsi="Times New Roman" w:eastAsia="仿宋_GB2312" w:cs="DengXian-Regular"/>
          <w:sz w:val="32"/>
          <w:szCs w:val="32"/>
          <w:highlight w:val="none"/>
          <w:lang w:eastAsia="zh-CN"/>
        </w:rPr>
        <w:t>机构改革，增加车辆</w:t>
      </w:r>
      <w:r>
        <w:rPr>
          <w:rFonts w:hint="eastAsia" w:ascii="仿宋_GB2312" w:hAnsi="Times New Roman" w:eastAsia="仿宋_GB2312" w:cs="DengXian-Regular"/>
          <w:sz w:val="32"/>
          <w:szCs w:val="32"/>
          <w:highlight w:val="none"/>
        </w:rPr>
        <w:t>。其中，副部（省）级及以上领导用车</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辆，主要领导干部用车</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辆，机要通信用车</w:t>
      </w:r>
      <w:r>
        <w:rPr>
          <w:rFonts w:hint="eastAsia" w:ascii="仿宋_GB2312" w:hAnsi="Times New Roman" w:eastAsia="仿宋_GB2312" w:cs="DengXian-Regular"/>
          <w:sz w:val="32"/>
          <w:szCs w:val="32"/>
          <w:highlight w:val="none"/>
          <w:lang w:val="en-US" w:eastAsia="zh-CN"/>
        </w:rPr>
        <w:t>2</w:t>
      </w:r>
      <w:r>
        <w:rPr>
          <w:rFonts w:hint="eastAsia" w:ascii="仿宋_GB2312" w:hAnsi="Times New Roman" w:eastAsia="仿宋_GB2312" w:cs="DengXian-Regular"/>
          <w:sz w:val="32"/>
          <w:szCs w:val="32"/>
          <w:highlight w:val="none"/>
        </w:rPr>
        <w:t>辆，应急保障用车</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辆，执法执勤用车</w:t>
      </w:r>
      <w:r>
        <w:rPr>
          <w:rFonts w:hint="eastAsia" w:ascii="仿宋_GB2312" w:hAnsi="Times New Roman" w:eastAsia="仿宋_GB2312" w:cs="DengXian-Regular"/>
          <w:sz w:val="32"/>
          <w:szCs w:val="32"/>
          <w:highlight w:val="none"/>
          <w:lang w:val="en-US" w:eastAsia="zh-CN"/>
        </w:rPr>
        <w:t>2</w:t>
      </w:r>
      <w:r>
        <w:rPr>
          <w:rFonts w:hint="eastAsia" w:ascii="仿宋_GB2312" w:hAnsi="Times New Roman" w:eastAsia="仿宋_GB2312" w:cs="DengXian-Regular"/>
          <w:sz w:val="32"/>
          <w:szCs w:val="32"/>
          <w:highlight w:val="none"/>
        </w:rPr>
        <w:t>辆，特种专业技术用车</w:t>
      </w:r>
      <w:r>
        <w:rPr>
          <w:rFonts w:hint="eastAsia" w:ascii="仿宋_GB2312" w:hAnsi="Times New Roman" w:eastAsia="仿宋_GB2312" w:cs="DengXian-Regular"/>
          <w:sz w:val="32"/>
          <w:szCs w:val="32"/>
          <w:highlight w:val="none"/>
          <w:lang w:val="en-US" w:eastAsia="zh-CN"/>
        </w:rPr>
        <w:t>1</w:t>
      </w:r>
      <w:r>
        <w:rPr>
          <w:rFonts w:hint="eastAsia" w:ascii="仿宋_GB2312" w:hAnsi="Times New Roman" w:eastAsia="仿宋_GB2312" w:cs="DengXian-Regular"/>
          <w:sz w:val="32"/>
          <w:szCs w:val="32"/>
          <w:highlight w:val="none"/>
        </w:rPr>
        <w:t>辆，离退休干部用车</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辆，其他用车</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辆；单位价值</w:t>
      </w:r>
      <w:r>
        <w:rPr>
          <w:rFonts w:hint="eastAsia" w:ascii="仿宋_GB2312" w:hAnsi="TimesNewRomanPSMT" w:eastAsia="仿宋_GB2312" w:cs="TimesNewRomanPSMT"/>
          <w:sz w:val="32"/>
          <w:szCs w:val="32"/>
          <w:highlight w:val="none"/>
        </w:rPr>
        <w:t>50</w:t>
      </w:r>
      <w:r>
        <w:rPr>
          <w:rFonts w:hint="eastAsia" w:ascii="仿宋_GB2312" w:hAnsi="Times New Roman" w:eastAsia="仿宋_GB2312" w:cs="DengXian-Regular"/>
          <w:sz w:val="32"/>
          <w:szCs w:val="32"/>
          <w:highlight w:val="none"/>
        </w:rPr>
        <w:t>万元以上通用设备</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台（套），比上年增加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套，单位价值</w:t>
      </w:r>
      <w:r>
        <w:rPr>
          <w:rFonts w:hint="eastAsia" w:ascii="仿宋_GB2312" w:hAnsi="TimesNewRomanPSMT" w:eastAsia="仿宋_GB2312" w:cs="TimesNewRomanPSMT"/>
          <w:sz w:val="32"/>
          <w:szCs w:val="32"/>
          <w:highlight w:val="none"/>
        </w:rPr>
        <w:t>100</w:t>
      </w:r>
      <w:r>
        <w:rPr>
          <w:rFonts w:hint="eastAsia" w:ascii="仿宋_GB2312" w:hAnsi="Times New Roman" w:eastAsia="仿宋_GB2312" w:cs="DengXian-Regular"/>
          <w:sz w:val="32"/>
          <w:szCs w:val="32"/>
          <w:highlight w:val="none"/>
        </w:rPr>
        <w:t>万元以上专用设备</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台（套）比上年增加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套，主要是</w:t>
      </w:r>
      <w:r>
        <w:rPr>
          <w:rFonts w:hint="eastAsia" w:ascii="仿宋_GB2312" w:hAnsi="Times New Roman" w:eastAsia="仿宋_GB2312" w:cs="DengXian-Regular"/>
          <w:sz w:val="32"/>
          <w:szCs w:val="32"/>
          <w:highlight w:val="none"/>
          <w:lang w:eastAsia="zh-CN"/>
        </w:rPr>
        <w:t>与上年持平，无增减变化</w:t>
      </w:r>
      <w:r>
        <w:rPr>
          <w:rFonts w:hint="eastAsia" w:ascii="仿宋_GB2312" w:hAnsi="Times New Roman" w:eastAsia="仿宋_GB2312" w:cs="DengXian-Regular"/>
          <w:sz w:val="32"/>
          <w:szCs w:val="32"/>
          <w:highlight w:val="none"/>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eastAsia="zh-CN"/>
        </w:rPr>
        <w:t>国有资本经营</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5" w:type="first"/>
          <w:footerReference r:id="rId17" w:type="first"/>
          <w:headerReference r:id="rId14" w:type="default"/>
          <w:footerReference r:id="rId16"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7155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71552;v-text-anchor:middle;mso-width-relative:page;mso-height-relative:page;" fillcolor="#FFD966" filled="t" stroked="t" coordsize="21600,21600" o:gfxdata="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8D1imNsAAAAMAQAADwAAAAAAAAABACAA&#10;AAAiAAAAZHJzL2Rvd25yZXYueG1sUEsBAhQAFAAAAAgAh07iQDbVEft8AgAACAUAAA4AAAAAAAAA&#10;AQAgAAAAKgEAAGRycy9lMm9Eb2MueG1sUEsFBgAAAAAGAAYAWQEAABgGAAAAAA==&#10;">
                <v:fill type="pattern" on="t" color2="#CCE8CF [3212]" o:title="5%" focussize="0,0" r:id="rId24"/>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18"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
      <w:pPr>
        <w:tabs>
          <w:tab w:val="left" w:pos="235"/>
        </w:tabs>
        <w:jc w:val="left"/>
        <w:sectPr>
          <w:headerReference r:id="rId19"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72576"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72576;v-text-anchor:middle;mso-width-relative:page;mso-height-relative:page;" fillcolor="#FFD966" filled="t" stroked="t" coordsize="21600,21600" o:gfxdata="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qVKRg3QAAAA0BAAAPAAAAAAAAAAEA&#10;IAAAACIAAABkcnMvZG93bnJldi54bWxQSwECFAAUAAAACACHTuJAKeQoH3wCAAAIBQAADgAAAAAA&#10;AAABACAAAAAsAQAAZHJzL2Uyb0RvYy54bWxQSwUGAAAAAAYABgBZAQAAGgYAAAAA&#10;">
                <v:fill type="pattern" on="t" color2="#CCE8CF [3212]" o:title="5%" focussize="0,0" r:id="rId2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7"/>
        <w:tblpPr w:leftFromText="180" w:rightFromText="180" w:vertAnchor="text" w:horzAnchor="page" w:tblpX="1039" w:tblpY="449"/>
        <w:tblOverlap w:val="never"/>
        <w:tblW w:w="100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00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注：本表反映部门本年度国有资本经营预算财政拨款支出情况。本部门本年度无相关支出情况，按要求以空表列示。</w:t>
            </w:r>
          </w:p>
        </w:tc>
      </w:tr>
    </w:tbl>
    <w:p/>
    <w:p>
      <w:r>
        <mc:AlternateContent>
          <mc:Choice Requires="wps">
            <w:drawing>
              <wp:anchor distT="0" distB="0" distL="114300" distR="114300" simplePos="0" relativeHeight="25167360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360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1" w:type="first"/>
      <w:headerReference r:id="rId20" w:type="default"/>
      <w:footerReference r:id="rId22"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6912"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86912;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7936"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87936;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896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896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9984"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9984;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9305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9305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9408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9408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95104"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95104;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91008"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91008;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92032"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92032;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84864;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588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8588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9744"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79744;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8720"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78720;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80768;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17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817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3840"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83840;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82816"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82816;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8270065"/>
    <w:rsid w:val="092E43ED"/>
    <w:rsid w:val="09B34FFF"/>
    <w:rsid w:val="0B011416"/>
    <w:rsid w:val="0B975C4C"/>
    <w:rsid w:val="0C8F01CA"/>
    <w:rsid w:val="0D8F78E3"/>
    <w:rsid w:val="132F7F56"/>
    <w:rsid w:val="17CA6000"/>
    <w:rsid w:val="1EE94F14"/>
    <w:rsid w:val="20CF26A0"/>
    <w:rsid w:val="226A13C1"/>
    <w:rsid w:val="26DA328C"/>
    <w:rsid w:val="2B9B0D5B"/>
    <w:rsid w:val="2C29353E"/>
    <w:rsid w:val="2C6E4632"/>
    <w:rsid w:val="2E0F2E0D"/>
    <w:rsid w:val="2E865CD2"/>
    <w:rsid w:val="31C2036A"/>
    <w:rsid w:val="320D02A5"/>
    <w:rsid w:val="348E566F"/>
    <w:rsid w:val="34A64E84"/>
    <w:rsid w:val="34E84B55"/>
    <w:rsid w:val="36D47FC6"/>
    <w:rsid w:val="3A226944"/>
    <w:rsid w:val="3AEE6A48"/>
    <w:rsid w:val="3C123D16"/>
    <w:rsid w:val="3C1620AA"/>
    <w:rsid w:val="3D8F080F"/>
    <w:rsid w:val="3DFE7624"/>
    <w:rsid w:val="44CE1FA4"/>
    <w:rsid w:val="45811C76"/>
    <w:rsid w:val="487F73ED"/>
    <w:rsid w:val="4A347EAE"/>
    <w:rsid w:val="4D303C2C"/>
    <w:rsid w:val="52600405"/>
    <w:rsid w:val="529B4319"/>
    <w:rsid w:val="57773DD6"/>
    <w:rsid w:val="578B79AB"/>
    <w:rsid w:val="5A4F23F6"/>
    <w:rsid w:val="5C5F4D53"/>
    <w:rsid w:val="5CCD3FD5"/>
    <w:rsid w:val="61FA5F9D"/>
    <w:rsid w:val="64CD6910"/>
    <w:rsid w:val="6789158D"/>
    <w:rsid w:val="67D81BA4"/>
    <w:rsid w:val="68CD2460"/>
    <w:rsid w:val="6AAF1C96"/>
    <w:rsid w:val="75681757"/>
    <w:rsid w:val="75A346A8"/>
    <w:rsid w:val="76E85A92"/>
    <w:rsid w:val="79434A9C"/>
    <w:rsid w:val="79B9382C"/>
    <w:rsid w:val="7A603B7E"/>
    <w:rsid w:val="7AD64CE7"/>
    <w:rsid w:val="7B043B76"/>
    <w:rsid w:val="7B684DB2"/>
    <w:rsid w:val="7C041A6A"/>
    <w:rsid w:val="7C714539"/>
    <w:rsid w:val="7CFD0784"/>
    <w:rsid w:val="7D087A8D"/>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index 9"/>
    <w:basedOn w:val="1"/>
    <w:next w:val="1"/>
    <w:qFormat/>
    <w:uiPriority w:val="0"/>
    <w:pPr>
      <w:ind w:left="1600" w:leftChars="1600"/>
    </w:p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5.xml"/><Relationship Id="rId28" Type="http://schemas.openxmlformats.org/officeDocument/2006/relationships/chart" Target="charts/chart4.xml"/><Relationship Id="rId27" Type="http://schemas.openxmlformats.org/officeDocument/2006/relationships/chart" Target="charts/chart3.xml"/><Relationship Id="rId26" Type="http://schemas.openxmlformats.org/officeDocument/2006/relationships/chart" Target="charts/chart2.xml"/><Relationship Id="rId25" Type="http://schemas.openxmlformats.org/officeDocument/2006/relationships/chart" Target="charts/chart1.xml"/><Relationship Id="rId24" Type="http://schemas.openxmlformats.org/officeDocument/2006/relationships/image" Target="media/image1.bmp"/><Relationship Id="rId23" Type="http://schemas.openxmlformats.org/officeDocument/2006/relationships/theme" Target="theme/theme1.xml"/><Relationship Id="rId22" Type="http://schemas.openxmlformats.org/officeDocument/2006/relationships/footer" Target="footer7.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收入结构</a:t>
            </a:r>
          </a:p>
        </c:rich>
      </c:tx>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explosion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0%</c:formatCode>
                <c:ptCount val="4"/>
                <c:pt idx="0">
                  <c:v>1</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支出结构</a:t>
            </a:r>
          </a:p>
        </c:rich>
      </c:tx>
      <c:layout/>
      <c:overlay val="0"/>
      <c:spPr>
        <a:noFill/>
        <a:ln>
          <a:noFill/>
        </a:ln>
        <a:effectLst/>
      </c:spPr>
    </c:title>
    <c:autoTitleDeleted val="0"/>
    <c:plotArea>
      <c:layout/>
      <c:pieChart>
        <c:varyColors val="1"/>
        <c:ser>
          <c:idx val="0"/>
          <c:order val="0"/>
          <c:tx>
            <c:strRef>
              <c:f>Sheet1!$B$1</c:f>
              <c:strCache>
                <c:ptCount val="1"/>
                <c:pt idx="0">
                  <c:v>支出决算</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17.25</c:v>
                </c:pt>
                <c:pt idx="1">
                  <c:v>82.75</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540000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Sheet1!$B$2:$B$7</c:f>
              <c:numCache>
                <c:formatCode>General</c:formatCode>
                <c:ptCount val="6"/>
                <c:pt idx="0">
                  <c:v>16760.92</c:v>
                </c:pt>
                <c:pt idx="1">
                  <c:v>15828.98</c:v>
                </c:pt>
                <c:pt idx="2">
                  <c:v>15241.7</c:v>
                </c:pt>
                <c:pt idx="3">
                  <c:v>14346.66</c:v>
                </c:pt>
                <c:pt idx="4">
                  <c:v>1519.22</c:v>
                </c:pt>
                <c:pt idx="5">
                  <c:v>1482.32</c:v>
                </c:pt>
              </c:numCache>
            </c:numRef>
          </c:val>
        </c:ser>
        <c:ser>
          <c:idx val="1"/>
          <c:order val="1"/>
          <c:tx>
            <c:strRef>
              <c:f>Sheet1!$C$1</c:f>
              <c:strCache>
                <c:ptCount val="1"/>
                <c:pt idx="0">
                  <c:v>2019年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540000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Sheet1!$C$2:$C$7</c:f>
              <c:numCache>
                <c:formatCode>General</c:formatCode>
                <c:ptCount val="6"/>
                <c:pt idx="0">
                  <c:v>19880.34</c:v>
                </c:pt>
                <c:pt idx="1">
                  <c:v>20751.16</c:v>
                </c:pt>
                <c:pt idx="2">
                  <c:v>19780.34</c:v>
                </c:pt>
                <c:pt idx="3">
                  <c:v>19671.56</c:v>
                </c:pt>
                <c:pt idx="4">
                  <c:v>100</c:v>
                </c:pt>
                <c:pt idx="5">
                  <c:v>1079.6</c:v>
                </c:pt>
              </c:numCache>
            </c:numRef>
          </c:val>
        </c:ser>
        <c:dLbls>
          <c:showLegendKey val="0"/>
          <c:showVal val="1"/>
          <c:showCatName val="0"/>
          <c:showSerName val="0"/>
          <c:showPercent val="0"/>
          <c:showBubbleSize val="0"/>
        </c:dLbls>
        <c:gapWidth val="65"/>
        <c:overlap val="0"/>
        <c:axId val="207614720"/>
        <c:axId val="207616256"/>
      </c:barChart>
      <c:catAx>
        <c:axId val="207614720"/>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207616256"/>
        <c:crosses val="autoZero"/>
        <c:auto val="1"/>
        <c:lblAlgn val="ctr"/>
        <c:lblOffset val="100"/>
        <c:noMultiLvlLbl val="0"/>
      </c:catAx>
      <c:valAx>
        <c:axId val="2076162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20761472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2019年决算</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Sheet1!$B$2:$B$7</c:f>
              <c:numCache>
                <c:formatCode>General</c:formatCode>
                <c:ptCount val="6"/>
                <c:pt idx="0">
                  <c:v>19880.34</c:v>
                </c:pt>
                <c:pt idx="1">
                  <c:v>20751.16</c:v>
                </c:pt>
                <c:pt idx="2">
                  <c:v>19780.34</c:v>
                </c:pt>
                <c:pt idx="3">
                  <c:v>19671.56</c:v>
                </c:pt>
                <c:pt idx="4">
                  <c:v>100</c:v>
                </c:pt>
                <c:pt idx="5">
                  <c:v>1079.6</c:v>
                </c:pt>
              </c:numCache>
            </c:numRef>
          </c:val>
        </c:ser>
        <c:ser>
          <c:idx val="1"/>
          <c:order val="1"/>
          <c:tx>
            <c:strRef>
              <c:f>Sheet1!$C$1</c:f>
              <c:strCache>
                <c:ptCount val="1"/>
                <c:pt idx="0">
                  <c:v>2019年预算</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Sheet1!$C$2:$C$7</c:f>
              <c:numCache>
                <c:formatCode>General</c:formatCode>
                <c:ptCount val="6"/>
                <c:pt idx="0">
                  <c:v>13780.03</c:v>
                </c:pt>
                <c:pt idx="1">
                  <c:v>13780.03</c:v>
                </c:pt>
                <c:pt idx="2">
                  <c:v>12830.03</c:v>
                </c:pt>
                <c:pt idx="3">
                  <c:v>12830.03</c:v>
                </c:pt>
                <c:pt idx="4">
                  <c:v>950</c:v>
                </c:pt>
                <c:pt idx="5">
                  <c:v>950</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overlap val="0"/>
        <c:axId val="249822208"/>
        <c:axId val="249832192"/>
      </c:barChart>
      <c:catAx>
        <c:axId val="249822208"/>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249832192"/>
        <c:crosses val="autoZero"/>
        <c:auto val="1"/>
        <c:lblAlgn val="ctr"/>
        <c:lblOffset val="100"/>
        <c:noMultiLvlLbl val="0"/>
      </c:catAx>
      <c:valAx>
        <c:axId val="249832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24982220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财政拨款支出结构</a:t>
            </a:r>
          </a:p>
        </c:rich>
      </c:tx>
      <c:layout/>
      <c:overlay val="0"/>
      <c:spPr>
        <a:noFill/>
        <a:ln>
          <a:noFill/>
        </a:ln>
        <a:effectLst/>
      </c:spPr>
    </c:title>
    <c:autoTitleDeleted val="0"/>
    <c:plotArea>
      <c:layout/>
      <c:pieChart>
        <c:varyColors val="1"/>
        <c:ser>
          <c:idx val="0"/>
          <c:order val="0"/>
          <c:tx>
            <c:strRef>
              <c:f>Sheet1!$B$1</c:f>
              <c:strCache>
                <c:ptCount val="1"/>
                <c:pt idx="0">
                  <c:v>支出结构</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Sheet1!$A$2:$A$11</c:f>
              <c:strCache>
                <c:ptCount val="10"/>
                <c:pt idx="0">
                  <c:v>一般公共服务</c:v>
                </c:pt>
                <c:pt idx="1">
                  <c:v>科学技术支出</c:v>
                </c:pt>
                <c:pt idx="2">
                  <c:v>社会保障和就业支出</c:v>
                </c:pt>
                <c:pt idx="3">
                  <c:v>卫生健康支出</c:v>
                </c:pt>
                <c:pt idx="4">
                  <c:v>节能环保支出</c:v>
                </c:pt>
                <c:pt idx="5">
                  <c:v>城乡社区支出</c:v>
                </c:pt>
                <c:pt idx="6">
                  <c:v>农林水支出</c:v>
                </c:pt>
                <c:pt idx="7">
                  <c:v>住房保障支出</c:v>
                </c:pt>
                <c:pt idx="8">
                  <c:v>灾害防治及应急管理支出</c:v>
                </c:pt>
                <c:pt idx="9">
                  <c:v>其他支出</c:v>
                </c:pt>
              </c:strCache>
            </c:strRef>
          </c:cat>
          <c:val>
            <c:numRef>
              <c:f>Sheet1!$B$2:$B$11</c:f>
              <c:numCache>
                <c:formatCode>General</c:formatCode>
                <c:ptCount val="10"/>
                <c:pt idx="0">
                  <c:v>0.1</c:v>
                </c:pt>
                <c:pt idx="1">
                  <c:v>0.67</c:v>
                </c:pt>
                <c:pt idx="2">
                  <c:v>1.03</c:v>
                </c:pt>
                <c:pt idx="3">
                  <c:v>0.38</c:v>
                </c:pt>
                <c:pt idx="4">
                  <c:v>12.36</c:v>
                </c:pt>
                <c:pt idx="5">
                  <c:v>5.04</c:v>
                </c:pt>
                <c:pt idx="6">
                  <c:v>80.21</c:v>
                </c:pt>
                <c:pt idx="7">
                  <c:v>0.03</c:v>
                </c:pt>
                <c:pt idx="8">
                  <c:v>0.01</c:v>
                </c:pt>
                <c:pt idx="9">
                  <c:v>0.17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3</TotalTime>
  <ScaleCrop>false</ScaleCrop>
  <LinksUpToDate>false</LinksUpToDate>
  <CharactersWithSpaces>11119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你是满格的WiFi</cp:lastModifiedBy>
  <cp:lastPrinted>2020-11-25T07:06:00Z</cp:lastPrinted>
  <dcterms:modified xsi:type="dcterms:W3CDTF">2021-07-13T02:42:45Z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365A61EFA61E40D583D52F1F61E75A8A</vt:lpwstr>
  </property>
</Properties>
</file>