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 w:eastAsia="zh-CN"/>
        </w:rPr>
      </w:pPr>
      <w:r>
        <w:rPr>
          <w:rFonts w:ascii="宋体" w:cs="宋体"/>
          <w:kern w:val="0"/>
          <w:sz w:val="44"/>
          <w:szCs w:val="44"/>
          <w:lang w:val="zh-CN" w:eastAsia="zh-CN"/>
        </w:rPr>
        <w:t>廊坊市大城县人民法院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201</w:t>
      </w:r>
      <w:r>
        <w:rPr>
          <w:rFonts w:ascii="宋体" w:cs="宋体"/>
          <w:kern w:val="0"/>
          <w:sz w:val="44"/>
          <w:szCs w:val="44"/>
          <w:lang w:val="zh-CN"/>
        </w:rPr>
        <w:t>9</w:t>
      </w:r>
      <w:r>
        <w:rPr>
          <w:rFonts w:ascii="宋体" w:cs="宋体" w:hint="eastAsia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</w:p>
    <w:p>
      <w:pPr>
        <w:widowControl/>
        <w:spacing w:after="160" w:line="580" w:lineRule="exact"/>
        <w:ind w:firstLineChars="200" w:firstLine="640"/>
        <w:rPr>
          <w:rFonts w:ascii="Times New Roman" w:eastAsia="仿宋_GB2312" w:cs="Times New Roman" w:hAnsi="Times New Roman"/>
          <w:sz w:val="24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一、部门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职责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第二部分  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五、一般公共预算</w:t>
      </w:r>
      <w:r>
        <w:rPr>
          <w:rFonts w:ascii="Times New Roman" w:eastAsia="仿宋_GB2312" w:cs="Times New Roman" w:hAnsi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六</w:t>
      </w:r>
      <w:r>
        <w:rPr>
          <w:rFonts w:ascii="Times New Roman" w:eastAsia="仿宋_GB2312" w:cs="Times New Roman" w:hAnsi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七</w:t>
      </w:r>
      <w:r>
        <w:rPr>
          <w:rFonts w:ascii="Times New Roman" w:eastAsia="仿宋_GB2312" w:cs="Times New Roman" w:hAnsi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第三部分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黑体" w:cs="Times New Roman" w:hAnsi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</w:pPr>
      <w:r>
        <w:rPr>
          <w:rFonts w:ascii="Times New Roman" w:eastAsia="黑体" w:cs="Times New Roman" w:hAnsi="Times New Roman"/>
          <w:sz w:val="32"/>
          <w:szCs w:val="32"/>
        </w:rPr>
        <w:t>第</w:t>
      </w:r>
      <w:r>
        <w:rPr>
          <w:rFonts w:ascii="Times New Roman" w:eastAsia="黑体" w:cs="Times New Roman" w:hAnsi="Times New Roman" w:hint="eastAsia"/>
          <w:sz w:val="32"/>
          <w:szCs w:val="32"/>
        </w:rPr>
        <w:t>四</w:t>
      </w:r>
      <w:r>
        <w:rPr>
          <w:rFonts w:ascii="Times New Roman" w:eastAsia="黑体" w:cs="Times New Roman" w:hAnsi="Times New Roman"/>
          <w:sz w:val="32"/>
          <w:szCs w:val="32"/>
        </w:rPr>
        <w:t>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黑体" w:cs="Times New Roman" w:hAnsi="Times New Roman"/>
          <w:sz w:val="32"/>
          <w:szCs w:val="32"/>
        </w:rPr>
        <w:t>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年度部门决算报表</w:t>
      </w:r>
      <w:r>
        <w:rPr>
          <w:rFonts w:ascii="Times New Roman" w:eastAsia="黑体" w:cs="Times New Roman" w:hAnsi="Times New Roman"/>
          <w:sz w:val="32"/>
          <w:szCs w:val="32"/>
          <w:lang w:val="en-US"/>
        </w:rPr>
        <w:t>(</w:t>
      </w:r>
      <w:r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  <w:t>见附件）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1</Pages>
  <Words>176</Words>
  <Characters>185</Characters>
  <Lines>16</Lines>
  <Paragraphs>15</Paragraphs>
  <CharactersWithSpaces>193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2021-05-19T10:05:25Z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