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hint="eastAsia" w:ascii="楷体" w:hAnsi="楷体" w:eastAsia="宋体" w:cs="楷体"/>
          <w:b/>
          <w:sz w:val="44"/>
          <w:szCs w:val="44"/>
          <w:lang w:eastAsia="zh-CN"/>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lang w:eastAsia="zh-CN"/>
        </w:rPr>
        <w:t>大城县人民法院</w:t>
      </w:r>
    </w:p>
    <w:p>
      <w:pPr>
        <w:widowControl/>
        <w:spacing w:after="0" w:line="6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lang w:val="en-US" w:eastAsia="zh-CN"/>
        </w:rPr>
        <w:t xml:space="preserve">  </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大城县人民法院</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lang w:val="en-US" w:eastAsia="zh-CN"/>
        </w:rPr>
        <w:t xml:space="preserve">  </w:t>
      </w:r>
      <w:r>
        <w:rPr>
          <w:rFonts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
    <w:p/>
    <w:p/>
    <w:p/>
    <w:p/>
    <w:p/>
    <w:p/>
    <w:p>
      <w:pPr>
        <w:pStyle w:val="2"/>
        <w:pageBreakBefore w:val="0"/>
        <w:widowControl w:val="0"/>
        <w:kinsoku/>
        <w:wordWrap/>
        <w:overflowPunct/>
        <w:topLinePunct w:val="0"/>
        <w:autoSpaceDE/>
        <w:autoSpaceDN/>
        <w:bidi w:val="0"/>
        <w:adjustRightInd/>
        <w:snapToGrid/>
        <w:spacing w:before="0" w:after="0" w:line="560" w:lineRule="exact"/>
        <w:ind w:firstLine="640" w:firstLineChars="200"/>
        <w:jc w:val="left"/>
        <w:textAlignment w:val="auto"/>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(一)深入贯彻落实习近平新时代中国特色社会主义思想，深入贯彻党的路线方针政策和决策部署，坚持党对法院工作的绝对领导，坚决维护习近平总书记的核心地位，坚决维护党中央权威和集中统一领导。</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（二）依法审判法律规定由大城县人民法院管辖的刑事、民事、行政等第一审判案件。</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（三）依法审判上级人民法院指定、同级人民法院移送的刑事、民事、行政等第一审案件。</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（四）审查和受理各类申诉案件，审判各类再审案件，处理来信来访。</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（五）依法办理发生法律效力的民事、行政案件判决和裁定执行事项及刑事案件判决和裁定中关于财产部分的执行事项；办理法律规定由基层人民法院执行的其他法律文书的执行事项。</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（六）负责审判工作的调查研究，总结审判工作经验。</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（七）负责干警思想政治教育和业务培训工作；按照权限管理法官和其他工作人员。</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（八）管理有关经费及物资装备。</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（九）负责司法技术鉴定、通讯、计算机等技术管理工作。</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（十）负责审判工作中的法制宣传，教育公民忠于祖国，自觉遵守宪法、法律和社会公德。</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sz w:val="32"/>
          <w:szCs w:val="32"/>
          <w:lang w:val="en-US" w:eastAsia="zh-CN"/>
        </w:rPr>
        <w:t>（十一）完成其他应由大城县人民法院负责的工作。</w:t>
      </w:r>
    </w:p>
    <w:p>
      <w:pPr>
        <w:pStyle w:val="2"/>
        <w:pageBreakBefore w:val="0"/>
        <w:widowControl w:val="0"/>
        <w:kinsoku/>
        <w:wordWrap/>
        <w:overflowPunct/>
        <w:topLinePunct w:val="0"/>
        <w:autoSpaceDE/>
        <w:autoSpaceDN/>
        <w:bidi w:val="0"/>
        <w:adjustRightInd/>
        <w:snapToGrid/>
        <w:spacing w:before="0" w:after="0" w:line="560" w:lineRule="exact"/>
        <w:jc w:val="left"/>
        <w:textAlignment w:val="auto"/>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大城县人民法院（本级）</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1200" w:lineRule="exact"/>
        <w:jc w:val="center"/>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hAnsi="宋体" w:asciiTheme="minorEastAsia" w:eastAsiaTheme="minorEastAsia"/>
          <w:color w:val="000000" w:themeColor="text1"/>
          <w:sz w:val="72"/>
          <w:szCs w:val="96"/>
          <w:lang w:eastAsia="zh-CN"/>
        </w:rPr>
        <w:t>（见附表）</w:t>
      </w: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本部门2018年度收</w:t>
      </w:r>
      <w:r>
        <w:rPr>
          <w:rFonts w:hint="eastAsia" w:ascii="仿宋" w:hAnsi="仿宋" w:eastAsia="仿宋" w:cs="仿宋"/>
          <w:sz w:val="32"/>
          <w:szCs w:val="32"/>
          <w:lang w:eastAsia="zh-CN"/>
        </w:rPr>
        <w:t>入</w:t>
      </w:r>
      <w:r>
        <w:rPr>
          <w:rFonts w:hint="eastAsia" w:ascii="仿宋" w:hAnsi="仿宋" w:eastAsia="仿宋" w:cs="仿宋"/>
          <w:sz w:val="32"/>
          <w:szCs w:val="32"/>
        </w:rPr>
        <w:t>总计</w:t>
      </w:r>
      <w:r>
        <w:rPr>
          <w:rFonts w:hint="eastAsia" w:ascii="仿宋" w:hAnsi="仿宋" w:eastAsia="仿宋" w:cs="仿宋"/>
          <w:sz w:val="32"/>
          <w:szCs w:val="32"/>
          <w:lang w:eastAsia="zh-CN"/>
        </w:rPr>
        <w:t>（含结转结余）</w:t>
      </w:r>
      <w:r>
        <w:rPr>
          <w:rFonts w:hint="eastAsia" w:ascii="仿宋" w:hAnsi="仿宋" w:eastAsia="仿宋" w:cs="仿宋"/>
          <w:sz w:val="32"/>
          <w:szCs w:val="32"/>
          <w:lang w:val="en-US" w:eastAsia="zh-CN"/>
        </w:rPr>
        <w:t>4068.82</w:t>
      </w:r>
      <w:r>
        <w:rPr>
          <w:rFonts w:hint="eastAsia" w:ascii="仿宋" w:hAnsi="仿宋" w:eastAsia="仿宋" w:cs="仿宋"/>
          <w:sz w:val="32"/>
          <w:szCs w:val="32"/>
        </w:rPr>
        <w:t>万元</w:t>
      </w:r>
      <w:r>
        <w:rPr>
          <w:rFonts w:hint="eastAsia" w:ascii="仿宋" w:hAnsi="仿宋" w:eastAsia="仿宋" w:cs="仿宋"/>
          <w:sz w:val="32"/>
          <w:szCs w:val="32"/>
          <w:lang w:eastAsia="zh-CN"/>
        </w:rPr>
        <w:t>，</w:t>
      </w:r>
      <w:r>
        <w:rPr>
          <w:rFonts w:hint="eastAsia" w:ascii="仿宋" w:hAnsi="仿宋" w:eastAsia="仿宋" w:cs="仿宋"/>
          <w:sz w:val="32"/>
          <w:szCs w:val="32"/>
        </w:rPr>
        <w:t>与2017年度决算相比，</w:t>
      </w:r>
      <w:r>
        <w:rPr>
          <w:rFonts w:hint="eastAsia" w:ascii="仿宋" w:hAnsi="仿宋" w:eastAsia="仿宋" w:cs="仿宋"/>
          <w:sz w:val="32"/>
          <w:szCs w:val="32"/>
          <w:lang w:eastAsia="zh-CN"/>
        </w:rPr>
        <w:t>收入</w:t>
      </w:r>
      <w:r>
        <w:rPr>
          <w:rFonts w:hint="eastAsia" w:ascii="仿宋" w:hAnsi="仿宋" w:eastAsia="仿宋" w:cs="仿宋"/>
          <w:sz w:val="32"/>
          <w:szCs w:val="32"/>
        </w:rPr>
        <w:t>增加</w:t>
      </w:r>
      <w:r>
        <w:rPr>
          <w:rFonts w:hint="eastAsia" w:ascii="仿宋" w:hAnsi="仿宋" w:eastAsia="仿宋" w:cs="仿宋"/>
          <w:sz w:val="32"/>
          <w:szCs w:val="32"/>
          <w:lang w:val="en-US" w:eastAsia="zh-CN"/>
        </w:rPr>
        <w:t>1542.68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61.07</w:t>
      </w:r>
      <w:r>
        <w:rPr>
          <w:rFonts w:hint="eastAsia" w:ascii="仿宋" w:hAnsi="仿宋" w:eastAsia="仿宋" w:cs="仿宋"/>
          <w:sz w:val="32"/>
          <w:szCs w:val="32"/>
        </w:rPr>
        <w:t>%，主要</w:t>
      </w:r>
      <w:r>
        <w:rPr>
          <w:rFonts w:hint="eastAsia" w:ascii="仿宋" w:hAnsi="仿宋" w:eastAsia="仿宋" w:cs="仿宋"/>
          <w:sz w:val="32"/>
          <w:szCs w:val="32"/>
          <w:lang w:eastAsia="zh-CN"/>
        </w:rPr>
        <w:t>是新建审判楼工程需要；</w:t>
      </w:r>
      <w:r>
        <w:rPr>
          <w:rFonts w:hint="eastAsia" w:ascii="仿宋" w:hAnsi="仿宋" w:eastAsia="仿宋" w:cs="仿宋"/>
          <w:sz w:val="32"/>
          <w:szCs w:val="32"/>
          <w:lang w:val="en-US" w:eastAsia="zh-CN"/>
        </w:rPr>
        <w:t>本部门2018年度</w:t>
      </w:r>
      <w:r>
        <w:rPr>
          <w:rFonts w:hint="eastAsia" w:ascii="仿宋" w:hAnsi="仿宋" w:eastAsia="仿宋" w:cs="仿宋"/>
          <w:sz w:val="32"/>
          <w:szCs w:val="32"/>
          <w:lang w:eastAsia="zh-CN"/>
        </w:rPr>
        <w:t>支出总计</w:t>
      </w:r>
      <w:r>
        <w:rPr>
          <w:rFonts w:hint="eastAsia" w:ascii="仿宋" w:hAnsi="仿宋" w:eastAsia="仿宋" w:cs="仿宋"/>
          <w:sz w:val="32"/>
          <w:szCs w:val="32"/>
          <w:lang w:val="en-US" w:eastAsia="zh-CN"/>
        </w:rPr>
        <w:t>2099.93万元，</w:t>
      </w:r>
      <w:r>
        <w:rPr>
          <w:rFonts w:hint="eastAsia" w:ascii="仿宋" w:hAnsi="仿宋" w:eastAsia="仿宋" w:cs="仿宋"/>
          <w:sz w:val="32"/>
          <w:szCs w:val="32"/>
        </w:rPr>
        <w:t>与2017年度决算相比，</w:t>
      </w:r>
      <w:r>
        <w:rPr>
          <w:rFonts w:hint="eastAsia" w:ascii="仿宋" w:hAnsi="仿宋" w:eastAsia="仿宋" w:cs="仿宋"/>
          <w:sz w:val="32"/>
          <w:szCs w:val="32"/>
          <w:lang w:eastAsia="zh-CN"/>
        </w:rPr>
        <w:t>支出增加</w:t>
      </w:r>
      <w:r>
        <w:rPr>
          <w:rFonts w:hint="eastAsia" w:ascii="仿宋" w:hAnsi="仿宋" w:eastAsia="仿宋" w:cs="仿宋"/>
          <w:sz w:val="32"/>
          <w:szCs w:val="32"/>
          <w:lang w:val="en-US" w:eastAsia="zh-CN"/>
        </w:rPr>
        <w:t>34.37万元，增长1.66%，主要是人员经费支出的增加</w:t>
      </w:r>
      <w:r>
        <w:rPr>
          <w:rFonts w:hint="eastAsia" w:ascii="仿宋" w:hAnsi="仿宋" w:eastAsia="仿宋" w:cs="仿宋"/>
          <w:sz w:val="32"/>
          <w:szCs w:val="32"/>
        </w:rPr>
        <w:t>。</w:t>
      </w:r>
    </w:p>
    <w:p>
      <w:pPr>
        <w:pStyle w:val="3"/>
        <w:pageBreakBefore w:val="0"/>
        <w:widowControl w:val="0"/>
        <w:kinsoku/>
        <w:wordWrap/>
        <w:overflowPunct/>
        <w:topLinePunct w:val="0"/>
        <w:autoSpaceDE/>
        <w:autoSpaceDN/>
        <w:bidi w:val="0"/>
        <w:spacing w:before="0" w:after="0" w:line="560" w:lineRule="exact"/>
        <w:ind w:firstLine="640" w:firstLineChars="200"/>
        <w:textAlignment w:val="auto"/>
        <w:rPr>
          <w:rFonts w:ascii="黑体" w:eastAsia="黑体"/>
          <w:b w:val="0"/>
          <w:bCs w:val="0"/>
        </w:rPr>
      </w:pPr>
      <w:r>
        <w:rPr>
          <w:rFonts w:hint="eastAsia" w:ascii="黑体" w:eastAsia="黑体"/>
          <w:b w:val="0"/>
          <w:bCs w:val="0"/>
        </w:rPr>
        <w:t>二、收入决算情况说明</w:t>
      </w:r>
    </w:p>
    <w:p>
      <w:pPr>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3608.24</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3608.24</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如图所示：</w:t>
      </w:r>
    </w:p>
    <w:p>
      <w:pPr>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sz w:val="32"/>
          <w:szCs w:val="32"/>
        </w:rPr>
      </w:pPr>
      <w:r>
        <w:rPr>
          <w:rFonts w:hint="eastAsia" w:ascii="仿宋" w:hAnsi="仿宋" w:eastAsia="仿宋" w:cs="仿宋"/>
          <w:sz w:val="32"/>
        </w:rPr>
        <w:pict>
          <v:shape id="_x0000_s1026" o:spid="_x0000_s1026" o:spt="3" type="#_x0000_t3" style="position:absolute;left:0pt;margin-left:131.1pt;margin-top:36.5pt;height:178.9pt;width:185.6pt;z-index:251659264;mso-width-relative:page;mso-height-relative:page;" fillcolor="#0070C0" filled="t" stroked="t" coordsize="21600,21600">
            <v:path/>
            <v:fill on="t" color2="#FFFFFF" focussize="0,0"/>
            <v:stroke color="#000000"/>
            <v:imagedata o:title=""/>
            <o:lock v:ext="edit" aspectratio="f"/>
          </v:shape>
        </w:pict>
      </w:r>
      <w:r>
        <w:rPr>
          <w:rFonts w:hint="eastAsia" w:ascii="仿宋" w:hAnsi="仿宋" w:eastAsia="仿宋" w:cs="仿宋"/>
          <w:sz w:val="32"/>
          <w:szCs w:val="32"/>
        </w:rPr>
        <w:t>图1：收入决算结构饼状图</w:t>
      </w:r>
    </w:p>
    <w:p>
      <w:pPr>
        <w:rPr>
          <w:rFonts w:ascii="黑体" w:eastAsia="黑体" w:hAnsiTheme="majorHAnsi" w:cstheme="majorBidi"/>
          <w:sz w:val="32"/>
          <w:szCs w:val="32"/>
        </w:rPr>
      </w:pPr>
    </w:p>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rPr>
          <w:rFonts w:hint="eastAsia" w:ascii="黑体" w:eastAsia="黑体"/>
          <w:b w:val="0"/>
          <w:bCs w:val="0"/>
          <w:lang w:val="en-US" w:eastAsia="zh-CN"/>
        </w:rPr>
      </w:pPr>
      <w:r>
        <w:rPr>
          <w:rFonts w:hint="eastAsia" w:ascii="黑体" w:eastAsia="黑体"/>
          <w:b w:val="0"/>
          <w:bCs w:val="0"/>
          <w:lang w:val="en-US" w:eastAsia="zh-CN"/>
        </w:rPr>
        <w:t xml:space="preserve">                                           </w:t>
      </w:r>
    </w:p>
    <w:p>
      <w:pPr>
        <w:ind w:firstLine="3640" w:firstLineChars="1300"/>
        <w:rPr>
          <w:rFonts w:hint="eastAsia" w:ascii="黑体" w:eastAsia="黑体"/>
          <w:b w:val="0"/>
          <w:bCs w:val="0"/>
        </w:rPr>
      </w:pPr>
      <w:r>
        <w:rPr>
          <w:rFonts w:hint="eastAsia" w:ascii="黑体" w:eastAsia="黑体"/>
          <w:b w:val="0"/>
          <w:bCs w:val="0"/>
          <w:sz w:val="28"/>
          <w:szCs w:val="28"/>
          <w:lang w:val="en-US" w:eastAsia="zh-CN"/>
        </w:rPr>
        <w:t>财政拨款100%</w:t>
      </w:r>
    </w:p>
    <w:p>
      <w:pPr>
        <w:pStyle w:val="3"/>
        <w:pageBreakBefore w:val="0"/>
        <w:widowControl w:val="0"/>
        <w:kinsoku/>
        <w:wordWrap/>
        <w:overflowPunct/>
        <w:topLinePunct w:val="0"/>
        <w:autoSpaceDE/>
        <w:autoSpaceDN/>
        <w:bidi w:val="0"/>
        <w:spacing w:before="0" w:after="0" w:line="560" w:lineRule="exact"/>
        <w:ind w:firstLine="640" w:firstLineChars="200"/>
        <w:textAlignment w:val="auto"/>
        <w:rPr>
          <w:rFonts w:ascii="黑体" w:eastAsia="黑体"/>
          <w:b w:val="0"/>
          <w:bCs w:val="0"/>
        </w:rPr>
      </w:pPr>
      <w:r>
        <w:rPr>
          <w:rFonts w:hint="eastAsia" w:ascii="黑体" w:eastAsia="黑体"/>
          <w:b w:val="0"/>
          <w:bCs w:val="0"/>
        </w:rPr>
        <w:t>三、支出决算情况说明</w:t>
      </w:r>
    </w:p>
    <w:p>
      <w:pPr>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eastAsia="仿宋_GB2312"/>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209.93</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1244.35</w:t>
      </w:r>
      <w:r>
        <w:rPr>
          <w:rFonts w:hint="eastAsia" w:ascii="仿宋" w:hAnsi="仿宋" w:eastAsia="仿宋" w:cs="仿宋"/>
          <w:sz w:val="32"/>
          <w:szCs w:val="32"/>
        </w:rPr>
        <w:t>万元，占</w:t>
      </w:r>
      <w:r>
        <w:rPr>
          <w:rFonts w:hint="eastAsia" w:ascii="仿宋" w:hAnsi="仿宋" w:eastAsia="仿宋" w:cs="仿宋"/>
          <w:sz w:val="32"/>
          <w:szCs w:val="32"/>
          <w:lang w:val="en-US" w:eastAsia="zh-CN"/>
        </w:rPr>
        <w:t>59.26</w:t>
      </w:r>
      <w:r>
        <w:rPr>
          <w:rFonts w:hint="eastAsia" w:ascii="仿宋" w:hAnsi="仿宋" w:eastAsia="仿宋" w:cs="仿宋"/>
          <w:sz w:val="32"/>
          <w:szCs w:val="32"/>
        </w:rPr>
        <w:t>%；项目支出</w:t>
      </w:r>
      <w:r>
        <w:rPr>
          <w:rFonts w:hint="eastAsia" w:ascii="仿宋" w:hAnsi="仿宋" w:eastAsia="仿宋" w:cs="仿宋"/>
          <w:sz w:val="32"/>
          <w:szCs w:val="32"/>
          <w:lang w:val="en-US" w:eastAsia="zh-CN"/>
        </w:rPr>
        <w:t>855.58</w:t>
      </w:r>
      <w:r>
        <w:rPr>
          <w:rFonts w:hint="eastAsia" w:ascii="仿宋" w:hAnsi="仿宋" w:eastAsia="仿宋" w:cs="仿宋"/>
          <w:sz w:val="32"/>
          <w:szCs w:val="32"/>
        </w:rPr>
        <w:t>万元，占</w:t>
      </w:r>
      <w:r>
        <w:rPr>
          <w:rFonts w:hint="eastAsia" w:ascii="仿宋" w:hAnsi="仿宋" w:eastAsia="仿宋" w:cs="仿宋"/>
          <w:sz w:val="32"/>
          <w:szCs w:val="32"/>
          <w:lang w:val="en-US" w:eastAsia="zh-CN"/>
        </w:rPr>
        <w:t>40.74</w:t>
      </w:r>
      <w:r>
        <w:rPr>
          <w:rFonts w:hint="eastAsia" w:ascii="仿宋" w:hAnsi="仿宋" w:eastAsia="仿宋" w:cs="仿宋"/>
          <w:sz w:val="32"/>
          <w:szCs w:val="32"/>
        </w:rPr>
        <w:t>%。如图所示：</w:t>
      </w:r>
    </w:p>
    <w:p>
      <w:pPr>
        <w:adjustRightInd w:val="0"/>
        <w:snapToGrid w:val="0"/>
        <w:spacing w:after="0" w:line="580" w:lineRule="exact"/>
        <w:jc w:val="center"/>
        <w:rPr>
          <w:rFonts w:eastAsia="仿宋_GB2312"/>
          <w:sz w:val="32"/>
          <w:szCs w:val="32"/>
        </w:rPr>
      </w:pPr>
      <w:r>
        <w:rPr>
          <w:rFonts w:eastAsia="仿宋_GB2312"/>
          <w:sz w:val="32"/>
          <w:szCs w:val="32"/>
        </w:rPr>
        <w:t>图2：支出决算结构饼状图</w:t>
      </w:r>
    </w:p>
    <w:p>
      <w:pPr>
        <w:adjustRightInd w:val="0"/>
        <w:snapToGrid w:val="0"/>
        <w:spacing w:after="0" w:line="240" w:lineRule="auto"/>
        <w:jc w:val="center"/>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6184900" cy="3717925"/>
            <wp:effectExtent l="0" t="0" r="6350" b="1587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4"/>
                    <a:stretch>
                      <a:fillRect/>
                    </a:stretch>
                  </pic:blipFill>
                  <pic:spPr>
                    <a:xfrm>
                      <a:off x="0" y="0"/>
                      <a:ext cx="6184900" cy="3717925"/>
                    </a:xfrm>
                    <a:prstGeom prst="rect">
                      <a:avLst/>
                    </a:prstGeom>
                  </pic:spPr>
                </pic:pic>
              </a:graphicData>
            </a:graphic>
          </wp:inline>
        </w:drawing>
      </w:r>
    </w:p>
    <w:p>
      <w:pPr>
        <w:pStyle w:val="3"/>
        <w:pageBreakBefore w:val="0"/>
        <w:widowControl w:val="0"/>
        <w:kinsoku/>
        <w:wordWrap/>
        <w:overflowPunct/>
        <w:topLinePunct w:val="0"/>
        <w:autoSpaceDE/>
        <w:autoSpaceDN/>
        <w:bidi w:val="0"/>
        <w:spacing w:before="0" w:after="0" w:line="560" w:lineRule="exact"/>
        <w:ind w:firstLine="640" w:firstLineChars="200"/>
        <w:textAlignment w:val="auto"/>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pageBreakBefore w:val="0"/>
        <w:widowControl w:val="0"/>
        <w:kinsoku/>
        <w:wordWrap/>
        <w:overflowPunct/>
        <w:topLinePunct w:val="0"/>
        <w:autoSpaceDE/>
        <w:autoSpaceDN/>
        <w:bidi w:val="0"/>
        <w:spacing w:after="0" w:line="560" w:lineRule="exact"/>
        <w:ind w:firstLine="643" w:firstLineChars="200"/>
        <w:textAlignment w:val="auto"/>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3608.24</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1494.99</w:t>
      </w:r>
      <w:r>
        <w:rPr>
          <w:rFonts w:hint="eastAsia" w:ascii="仿宋" w:hAnsi="仿宋" w:eastAsia="仿宋" w:cs="仿宋"/>
          <w:sz w:val="32"/>
          <w:szCs w:val="32"/>
        </w:rPr>
        <w:t>万元，增长</w:t>
      </w:r>
      <w:r>
        <w:rPr>
          <w:rFonts w:hint="eastAsia" w:ascii="仿宋" w:hAnsi="仿宋" w:eastAsia="仿宋" w:cs="仿宋"/>
          <w:sz w:val="32"/>
          <w:szCs w:val="32"/>
          <w:lang w:val="en-US" w:eastAsia="zh-CN"/>
        </w:rPr>
        <w:t>70.74</w:t>
      </w:r>
      <w:r>
        <w:rPr>
          <w:rFonts w:hint="eastAsia" w:ascii="仿宋" w:hAnsi="仿宋" w:eastAsia="仿宋" w:cs="仿宋"/>
          <w:sz w:val="32"/>
          <w:szCs w:val="32"/>
        </w:rPr>
        <w:t>%，主要是</w:t>
      </w:r>
      <w:r>
        <w:rPr>
          <w:rFonts w:hint="eastAsia" w:ascii="仿宋" w:hAnsi="仿宋" w:eastAsia="仿宋" w:cs="仿宋"/>
          <w:sz w:val="32"/>
          <w:szCs w:val="32"/>
          <w:lang w:eastAsia="zh-CN"/>
        </w:rPr>
        <w:t>新建审判楼工程需要</w:t>
      </w:r>
      <w:r>
        <w:rPr>
          <w:rFonts w:hint="eastAsia" w:ascii="仿宋" w:hAnsi="仿宋" w:eastAsia="仿宋" w:cs="仿宋"/>
          <w:sz w:val="32"/>
          <w:szCs w:val="32"/>
        </w:rPr>
        <w:t>；本年支出</w:t>
      </w:r>
      <w:r>
        <w:rPr>
          <w:rFonts w:hint="eastAsia" w:ascii="仿宋" w:hAnsi="仿宋" w:eastAsia="仿宋" w:cs="仿宋"/>
          <w:sz w:val="32"/>
          <w:szCs w:val="32"/>
          <w:lang w:val="en-US" w:eastAsia="zh-CN"/>
        </w:rPr>
        <w:t>2099.93</w:t>
      </w:r>
      <w:r>
        <w:rPr>
          <w:rFonts w:hint="eastAsia" w:ascii="仿宋" w:hAnsi="仿宋" w:eastAsia="仿宋" w:cs="仿宋"/>
          <w:sz w:val="32"/>
          <w:szCs w:val="32"/>
        </w:rPr>
        <w:t>万元，增加</w:t>
      </w:r>
      <w:r>
        <w:rPr>
          <w:rFonts w:hint="eastAsia" w:ascii="仿宋" w:hAnsi="仿宋" w:eastAsia="仿宋" w:cs="仿宋"/>
          <w:sz w:val="32"/>
          <w:szCs w:val="32"/>
          <w:lang w:val="en-US" w:eastAsia="zh-CN"/>
        </w:rPr>
        <w:t>34.37</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1.66</w:t>
      </w:r>
      <w:r>
        <w:rPr>
          <w:rFonts w:hint="eastAsia" w:ascii="仿宋" w:hAnsi="仿宋" w:eastAsia="仿宋" w:cs="仿宋"/>
          <w:sz w:val="32"/>
          <w:szCs w:val="32"/>
        </w:rPr>
        <w:t>%，主要是</w:t>
      </w:r>
      <w:r>
        <w:rPr>
          <w:rFonts w:hint="eastAsia" w:ascii="仿宋" w:hAnsi="仿宋" w:eastAsia="仿宋" w:cs="仿宋"/>
          <w:sz w:val="32"/>
          <w:szCs w:val="32"/>
          <w:lang w:val="en-US" w:eastAsia="zh-CN"/>
        </w:rPr>
        <w:t>人员经费支出及项目支出的增加</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其中：一般公共预算财政拨款本年收入</w:t>
      </w:r>
      <w:r>
        <w:rPr>
          <w:rFonts w:hint="eastAsia" w:ascii="仿宋" w:hAnsi="仿宋" w:eastAsia="仿宋" w:cs="仿宋"/>
          <w:sz w:val="32"/>
          <w:szCs w:val="32"/>
          <w:lang w:val="en-US" w:eastAsia="zh-CN"/>
        </w:rPr>
        <w:t>2650.76</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537.51</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lang w:val="en-US" w:eastAsia="zh-CN"/>
        </w:rPr>
        <w:t>25.44%，</w:t>
      </w:r>
      <w:r>
        <w:rPr>
          <w:rFonts w:hint="eastAsia" w:ascii="仿宋" w:hAnsi="仿宋" w:eastAsia="仿宋" w:cs="仿宋"/>
          <w:sz w:val="32"/>
          <w:szCs w:val="32"/>
        </w:rPr>
        <w:t>主要是</w:t>
      </w:r>
      <w:r>
        <w:rPr>
          <w:rFonts w:hint="eastAsia" w:ascii="仿宋" w:hAnsi="仿宋" w:eastAsia="仿宋" w:cs="仿宋"/>
          <w:sz w:val="32"/>
          <w:szCs w:val="32"/>
          <w:lang w:eastAsia="zh-CN"/>
        </w:rPr>
        <w:t>新建审判楼工程需要</w:t>
      </w:r>
      <w:r>
        <w:rPr>
          <w:rFonts w:hint="eastAsia" w:ascii="仿宋" w:hAnsi="仿宋" w:eastAsia="仿宋" w:cs="仿宋"/>
          <w:sz w:val="32"/>
          <w:szCs w:val="32"/>
        </w:rPr>
        <w:t>；本年支出</w:t>
      </w:r>
      <w:r>
        <w:rPr>
          <w:rFonts w:hint="eastAsia" w:ascii="仿宋" w:hAnsi="仿宋" w:eastAsia="仿宋" w:cs="仿宋"/>
          <w:sz w:val="32"/>
          <w:szCs w:val="32"/>
          <w:lang w:val="en-US" w:eastAsia="zh-CN"/>
        </w:rPr>
        <w:t>2050.76</w:t>
      </w:r>
      <w:r>
        <w:rPr>
          <w:rFonts w:hint="eastAsia" w:ascii="仿宋" w:hAnsi="仿宋" w:eastAsia="仿宋" w:cs="仿宋"/>
          <w:sz w:val="32"/>
          <w:szCs w:val="32"/>
        </w:rPr>
        <w:t>万元，比2017年度减少</w:t>
      </w:r>
      <w:r>
        <w:rPr>
          <w:rFonts w:hint="eastAsia" w:ascii="仿宋" w:hAnsi="仿宋" w:eastAsia="仿宋" w:cs="仿宋"/>
          <w:sz w:val="32"/>
          <w:szCs w:val="32"/>
          <w:lang w:val="en-US" w:eastAsia="zh-CN"/>
        </w:rPr>
        <w:t>14.8</w:t>
      </w:r>
      <w:r>
        <w:rPr>
          <w:rFonts w:hint="eastAsia" w:ascii="仿宋" w:hAnsi="仿宋" w:eastAsia="仿宋" w:cs="仿宋"/>
          <w:sz w:val="32"/>
          <w:szCs w:val="32"/>
        </w:rPr>
        <w:t>万元，降低</w:t>
      </w:r>
      <w:r>
        <w:rPr>
          <w:rFonts w:hint="eastAsia" w:ascii="仿宋" w:hAnsi="仿宋" w:eastAsia="仿宋" w:cs="仿宋"/>
          <w:sz w:val="32"/>
          <w:szCs w:val="32"/>
          <w:lang w:val="en-US" w:eastAsia="zh-CN"/>
        </w:rPr>
        <w:t>0.7</w:t>
      </w:r>
      <w:r>
        <w:rPr>
          <w:rFonts w:hint="eastAsia" w:ascii="仿宋" w:hAnsi="仿宋" w:eastAsia="仿宋" w:cs="仿宋"/>
          <w:sz w:val="32"/>
          <w:szCs w:val="32"/>
        </w:rPr>
        <w:t>%，主要是</w:t>
      </w:r>
      <w:r>
        <w:rPr>
          <w:rFonts w:hint="eastAsia" w:ascii="仿宋" w:hAnsi="仿宋" w:eastAsia="仿宋" w:cs="仿宋"/>
          <w:sz w:val="32"/>
          <w:szCs w:val="32"/>
          <w:lang w:eastAsia="zh-CN"/>
        </w:rPr>
        <w:t>控制公用经费支出</w:t>
      </w:r>
      <w:r>
        <w:rPr>
          <w:rFonts w:hint="eastAsia" w:ascii="仿宋" w:hAnsi="仿宋" w:eastAsia="仿宋" w:cs="仿宋"/>
          <w:sz w:val="32"/>
          <w:szCs w:val="32"/>
        </w:rPr>
        <w:t>。政府性基金预算财政拨款本年收入</w:t>
      </w:r>
      <w:r>
        <w:rPr>
          <w:rFonts w:hint="eastAsia" w:ascii="仿宋" w:hAnsi="仿宋" w:eastAsia="仿宋" w:cs="仿宋"/>
          <w:sz w:val="32"/>
          <w:szCs w:val="32"/>
          <w:lang w:val="en-US" w:eastAsia="zh-CN"/>
        </w:rPr>
        <w:t>957.48</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957.48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100</w:t>
      </w:r>
      <w:r>
        <w:rPr>
          <w:rFonts w:hint="eastAsia" w:ascii="仿宋" w:hAnsi="仿宋" w:eastAsia="仿宋" w:cs="仿宋"/>
          <w:sz w:val="32"/>
          <w:szCs w:val="32"/>
        </w:rPr>
        <w:t>%，主要是</w:t>
      </w:r>
      <w:r>
        <w:rPr>
          <w:rFonts w:hint="eastAsia" w:ascii="仿宋" w:hAnsi="仿宋" w:eastAsia="仿宋" w:cs="仿宋"/>
          <w:sz w:val="32"/>
          <w:szCs w:val="32"/>
          <w:lang w:eastAsia="zh-CN"/>
        </w:rPr>
        <w:t>新建审判楼工程需要，</w:t>
      </w:r>
      <w:r>
        <w:rPr>
          <w:rFonts w:hint="eastAsia" w:ascii="仿宋" w:hAnsi="仿宋" w:eastAsia="仿宋" w:cs="仿宋"/>
          <w:sz w:val="32"/>
          <w:szCs w:val="32"/>
        </w:rPr>
        <w:t>本年支出</w:t>
      </w:r>
      <w:r>
        <w:rPr>
          <w:rFonts w:hint="eastAsia" w:ascii="仿宋" w:hAnsi="仿宋" w:eastAsia="仿宋" w:cs="仿宋"/>
          <w:sz w:val="32"/>
          <w:szCs w:val="32"/>
          <w:lang w:val="en-US" w:eastAsia="zh-CN"/>
        </w:rPr>
        <w:t>29.77</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29.77</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100</w:t>
      </w:r>
      <w:r>
        <w:rPr>
          <w:rFonts w:hint="eastAsia" w:ascii="仿宋" w:hAnsi="仿宋" w:eastAsia="仿宋" w:cs="仿宋"/>
          <w:sz w:val="32"/>
          <w:szCs w:val="32"/>
        </w:rPr>
        <w:t>%，主要是</w:t>
      </w:r>
      <w:r>
        <w:rPr>
          <w:rFonts w:hint="eastAsia" w:ascii="仿宋" w:hAnsi="仿宋" w:eastAsia="仿宋" w:cs="仿宋"/>
          <w:sz w:val="32"/>
          <w:szCs w:val="32"/>
          <w:lang w:eastAsia="zh-CN"/>
        </w:rPr>
        <w:t>新建审判庭费用支出</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图3：财政拨款收支情况</w:t>
      </w:r>
    </w:p>
    <w:p>
      <w:pPr>
        <w:adjustRightInd w:val="0"/>
        <w:snapToGrid w:val="0"/>
        <w:spacing w:after="0" w:line="580" w:lineRule="exact"/>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w:t>
      </w:r>
    </w:p>
    <w:p>
      <w:pPr>
        <w:adjustRightInd w:val="0"/>
        <w:snapToGrid w:val="0"/>
        <w:spacing w:after="0" w:line="240" w:lineRule="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5535930" cy="3327400"/>
            <wp:effectExtent l="0" t="0" r="7620" b="635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5"/>
                    <a:stretch>
                      <a:fillRect/>
                    </a:stretch>
                  </pic:blipFill>
                  <pic:spPr>
                    <a:xfrm>
                      <a:off x="0" y="0"/>
                      <a:ext cx="5535930" cy="3327400"/>
                    </a:xfrm>
                    <a:prstGeom prst="rect">
                      <a:avLst/>
                    </a:prstGeom>
                  </pic:spPr>
                </pic:pic>
              </a:graphicData>
            </a:graphic>
          </wp:inline>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3608.24</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与</w:t>
      </w:r>
      <w:r>
        <w:rPr>
          <w:rFonts w:hint="eastAsia" w:ascii="仿宋" w:hAnsi="仿宋" w:eastAsia="仿宋" w:cs="仿宋"/>
          <w:sz w:val="32"/>
          <w:szCs w:val="32"/>
        </w:rPr>
        <w:t>年初预算</w:t>
      </w:r>
      <w:r>
        <w:rPr>
          <w:rFonts w:hint="eastAsia" w:ascii="仿宋" w:hAnsi="仿宋" w:eastAsia="仿宋" w:cs="仿宋"/>
          <w:sz w:val="32"/>
          <w:szCs w:val="32"/>
          <w:lang w:eastAsia="zh-CN"/>
        </w:rPr>
        <w:t>相较无变动</w:t>
      </w:r>
      <w:r>
        <w:rPr>
          <w:rFonts w:hint="eastAsia" w:ascii="仿宋" w:hAnsi="仿宋" w:eastAsia="仿宋" w:cs="仿宋"/>
          <w:sz w:val="32"/>
          <w:szCs w:val="32"/>
        </w:rPr>
        <w:t>；本年支出</w:t>
      </w:r>
      <w:r>
        <w:rPr>
          <w:rFonts w:hint="eastAsia" w:ascii="仿宋" w:hAnsi="仿宋" w:eastAsia="仿宋" w:cs="仿宋"/>
          <w:sz w:val="32"/>
          <w:szCs w:val="32"/>
          <w:lang w:val="en-US" w:eastAsia="zh-CN"/>
        </w:rPr>
        <w:t>2099.93</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58.20</w:t>
      </w:r>
      <w:r>
        <w:rPr>
          <w:rFonts w:hint="eastAsia" w:ascii="仿宋" w:hAnsi="仿宋" w:eastAsia="仿宋" w:cs="仿宋"/>
          <w:sz w:val="32"/>
          <w:szCs w:val="32"/>
        </w:rPr>
        <w:t>%,比年初预算减少</w:t>
      </w:r>
      <w:r>
        <w:rPr>
          <w:rFonts w:hint="eastAsia" w:ascii="仿宋" w:hAnsi="仿宋" w:eastAsia="仿宋" w:cs="仿宋"/>
          <w:sz w:val="32"/>
          <w:szCs w:val="32"/>
          <w:lang w:val="en-US" w:eastAsia="zh-CN"/>
        </w:rPr>
        <w:t>1508.31</w:t>
      </w:r>
      <w:r>
        <w:rPr>
          <w:rFonts w:hint="eastAsia" w:ascii="仿宋" w:hAnsi="仿宋" w:eastAsia="仿宋" w:cs="仿宋"/>
          <w:sz w:val="32"/>
          <w:szCs w:val="32"/>
        </w:rPr>
        <w:t>万元，决算数小于预算数主要是</w:t>
      </w:r>
      <w:r>
        <w:rPr>
          <w:rFonts w:hint="eastAsia" w:ascii="仿宋" w:hAnsi="仿宋" w:eastAsia="仿宋" w:cs="仿宋"/>
          <w:sz w:val="32"/>
          <w:szCs w:val="32"/>
          <w:lang w:eastAsia="zh-CN"/>
        </w:rPr>
        <w:t>理性节约，压减支出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其中，一般公共预算财政拨款本年收入完成年初预算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与</w:t>
      </w:r>
      <w:r>
        <w:rPr>
          <w:rFonts w:hint="eastAsia" w:ascii="仿宋" w:hAnsi="仿宋" w:eastAsia="仿宋" w:cs="仿宋"/>
          <w:sz w:val="32"/>
          <w:szCs w:val="32"/>
        </w:rPr>
        <w:t>年初预算</w:t>
      </w:r>
      <w:r>
        <w:rPr>
          <w:rFonts w:hint="eastAsia" w:ascii="仿宋" w:hAnsi="仿宋" w:eastAsia="仿宋" w:cs="仿宋"/>
          <w:sz w:val="32"/>
          <w:szCs w:val="32"/>
          <w:lang w:eastAsia="zh-CN"/>
        </w:rPr>
        <w:t>相比较无变动</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77.36</w:t>
      </w:r>
      <w:r>
        <w:rPr>
          <w:rFonts w:hint="eastAsia" w:ascii="仿宋" w:hAnsi="仿宋" w:eastAsia="仿宋" w:cs="仿宋"/>
          <w:sz w:val="32"/>
          <w:szCs w:val="32"/>
        </w:rPr>
        <w:t>%，比年初预算减少</w:t>
      </w:r>
      <w:r>
        <w:rPr>
          <w:rFonts w:hint="eastAsia" w:ascii="仿宋" w:hAnsi="仿宋" w:eastAsia="仿宋" w:cs="仿宋"/>
          <w:sz w:val="32"/>
          <w:szCs w:val="32"/>
          <w:lang w:val="en-US" w:eastAsia="zh-CN"/>
        </w:rPr>
        <w:t>600</w:t>
      </w:r>
      <w:r>
        <w:rPr>
          <w:rFonts w:hint="eastAsia" w:ascii="仿宋" w:hAnsi="仿宋" w:eastAsia="仿宋" w:cs="仿宋"/>
          <w:sz w:val="32"/>
          <w:szCs w:val="32"/>
        </w:rPr>
        <w:t>万元，决算数小于预算数主要是</w:t>
      </w:r>
      <w:r>
        <w:rPr>
          <w:rFonts w:hint="eastAsia" w:ascii="仿宋" w:hAnsi="仿宋" w:eastAsia="仿宋" w:cs="仿宋"/>
          <w:sz w:val="32"/>
          <w:szCs w:val="32"/>
          <w:lang w:eastAsia="zh-CN"/>
        </w:rPr>
        <w:t>压减支出</w:t>
      </w:r>
      <w:r>
        <w:rPr>
          <w:rFonts w:hint="eastAsia" w:ascii="仿宋" w:hAnsi="仿宋" w:eastAsia="仿宋" w:cs="仿宋"/>
          <w:sz w:val="32"/>
          <w:szCs w:val="32"/>
        </w:rPr>
        <w:t>。政府性基金预算财政拨款本年收入完成年初预算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与</w:t>
      </w:r>
      <w:r>
        <w:rPr>
          <w:rFonts w:hint="eastAsia" w:ascii="仿宋" w:hAnsi="仿宋" w:eastAsia="仿宋" w:cs="仿宋"/>
          <w:sz w:val="32"/>
          <w:szCs w:val="32"/>
        </w:rPr>
        <w:t>年初预算</w:t>
      </w:r>
      <w:r>
        <w:rPr>
          <w:rFonts w:hint="eastAsia" w:ascii="仿宋" w:hAnsi="仿宋" w:eastAsia="仿宋" w:cs="仿宋"/>
          <w:sz w:val="32"/>
          <w:szCs w:val="32"/>
          <w:lang w:eastAsia="zh-CN"/>
        </w:rPr>
        <w:t>相比较无变动</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3.11</w:t>
      </w:r>
      <w:r>
        <w:rPr>
          <w:rFonts w:hint="eastAsia" w:ascii="仿宋" w:hAnsi="仿宋" w:eastAsia="仿宋" w:cs="仿宋"/>
          <w:sz w:val="32"/>
          <w:szCs w:val="32"/>
        </w:rPr>
        <w:t>%，比年初预算减少</w:t>
      </w:r>
      <w:r>
        <w:rPr>
          <w:rFonts w:hint="eastAsia" w:ascii="仿宋" w:hAnsi="仿宋" w:eastAsia="仿宋" w:cs="仿宋"/>
          <w:sz w:val="32"/>
          <w:szCs w:val="32"/>
          <w:lang w:val="en-US" w:eastAsia="zh-CN"/>
        </w:rPr>
        <w:t>927.71</w:t>
      </w:r>
      <w:r>
        <w:rPr>
          <w:rFonts w:hint="eastAsia" w:ascii="仿宋" w:hAnsi="仿宋" w:eastAsia="仿宋" w:cs="仿宋"/>
          <w:sz w:val="32"/>
          <w:szCs w:val="32"/>
        </w:rPr>
        <w:t>万元，决算数小于预算数主要是</w:t>
      </w:r>
      <w:r>
        <w:rPr>
          <w:rFonts w:hint="eastAsia" w:ascii="仿宋" w:hAnsi="仿宋" w:eastAsia="仿宋" w:cs="仿宋"/>
          <w:sz w:val="32"/>
          <w:szCs w:val="32"/>
          <w:lang w:val="en-US" w:eastAsia="zh-CN"/>
        </w:rPr>
        <w:t>2018年度新建审判楼费用支出较少</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240" w:lineRule="auto"/>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inline distT="0" distB="0" distL="114300" distR="114300">
            <wp:extent cx="5869305" cy="3528060"/>
            <wp:effectExtent l="0" t="0" r="17145" b="1524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6"/>
                    <a:stretch>
                      <a:fillRect/>
                    </a:stretch>
                  </pic:blipFill>
                  <pic:spPr>
                    <a:xfrm>
                      <a:off x="0" y="0"/>
                      <a:ext cx="5869305" cy="3528060"/>
                    </a:xfrm>
                    <a:prstGeom prst="rect">
                      <a:avLst/>
                    </a:prstGeom>
                  </pic:spPr>
                </pic:pic>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2018 年度财政拨款支出</w:t>
      </w:r>
      <w:r>
        <w:rPr>
          <w:rFonts w:hint="eastAsia" w:ascii="仿宋" w:hAnsi="仿宋" w:eastAsia="仿宋" w:cs="仿宋"/>
          <w:sz w:val="32"/>
          <w:szCs w:val="32"/>
          <w:lang w:val="en-US" w:eastAsia="zh-CN"/>
        </w:rPr>
        <w:t>2099.93</w:t>
      </w:r>
      <w:r>
        <w:rPr>
          <w:rFonts w:hint="eastAsia" w:ascii="仿宋" w:hAnsi="仿宋" w:eastAsia="仿宋" w:cs="仿宋"/>
          <w:sz w:val="32"/>
          <w:szCs w:val="32"/>
        </w:rPr>
        <w:t>万元，主要用于以下方面</w:t>
      </w:r>
      <w:r>
        <w:rPr>
          <w:rFonts w:hint="eastAsia" w:ascii="仿宋" w:hAnsi="仿宋" w:eastAsia="仿宋" w:cs="仿宋"/>
          <w:sz w:val="32"/>
          <w:szCs w:val="32"/>
          <w:lang w:val="en-US" w:eastAsia="zh-CN"/>
        </w:rPr>
        <w:t>:</w:t>
      </w:r>
      <w:r>
        <w:rPr>
          <w:rFonts w:hint="eastAsia" w:ascii="仿宋" w:hAnsi="仿宋" w:eastAsia="仿宋" w:cs="仿宋"/>
          <w:sz w:val="32"/>
          <w:szCs w:val="32"/>
        </w:rPr>
        <w:t>公共安全（类）支出</w:t>
      </w:r>
      <w:r>
        <w:rPr>
          <w:rFonts w:hint="eastAsia" w:ascii="仿宋" w:hAnsi="仿宋" w:eastAsia="仿宋" w:cs="仿宋"/>
          <w:sz w:val="32"/>
          <w:szCs w:val="32"/>
          <w:lang w:val="en-US" w:eastAsia="zh-CN"/>
        </w:rPr>
        <w:t>1946.45</w:t>
      </w:r>
      <w:r>
        <w:rPr>
          <w:rFonts w:hint="eastAsia" w:ascii="仿宋" w:hAnsi="仿宋" w:eastAsia="仿宋" w:cs="仿宋"/>
          <w:sz w:val="32"/>
          <w:szCs w:val="32"/>
        </w:rPr>
        <w:t>万元，占</w:t>
      </w:r>
      <w:r>
        <w:rPr>
          <w:rFonts w:hint="eastAsia" w:ascii="仿宋" w:hAnsi="仿宋" w:eastAsia="仿宋" w:cs="仿宋"/>
          <w:sz w:val="32"/>
          <w:szCs w:val="32"/>
          <w:lang w:val="en-US" w:eastAsia="zh-CN"/>
        </w:rPr>
        <w:t>92.69</w:t>
      </w:r>
      <w:r>
        <w:rPr>
          <w:rFonts w:hint="eastAsia" w:ascii="仿宋" w:hAnsi="仿宋" w:eastAsia="仿宋" w:cs="仿宋"/>
          <w:sz w:val="32"/>
          <w:szCs w:val="32"/>
        </w:rPr>
        <w:t>%；社会保障和就业（类）支出</w:t>
      </w:r>
      <w:r>
        <w:rPr>
          <w:rFonts w:hint="eastAsia" w:ascii="仿宋" w:hAnsi="仿宋" w:eastAsia="仿宋" w:cs="仿宋"/>
          <w:sz w:val="32"/>
          <w:szCs w:val="32"/>
          <w:lang w:val="en-US" w:eastAsia="zh-CN"/>
        </w:rPr>
        <w:t>82.96</w:t>
      </w:r>
      <w:r>
        <w:rPr>
          <w:rFonts w:hint="eastAsia" w:ascii="仿宋" w:hAnsi="仿宋" w:eastAsia="仿宋" w:cs="仿宋"/>
          <w:sz w:val="32"/>
          <w:szCs w:val="32"/>
        </w:rPr>
        <w:t>万元，占</w:t>
      </w:r>
      <w:r>
        <w:rPr>
          <w:rFonts w:hint="eastAsia" w:ascii="仿宋" w:hAnsi="仿宋" w:eastAsia="仿宋" w:cs="仿宋"/>
          <w:sz w:val="32"/>
          <w:szCs w:val="32"/>
          <w:lang w:val="en-US" w:eastAsia="zh-CN"/>
        </w:rPr>
        <w:t>3.95</w:t>
      </w:r>
      <w:r>
        <w:rPr>
          <w:rFonts w:hint="eastAsia" w:ascii="仿宋" w:hAnsi="仿宋" w:eastAsia="仿宋" w:cs="仿宋"/>
          <w:sz w:val="32"/>
          <w:szCs w:val="32"/>
        </w:rPr>
        <w:t>%；</w:t>
      </w:r>
      <w:r>
        <w:rPr>
          <w:rFonts w:hint="eastAsia" w:ascii="仿宋" w:hAnsi="仿宋" w:eastAsia="仿宋" w:cs="仿宋"/>
          <w:sz w:val="32"/>
          <w:szCs w:val="32"/>
          <w:lang w:eastAsia="zh-CN"/>
        </w:rPr>
        <w:t>医疗卫生与计划生育支出</w:t>
      </w:r>
      <w:r>
        <w:rPr>
          <w:rFonts w:hint="eastAsia" w:ascii="仿宋" w:hAnsi="仿宋" w:eastAsia="仿宋" w:cs="仿宋"/>
          <w:sz w:val="32"/>
          <w:szCs w:val="32"/>
          <w:lang w:val="en-US" w:eastAsia="zh-CN"/>
        </w:rPr>
        <w:t>40.75万元，占1.94%，其他支出29.77万元，占1.42%</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ascii="楷体_GB2312" w:eastAsia="楷体_GB2312" w:cs="DengXian-Bold"/>
          <w:b/>
          <w:bCs/>
          <w:sz w:val="32"/>
          <w:szCs w:val="32"/>
        </w:rPr>
      </w:pPr>
      <w:r>
        <w:rPr>
          <w:rFonts w:hint="eastAsia" w:ascii="仿宋" w:hAnsi="仿宋" w:eastAsia="仿宋" w:cs="仿宋"/>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240" w:lineRule="auto"/>
        <w:jc w:val="both"/>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inline distT="0" distB="0" distL="114300" distR="114300">
            <wp:extent cx="6273800" cy="3164205"/>
            <wp:effectExtent l="0" t="0" r="12700" b="17145"/>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7"/>
                    <a:stretch>
                      <a:fillRect/>
                    </a:stretch>
                  </pic:blipFill>
                  <pic:spPr>
                    <a:xfrm>
                      <a:off x="0" y="0"/>
                      <a:ext cx="6273800" cy="3164205"/>
                    </a:xfrm>
                    <a:prstGeom prst="rect">
                      <a:avLst/>
                    </a:prstGeom>
                  </pic:spPr>
                </pic:pic>
              </a:graphicData>
            </a:graphic>
          </wp:inline>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2018 年度一般公共预算财政拨款基本支出</w:t>
      </w:r>
      <w:r>
        <w:rPr>
          <w:rFonts w:hint="eastAsia" w:ascii="仿宋" w:hAnsi="仿宋" w:eastAsia="仿宋" w:cs="仿宋"/>
          <w:sz w:val="32"/>
          <w:szCs w:val="32"/>
          <w:lang w:val="en-US" w:eastAsia="zh-CN"/>
        </w:rPr>
        <w:t>1244.35</w:t>
      </w:r>
      <w:r>
        <w:rPr>
          <w:rFonts w:hint="eastAsia" w:ascii="仿宋" w:hAnsi="仿宋" w:eastAsia="仿宋" w:cs="仿宋"/>
          <w:sz w:val="32"/>
          <w:szCs w:val="32"/>
        </w:rPr>
        <w:t xml:space="preserve">万元，其中：人员经费 </w:t>
      </w:r>
      <w:r>
        <w:rPr>
          <w:rFonts w:hint="eastAsia" w:ascii="仿宋" w:hAnsi="仿宋" w:eastAsia="仿宋" w:cs="仿宋"/>
          <w:sz w:val="32"/>
          <w:szCs w:val="32"/>
          <w:lang w:val="en-US" w:eastAsia="zh-CN"/>
        </w:rPr>
        <w:t>1202.64</w:t>
      </w:r>
      <w:r>
        <w:rPr>
          <w:rFonts w:hint="eastAsia" w:ascii="仿宋" w:hAnsi="仿宋" w:eastAsia="仿宋" w:cs="仿宋"/>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hint="eastAsia" w:ascii="仿宋" w:hAnsi="仿宋" w:eastAsia="仿宋" w:cs="仿宋"/>
          <w:sz w:val="32"/>
          <w:szCs w:val="32"/>
          <w:lang w:val="en-US" w:eastAsia="zh-CN"/>
        </w:rPr>
        <w:t>41.71</w:t>
      </w:r>
      <w:r>
        <w:rPr>
          <w:rFonts w:hint="eastAsia" w:ascii="仿宋" w:hAnsi="仿宋" w:eastAsia="仿宋" w:cs="仿宋"/>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pageBreakBefore w:val="0"/>
        <w:widowControl w:val="0"/>
        <w:kinsoku/>
        <w:wordWrap/>
        <w:overflowPunct/>
        <w:topLinePunct w:val="0"/>
        <w:autoSpaceDE/>
        <w:autoSpaceDN/>
        <w:bidi w:val="0"/>
        <w:spacing w:before="0" w:after="0" w:line="560" w:lineRule="exact"/>
        <w:ind w:firstLine="640" w:firstLineChars="200"/>
        <w:textAlignment w:val="auto"/>
        <w:rPr>
          <w:rFonts w:ascii="黑体" w:eastAsia="黑体"/>
          <w:b w:val="0"/>
          <w:bCs w:val="0"/>
        </w:rPr>
      </w:pPr>
      <w:r>
        <w:rPr>
          <w:rFonts w:hint="eastAsia" w:ascii="黑体" w:eastAsia="黑体"/>
          <w:b w:val="0"/>
          <w:bCs w:val="0"/>
        </w:rPr>
        <w:t>五、一般公共预算财政拨款“三公” 经费支出决算情况说明</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highlight w:val="yellow"/>
        </w:rPr>
      </w:pPr>
      <w:r>
        <w:rPr>
          <w:rFonts w:hint="eastAsia" w:ascii="仿宋" w:hAnsi="仿宋" w:eastAsia="仿宋" w:cs="仿宋"/>
          <w:sz w:val="32"/>
          <w:szCs w:val="32"/>
        </w:rPr>
        <w:t>本部门2018年度一般公共预算财政拨款“三公”经费支出共计</w:t>
      </w:r>
      <w:r>
        <w:rPr>
          <w:rFonts w:hint="eastAsia" w:ascii="仿宋" w:hAnsi="仿宋" w:eastAsia="仿宋" w:cs="仿宋"/>
          <w:sz w:val="32"/>
          <w:szCs w:val="32"/>
          <w:lang w:val="en-US" w:eastAsia="zh-CN"/>
        </w:rPr>
        <w:t>95.32</w:t>
      </w:r>
      <w:r>
        <w:rPr>
          <w:rFonts w:hint="eastAsia" w:ascii="仿宋" w:hAnsi="仿宋" w:eastAsia="仿宋" w:cs="仿宋"/>
          <w:sz w:val="32"/>
          <w:szCs w:val="32"/>
        </w:rPr>
        <w:t>万元，</w:t>
      </w:r>
      <w:r>
        <w:rPr>
          <w:rFonts w:hint="eastAsia" w:ascii="仿宋" w:hAnsi="仿宋" w:eastAsia="仿宋" w:cs="仿宋"/>
          <w:sz w:val="32"/>
          <w:szCs w:val="32"/>
          <w:lang w:eastAsia="zh-CN"/>
        </w:rPr>
        <w:t>与</w:t>
      </w:r>
      <w:r>
        <w:rPr>
          <w:rFonts w:hint="eastAsia" w:ascii="仿宋" w:hAnsi="仿宋" w:eastAsia="仿宋" w:cs="仿宋"/>
          <w:sz w:val="32"/>
          <w:szCs w:val="32"/>
        </w:rPr>
        <w:t>年初预算</w:t>
      </w:r>
      <w:r>
        <w:rPr>
          <w:rFonts w:hint="eastAsia" w:ascii="仿宋" w:hAnsi="仿宋" w:eastAsia="仿宋" w:cs="仿宋"/>
          <w:sz w:val="32"/>
          <w:szCs w:val="32"/>
          <w:lang w:eastAsia="zh-CN"/>
        </w:rPr>
        <w:t>相较无变动</w:t>
      </w:r>
      <w:r>
        <w:rPr>
          <w:rFonts w:hint="eastAsia" w:ascii="仿宋" w:hAnsi="仿宋" w:eastAsia="仿宋" w:cs="仿宋"/>
          <w:sz w:val="32"/>
          <w:szCs w:val="32"/>
        </w:rPr>
        <w:t>；比2017年度决算减少</w:t>
      </w:r>
      <w:r>
        <w:rPr>
          <w:rFonts w:hint="eastAsia" w:ascii="仿宋" w:hAnsi="仿宋" w:eastAsia="仿宋" w:cs="仿宋"/>
          <w:sz w:val="32"/>
          <w:szCs w:val="32"/>
          <w:lang w:val="en-US" w:eastAsia="zh-CN"/>
        </w:rPr>
        <w:t>27.47</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22.37</w:t>
      </w:r>
      <w:r>
        <w:rPr>
          <w:rFonts w:hint="eastAsia" w:ascii="仿宋" w:hAnsi="仿宋" w:eastAsia="仿宋" w:cs="仿宋"/>
          <w:sz w:val="32"/>
          <w:szCs w:val="32"/>
        </w:rPr>
        <w:t>%，主要是</w:t>
      </w:r>
      <w:r>
        <w:rPr>
          <w:rFonts w:hint="eastAsia" w:ascii="仿宋" w:hAnsi="仿宋" w:eastAsia="仿宋" w:cs="仿宋"/>
          <w:sz w:val="32"/>
          <w:szCs w:val="32"/>
          <w:lang w:eastAsia="zh-CN"/>
        </w:rPr>
        <w:t>厉行节约，压减支出</w:t>
      </w:r>
      <w:r>
        <w:rPr>
          <w:rFonts w:hint="eastAsia" w:ascii="仿宋" w:hAnsi="仿宋" w:eastAsia="仿宋" w:cs="仿宋"/>
          <w:sz w:val="32"/>
          <w:szCs w:val="32"/>
        </w:rPr>
        <w:t>。具体情况如下：</w:t>
      </w:r>
    </w:p>
    <w:p>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yellow"/>
        </w:rPr>
      </w:pPr>
      <w:r>
        <w:rPr>
          <w:rFonts w:eastAsia="楷体_GB2312"/>
          <w:b/>
          <w:bCs/>
          <w:sz w:val="32"/>
          <w:szCs w:val="32"/>
        </w:rPr>
        <w:t>（一）因公出国（境）费支出</w:t>
      </w:r>
      <w:r>
        <w:rPr>
          <w:rFonts w:hint="eastAsia" w:eastAsia="楷体_GB2312"/>
          <w:b/>
          <w:bCs/>
          <w:sz w:val="32"/>
          <w:szCs w:val="32"/>
          <w:lang w:val="en-US" w:eastAsia="zh-CN"/>
        </w:rPr>
        <w:t>0</w:t>
      </w:r>
      <w:r>
        <w:rPr>
          <w:rFonts w:eastAsia="楷体_GB2312"/>
          <w:b/>
          <w:bCs/>
          <w:sz w:val="32"/>
          <w:szCs w:val="32"/>
        </w:rPr>
        <w:t>万元。</w:t>
      </w:r>
      <w:r>
        <w:rPr>
          <w:rFonts w:hint="eastAsia" w:ascii="仿宋" w:hAnsi="仿宋" w:eastAsia="仿宋" w:cs="仿宋"/>
          <w:sz w:val="32"/>
          <w:szCs w:val="32"/>
          <w:lang w:val="en-US" w:eastAsia="zh-CN"/>
        </w:rPr>
        <w:t>本部门2018年度因公出国（境）团组0个、共0人/参加其他单位组织的因公出国（境）团组0个、共0人/无本单位组织的出国（境）团组。因公出国（境）费支出与年初预算持平；比2017年度决算支出持平。</w:t>
      </w: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95.32</w:t>
      </w:r>
      <w:r>
        <w:rPr>
          <w:rFonts w:eastAsia="楷体_GB2312"/>
          <w:b/>
          <w:bCs/>
          <w:sz w:val="32"/>
          <w:szCs w:val="32"/>
        </w:rPr>
        <w:t>万元。</w:t>
      </w:r>
      <w:r>
        <w:rPr>
          <w:rFonts w:hint="eastAsia" w:ascii="仿宋" w:hAnsi="仿宋" w:eastAsia="仿宋" w:cs="仿宋"/>
          <w:sz w:val="32"/>
          <w:szCs w:val="32"/>
        </w:rPr>
        <w:t>本部门2018年度公务用车购置及运行维护费</w:t>
      </w:r>
      <w:r>
        <w:rPr>
          <w:rFonts w:hint="eastAsia" w:ascii="仿宋" w:hAnsi="仿宋" w:eastAsia="仿宋" w:cs="仿宋"/>
          <w:sz w:val="32"/>
          <w:szCs w:val="32"/>
          <w:lang w:eastAsia="zh-CN"/>
        </w:rPr>
        <w:t>较</w:t>
      </w:r>
      <w:r>
        <w:rPr>
          <w:rFonts w:hint="eastAsia" w:ascii="仿宋" w:hAnsi="仿宋" w:eastAsia="仿宋" w:cs="仿宋"/>
          <w:sz w:val="32"/>
          <w:szCs w:val="32"/>
        </w:rPr>
        <w:t>年初预算</w:t>
      </w:r>
      <w:r>
        <w:rPr>
          <w:rFonts w:hint="eastAsia" w:ascii="仿宋" w:hAnsi="仿宋" w:eastAsia="仿宋" w:cs="仿宋"/>
          <w:sz w:val="32"/>
          <w:szCs w:val="32"/>
          <w:lang w:eastAsia="zh-CN"/>
        </w:rPr>
        <w:t>无增减变化</w:t>
      </w:r>
      <w:r>
        <w:rPr>
          <w:rFonts w:hint="eastAsia" w:ascii="仿宋" w:hAnsi="仿宋" w:eastAsia="仿宋" w:cs="仿宋"/>
          <w:sz w:val="32"/>
          <w:szCs w:val="32"/>
        </w:rPr>
        <w:t>；比2017年度决算减少</w:t>
      </w:r>
      <w:r>
        <w:rPr>
          <w:rFonts w:hint="eastAsia" w:ascii="仿宋" w:hAnsi="仿宋" w:eastAsia="仿宋" w:cs="仿宋"/>
          <w:sz w:val="32"/>
          <w:szCs w:val="32"/>
          <w:lang w:val="en-US" w:eastAsia="zh-CN"/>
        </w:rPr>
        <w:t>27.47</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22.37</w:t>
      </w:r>
      <w:r>
        <w:rPr>
          <w:rFonts w:hint="eastAsia" w:ascii="仿宋" w:hAnsi="仿宋" w:eastAsia="仿宋" w:cs="仿宋"/>
          <w:sz w:val="32"/>
          <w:szCs w:val="32"/>
        </w:rPr>
        <w:t>%，主要是</w:t>
      </w:r>
      <w:r>
        <w:rPr>
          <w:rFonts w:hint="eastAsia" w:ascii="仿宋" w:hAnsi="仿宋" w:eastAsia="仿宋" w:cs="仿宋"/>
          <w:sz w:val="32"/>
          <w:szCs w:val="32"/>
          <w:lang w:eastAsia="zh-CN"/>
        </w:rPr>
        <w:t>厉行节约，压减支出</w:t>
      </w:r>
      <w:r>
        <w:rPr>
          <w:rFonts w:hint="eastAsia" w:ascii="仿宋" w:hAnsi="仿宋" w:eastAsia="仿宋" w:cs="仿宋"/>
          <w:sz w:val="32"/>
          <w:szCs w:val="32"/>
        </w:rPr>
        <w:t>。</w:t>
      </w:r>
      <w:r>
        <w:rPr>
          <w:rFonts w:hint="eastAsia" w:ascii="仿宋" w:hAnsi="仿宋" w:eastAsia="仿宋" w:cs="仿宋"/>
          <w:b/>
          <w:bCs/>
          <w:sz w:val="32"/>
          <w:szCs w:val="32"/>
        </w:rPr>
        <w:t>其中：</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lang w:val="en-US" w:eastAsia="zh-CN"/>
        </w:rPr>
        <w:t>0</w:t>
      </w:r>
      <w:r>
        <w:rPr>
          <w:rFonts w:eastAsia="仿宋_GB2312"/>
          <w:b/>
          <w:sz w:val="32"/>
          <w:szCs w:val="32"/>
        </w:rPr>
        <w:t>万元。</w:t>
      </w:r>
      <w:r>
        <w:rPr>
          <w:rFonts w:hint="eastAsia" w:ascii="仿宋" w:hAnsi="仿宋" w:eastAsia="仿宋" w:cs="仿宋"/>
          <w:sz w:val="32"/>
          <w:szCs w:val="32"/>
        </w:rPr>
        <w:t>本部门2018年度公务用车购置数量</w:t>
      </w:r>
      <w:r>
        <w:rPr>
          <w:rFonts w:hint="eastAsia" w:ascii="仿宋" w:hAnsi="仿宋" w:eastAsia="仿宋" w:cs="仿宋"/>
          <w:sz w:val="32"/>
          <w:szCs w:val="32"/>
          <w:lang w:val="en-US" w:eastAsia="zh-CN"/>
        </w:rPr>
        <w:t>0</w:t>
      </w:r>
      <w:r>
        <w:rPr>
          <w:rFonts w:hint="eastAsia" w:ascii="仿宋" w:hAnsi="仿宋" w:eastAsia="仿宋" w:cs="仿宋"/>
          <w:sz w:val="32"/>
          <w:szCs w:val="32"/>
        </w:rPr>
        <w:t>辆</w:t>
      </w:r>
      <w:r>
        <w:rPr>
          <w:rFonts w:hint="eastAsia" w:ascii="仿宋" w:hAnsi="仿宋" w:eastAsia="仿宋" w:cs="仿宋"/>
          <w:sz w:val="32"/>
          <w:szCs w:val="32"/>
          <w:lang w:eastAsia="zh-CN"/>
        </w:rPr>
        <w:t>，未发生</w:t>
      </w:r>
      <w:r>
        <w:rPr>
          <w:rFonts w:hint="eastAsia" w:ascii="仿宋" w:hAnsi="仿宋" w:eastAsia="仿宋" w:cs="仿宋"/>
          <w:b w:val="0"/>
          <w:bCs/>
          <w:sz w:val="32"/>
          <w:szCs w:val="32"/>
        </w:rPr>
        <w:t>公务用车购置费支出</w:t>
      </w:r>
      <w:r>
        <w:rPr>
          <w:rFonts w:hint="eastAsia" w:ascii="仿宋" w:hAnsi="仿宋" w:eastAsia="仿宋" w:cs="仿宋"/>
          <w:sz w:val="32"/>
          <w:szCs w:val="32"/>
        </w:rPr>
        <w:t>。公务用车购置费支出</w:t>
      </w:r>
      <w:r>
        <w:rPr>
          <w:rFonts w:hint="eastAsia" w:ascii="仿宋" w:hAnsi="仿宋" w:eastAsia="仿宋" w:cs="仿宋"/>
          <w:sz w:val="32"/>
          <w:szCs w:val="32"/>
          <w:lang w:eastAsia="zh-CN"/>
        </w:rPr>
        <w:t>较</w:t>
      </w:r>
      <w:r>
        <w:rPr>
          <w:rFonts w:hint="eastAsia" w:ascii="仿宋" w:hAnsi="仿宋" w:eastAsia="仿宋" w:cs="仿宋"/>
          <w:sz w:val="32"/>
          <w:szCs w:val="32"/>
        </w:rPr>
        <w:t>年初预算</w:t>
      </w:r>
      <w:r>
        <w:rPr>
          <w:rFonts w:hint="eastAsia" w:ascii="仿宋" w:hAnsi="仿宋" w:eastAsia="仿宋" w:cs="仿宋"/>
          <w:sz w:val="32"/>
          <w:szCs w:val="32"/>
          <w:lang w:eastAsia="zh-CN"/>
        </w:rPr>
        <w:t>无增减变化</w:t>
      </w:r>
      <w:r>
        <w:rPr>
          <w:rFonts w:hint="eastAsia" w:ascii="仿宋" w:hAnsi="仿宋" w:eastAsia="仿宋" w:cs="仿宋"/>
          <w:sz w:val="32"/>
          <w:szCs w:val="32"/>
        </w:rPr>
        <w:t>；</w:t>
      </w:r>
      <w:r>
        <w:rPr>
          <w:rFonts w:hint="eastAsia" w:ascii="仿宋" w:hAnsi="仿宋" w:eastAsia="仿宋" w:cs="仿宋"/>
          <w:sz w:val="32"/>
          <w:szCs w:val="32"/>
          <w:lang w:eastAsia="zh-CN"/>
        </w:rPr>
        <w:t>较</w:t>
      </w:r>
      <w:r>
        <w:rPr>
          <w:rFonts w:hint="eastAsia" w:ascii="仿宋" w:hAnsi="仿宋" w:eastAsia="仿宋" w:cs="仿宋"/>
          <w:sz w:val="32"/>
          <w:szCs w:val="32"/>
        </w:rPr>
        <w:t>2017年度决算</w:t>
      </w:r>
      <w:r>
        <w:rPr>
          <w:rFonts w:hint="eastAsia" w:ascii="仿宋" w:hAnsi="仿宋" w:eastAsia="仿宋" w:cs="仿宋"/>
          <w:sz w:val="32"/>
          <w:szCs w:val="32"/>
          <w:lang w:eastAsia="zh-CN"/>
        </w:rPr>
        <w:t>无增减变化</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95.32</w:t>
      </w:r>
      <w:r>
        <w:rPr>
          <w:rFonts w:eastAsia="仿宋_GB2312"/>
          <w:b/>
          <w:sz w:val="32"/>
          <w:szCs w:val="32"/>
        </w:rPr>
        <w:t>万元。</w:t>
      </w:r>
      <w:r>
        <w:rPr>
          <w:rFonts w:hint="eastAsia" w:ascii="仿宋" w:hAnsi="仿宋" w:eastAsia="仿宋" w:cs="仿宋"/>
          <w:sz w:val="32"/>
          <w:szCs w:val="32"/>
        </w:rPr>
        <w:t>本部门2018年末单位公务用车保有量</w:t>
      </w:r>
      <w:r>
        <w:rPr>
          <w:rFonts w:hint="eastAsia" w:ascii="仿宋" w:hAnsi="仿宋" w:eastAsia="仿宋" w:cs="仿宋"/>
          <w:sz w:val="32"/>
          <w:szCs w:val="32"/>
          <w:lang w:val="en-US" w:eastAsia="zh-CN"/>
        </w:rPr>
        <w:t>20</w:t>
      </w:r>
      <w:r>
        <w:rPr>
          <w:rFonts w:hint="eastAsia" w:ascii="仿宋" w:hAnsi="仿宋" w:eastAsia="仿宋" w:cs="仿宋"/>
          <w:sz w:val="32"/>
          <w:szCs w:val="32"/>
        </w:rPr>
        <w:t>辆。公车运行维护费支出</w:t>
      </w:r>
      <w:r>
        <w:rPr>
          <w:rFonts w:hint="eastAsia" w:ascii="仿宋" w:hAnsi="仿宋" w:eastAsia="仿宋" w:cs="仿宋"/>
          <w:sz w:val="32"/>
          <w:szCs w:val="32"/>
          <w:lang w:eastAsia="zh-CN"/>
        </w:rPr>
        <w:t>较年初预算无增减变化</w:t>
      </w:r>
      <w:r>
        <w:rPr>
          <w:rFonts w:hint="eastAsia" w:ascii="仿宋" w:hAnsi="仿宋" w:eastAsia="仿宋" w:cs="仿宋"/>
          <w:sz w:val="32"/>
          <w:szCs w:val="32"/>
        </w:rPr>
        <w:t>；比2017年度决算减少</w:t>
      </w:r>
      <w:r>
        <w:rPr>
          <w:rFonts w:hint="eastAsia" w:ascii="仿宋" w:hAnsi="仿宋" w:eastAsia="仿宋" w:cs="仿宋"/>
          <w:sz w:val="32"/>
          <w:szCs w:val="32"/>
          <w:lang w:val="en-US" w:eastAsia="zh-CN"/>
        </w:rPr>
        <w:t>27.47</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22.37</w:t>
      </w:r>
      <w:r>
        <w:rPr>
          <w:rFonts w:hint="eastAsia" w:ascii="仿宋" w:hAnsi="仿宋" w:eastAsia="仿宋" w:cs="仿宋"/>
          <w:sz w:val="32"/>
          <w:szCs w:val="32"/>
        </w:rPr>
        <w:t>%，主要是</w:t>
      </w:r>
      <w:r>
        <w:rPr>
          <w:rFonts w:hint="eastAsia" w:ascii="仿宋" w:hAnsi="仿宋" w:eastAsia="仿宋" w:cs="仿宋"/>
          <w:sz w:val="32"/>
          <w:szCs w:val="32"/>
          <w:lang w:eastAsia="zh-CN"/>
        </w:rPr>
        <w:t>厉行节约，压减支出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eastAsia="仿宋_GB2312"/>
          <w:sz w:val="32"/>
          <w:szCs w:val="32"/>
          <w:highlight w:val="yellow"/>
        </w:rPr>
      </w:pPr>
      <w:r>
        <w:rPr>
          <w:rFonts w:eastAsia="楷体_GB2312"/>
          <w:b/>
          <w:bCs/>
          <w:sz w:val="32"/>
          <w:szCs w:val="32"/>
        </w:rPr>
        <w:t>（三）公务接待费支出</w:t>
      </w:r>
      <w:r>
        <w:rPr>
          <w:rFonts w:hint="eastAsia" w:eastAsia="楷体_GB2312"/>
          <w:b/>
          <w:bCs/>
          <w:sz w:val="32"/>
          <w:szCs w:val="32"/>
          <w:lang w:val="en-US" w:eastAsia="zh-CN"/>
        </w:rPr>
        <w:t>0</w:t>
      </w:r>
      <w:r>
        <w:rPr>
          <w:rFonts w:eastAsia="楷体_GB2312"/>
          <w:b/>
          <w:bCs/>
          <w:sz w:val="32"/>
          <w:szCs w:val="32"/>
        </w:rPr>
        <w:t>万元。</w:t>
      </w:r>
      <w:r>
        <w:rPr>
          <w:rFonts w:hint="eastAsia" w:ascii="仿宋" w:hAnsi="仿宋" w:eastAsia="仿宋" w:cs="仿宋"/>
          <w:sz w:val="32"/>
          <w:szCs w:val="32"/>
        </w:rPr>
        <w:t>本部门2018年度公务接待共</w:t>
      </w:r>
      <w:r>
        <w:rPr>
          <w:rFonts w:hint="eastAsia" w:ascii="仿宋" w:hAnsi="仿宋" w:eastAsia="仿宋" w:cs="仿宋"/>
          <w:sz w:val="32"/>
          <w:szCs w:val="32"/>
          <w:lang w:val="en-US" w:eastAsia="zh-CN"/>
        </w:rPr>
        <w:t>0</w:t>
      </w:r>
      <w:r>
        <w:rPr>
          <w:rFonts w:hint="eastAsia" w:ascii="仿宋" w:hAnsi="仿宋" w:eastAsia="仿宋" w:cs="仿宋"/>
          <w:sz w:val="32"/>
          <w:szCs w:val="32"/>
        </w:rPr>
        <w:t>批次、</w:t>
      </w:r>
      <w:r>
        <w:rPr>
          <w:rFonts w:hint="eastAsia" w:ascii="仿宋" w:hAnsi="仿宋" w:eastAsia="仿宋" w:cs="仿宋"/>
          <w:sz w:val="32"/>
          <w:szCs w:val="32"/>
          <w:lang w:val="en-US" w:eastAsia="zh-CN"/>
        </w:rPr>
        <w:t>0</w:t>
      </w:r>
      <w:r>
        <w:rPr>
          <w:rFonts w:hint="eastAsia" w:ascii="仿宋" w:hAnsi="仿宋" w:eastAsia="仿宋" w:cs="仿宋"/>
          <w:sz w:val="32"/>
          <w:szCs w:val="32"/>
        </w:rPr>
        <w:t>人次</w:t>
      </w:r>
      <w:r>
        <w:rPr>
          <w:rFonts w:hint="eastAsia" w:ascii="仿宋" w:hAnsi="仿宋" w:eastAsia="仿宋" w:cs="仿宋"/>
          <w:sz w:val="32"/>
          <w:szCs w:val="32"/>
          <w:lang w:eastAsia="zh-CN"/>
        </w:rPr>
        <w:t>，未发生公务招待费支出</w:t>
      </w:r>
      <w:r>
        <w:rPr>
          <w:rFonts w:hint="eastAsia" w:ascii="仿宋" w:hAnsi="仿宋" w:eastAsia="仿宋" w:cs="仿宋"/>
          <w:sz w:val="32"/>
          <w:szCs w:val="32"/>
        </w:rPr>
        <w:t>。公务接待费支出</w:t>
      </w:r>
      <w:r>
        <w:rPr>
          <w:rFonts w:hint="eastAsia" w:ascii="仿宋" w:hAnsi="仿宋" w:eastAsia="仿宋" w:cs="仿宋"/>
          <w:sz w:val="32"/>
          <w:szCs w:val="32"/>
          <w:lang w:eastAsia="zh-CN"/>
        </w:rPr>
        <w:t>较年初预算无增减变化</w:t>
      </w:r>
      <w:r>
        <w:rPr>
          <w:rFonts w:hint="eastAsia" w:ascii="仿宋" w:hAnsi="仿宋" w:eastAsia="仿宋" w:cs="仿宋"/>
          <w:sz w:val="32"/>
          <w:szCs w:val="32"/>
        </w:rPr>
        <w:t>；</w:t>
      </w:r>
      <w:r>
        <w:rPr>
          <w:rFonts w:hint="eastAsia" w:ascii="仿宋" w:hAnsi="仿宋" w:eastAsia="仿宋" w:cs="仿宋"/>
          <w:sz w:val="32"/>
          <w:szCs w:val="32"/>
          <w:lang w:eastAsia="zh-CN"/>
        </w:rPr>
        <w:t>较</w:t>
      </w:r>
      <w:r>
        <w:rPr>
          <w:rFonts w:hint="eastAsia" w:ascii="仿宋" w:hAnsi="仿宋" w:eastAsia="仿宋" w:cs="仿宋"/>
          <w:sz w:val="32"/>
          <w:szCs w:val="32"/>
        </w:rPr>
        <w:t>2017年度决算</w:t>
      </w:r>
      <w:r>
        <w:rPr>
          <w:rFonts w:hint="eastAsia" w:ascii="仿宋" w:hAnsi="仿宋" w:eastAsia="仿宋" w:cs="仿宋"/>
          <w:sz w:val="32"/>
          <w:szCs w:val="32"/>
          <w:lang w:eastAsia="zh-CN"/>
        </w:rPr>
        <w:t>无增减变化</w:t>
      </w:r>
      <w:r>
        <w:rPr>
          <w:rFonts w:hint="eastAsia" w:ascii="仿宋" w:hAnsi="仿宋" w:eastAsia="仿宋" w:cs="仿宋"/>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rPr>
          <w:rFonts w:hint="eastAsia" w:ascii="仿宋" w:hAnsi="仿宋" w:eastAsia="仿宋" w:cs="仿宋"/>
          <w:sz w:val="32"/>
          <w:szCs w:val="32"/>
        </w:rPr>
      </w:pPr>
      <w:r>
        <w:rPr>
          <w:rFonts w:hint="eastAsia" w:ascii="仿宋" w:hAnsi="仿宋" w:eastAsia="仿宋" w:cs="仿宋"/>
          <w:sz w:val="32"/>
          <w:szCs w:val="32"/>
        </w:rPr>
        <w:t>（一）绩效管理工作开展情况</w:t>
      </w:r>
    </w:p>
    <w:p>
      <w:pPr>
        <w:adjustRightInd w:val="0"/>
        <w:snapToGrid w:val="0"/>
        <w:spacing w:after="0" w:line="580" w:lineRule="exact"/>
        <w:ind w:firstLine="640"/>
        <w:rPr>
          <w:rFonts w:hint="eastAsia" w:ascii="仿宋" w:hAnsi="仿宋" w:eastAsia="仿宋" w:cs="仿宋"/>
          <w:sz w:val="32"/>
          <w:szCs w:val="32"/>
        </w:rPr>
      </w:pPr>
      <w:r>
        <w:rPr>
          <w:rFonts w:hint="eastAsia" w:ascii="仿宋" w:hAnsi="仿宋" w:eastAsia="仿宋" w:cs="仿宋"/>
          <w:sz w:val="32"/>
          <w:szCs w:val="32"/>
          <w:lang w:eastAsia="zh-CN"/>
        </w:rPr>
        <w:t>大城县人民法院</w:t>
      </w:r>
      <w:r>
        <w:rPr>
          <w:rFonts w:hint="eastAsia" w:ascii="仿宋" w:hAnsi="仿宋" w:eastAsia="仿宋" w:cs="仿宋"/>
          <w:sz w:val="32"/>
          <w:szCs w:val="32"/>
        </w:rPr>
        <w:t>按照预算绩效管理改革要求，以绩效为导向，严格执行绩效预算管理。</w:t>
      </w:r>
      <w:r>
        <w:rPr>
          <w:rFonts w:hint="eastAsia" w:ascii="仿宋" w:hAnsi="仿宋" w:eastAsia="仿宋" w:cs="仿宋"/>
          <w:sz w:val="32"/>
          <w:szCs w:val="32"/>
          <w:lang w:eastAsia="zh-CN"/>
        </w:rPr>
        <w:t>201</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年</w:t>
      </w:r>
      <w:r>
        <w:rPr>
          <w:rFonts w:hint="eastAsia" w:ascii="仿宋" w:hAnsi="仿宋" w:eastAsia="仿宋" w:cs="仿宋"/>
          <w:sz w:val="32"/>
          <w:szCs w:val="32"/>
        </w:rPr>
        <w:t>按照省市文件要求，我单位重新修订了部门职责、工作活动及绩效评价指标，对项目执行及工作活动进行了绩效评价，并将绩效评价结果应用到实际工作中，进一步提升了部门预算绩效管理工作水平。</w:t>
      </w:r>
    </w:p>
    <w:p>
      <w:pPr>
        <w:adjustRightInd w:val="0"/>
        <w:snapToGrid w:val="0"/>
        <w:spacing w:after="0" w:line="580" w:lineRule="exact"/>
        <w:ind w:firstLine="640"/>
        <w:rPr>
          <w:rFonts w:hint="eastAsia" w:ascii="仿宋" w:hAnsi="仿宋" w:eastAsia="仿宋" w:cs="仿宋"/>
          <w:sz w:val="32"/>
          <w:szCs w:val="32"/>
        </w:rPr>
      </w:pPr>
      <w:r>
        <w:rPr>
          <w:rFonts w:hint="eastAsia" w:ascii="仿宋" w:hAnsi="仿宋" w:eastAsia="仿宋" w:cs="仿宋"/>
          <w:sz w:val="32"/>
          <w:szCs w:val="32"/>
          <w:lang w:eastAsia="zh-CN"/>
        </w:rPr>
        <w:t>（二）项目绩效自评结果</w:t>
      </w:r>
    </w:p>
    <w:p>
      <w:pPr>
        <w:adjustRightInd w:val="0"/>
        <w:snapToGrid w:val="0"/>
        <w:spacing w:after="0" w:line="580" w:lineRule="exact"/>
        <w:ind w:firstLine="640"/>
        <w:rPr>
          <w:rFonts w:hint="eastAsia" w:ascii="仿宋" w:hAnsi="仿宋" w:eastAsia="仿宋" w:cs="仿宋"/>
          <w:sz w:val="32"/>
          <w:szCs w:val="32"/>
        </w:rPr>
      </w:pPr>
      <w:r>
        <w:rPr>
          <w:rFonts w:hint="eastAsia" w:ascii="仿宋" w:hAnsi="仿宋" w:eastAsia="仿宋" w:cs="仿宋"/>
          <w:sz w:val="32"/>
          <w:szCs w:val="32"/>
          <w:lang w:val="en-US" w:eastAsia="zh-CN"/>
        </w:rPr>
        <w:t>2018年预算绩效自评结果为优。</w:t>
      </w:r>
      <w:r>
        <w:rPr>
          <w:rFonts w:hint="eastAsia" w:ascii="仿宋" w:hAnsi="仿宋" w:eastAsia="仿宋" w:cs="仿宋"/>
          <w:sz w:val="32"/>
          <w:szCs w:val="32"/>
        </w:rPr>
        <w:t>通过评价，一是增强了财政支出绩效管理观念，促进财政资金分配和使用更加科学有效，提高财政资金使用效益和效率；二是强化绩效评价结果的运用，将预算绩效评价结果作为下一年度预算编制的参考依据，将部门预算编制和预算绩效管理相结合，使预算绩效管理和预算编制更加规范化。</w:t>
      </w:r>
    </w:p>
    <w:p>
      <w:pPr>
        <w:adjustRightInd w:val="0"/>
        <w:snapToGrid w:val="0"/>
        <w:spacing w:after="0" w:line="580" w:lineRule="exact"/>
        <w:ind w:firstLine="640"/>
        <w:rPr>
          <w:rFonts w:hint="eastAsia" w:ascii="仿宋" w:hAnsi="仿宋" w:eastAsia="仿宋" w:cs="仿宋"/>
          <w:sz w:val="32"/>
          <w:szCs w:val="32"/>
          <w:lang w:eastAsia="zh-CN"/>
        </w:rPr>
      </w:pPr>
      <w:r>
        <w:rPr>
          <w:rFonts w:hint="eastAsia" w:ascii="仿宋" w:hAnsi="仿宋" w:eastAsia="仿宋" w:cs="仿宋"/>
          <w:sz w:val="32"/>
          <w:szCs w:val="32"/>
        </w:rPr>
        <w:t>（三）</w:t>
      </w:r>
      <w:r>
        <w:rPr>
          <w:rFonts w:hint="eastAsia" w:ascii="仿宋" w:hAnsi="仿宋" w:eastAsia="仿宋" w:cs="仿宋"/>
          <w:sz w:val="32"/>
          <w:szCs w:val="32"/>
          <w:lang w:eastAsia="zh-CN"/>
        </w:rPr>
        <w:t>重点项目绩效评价结果</w:t>
      </w:r>
    </w:p>
    <w:p>
      <w:pPr>
        <w:adjustRightInd w:val="0"/>
        <w:snapToGrid w:val="0"/>
        <w:spacing w:after="0" w:line="580" w:lineRule="exact"/>
        <w:ind w:firstLine="640"/>
        <w:rPr>
          <w:rFonts w:hint="eastAsia" w:ascii="仿宋" w:hAnsi="仿宋" w:eastAsia="仿宋" w:cs="仿宋"/>
          <w:sz w:val="32"/>
          <w:szCs w:val="32"/>
        </w:rPr>
      </w:pP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 xml:space="preserve"> 年</w:t>
      </w:r>
      <w:r>
        <w:rPr>
          <w:rFonts w:hint="eastAsia" w:ascii="仿宋" w:hAnsi="仿宋" w:eastAsia="仿宋" w:cs="仿宋"/>
          <w:sz w:val="32"/>
          <w:szCs w:val="32"/>
          <w:lang w:eastAsia="zh-CN"/>
        </w:rPr>
        <w:t>大城县人民法院</w:t>
      </w:r>
      <w:r>
        <w:rPr>
          <w:rFonts w:hint="eastAsia" w:ascii="仿宋" w:hAnsi="仿宋" w:eastAsia="仿宋" w:cs="仿宋"/>
          <w:sz w:val="32"/>
          <w:szCs w:val="32"/>
        </w:rPr>
        <w:t>开展了重点绩效评价，其中案件审判管理和执行作为本年度重点项目，</w:t>
      </w:r>
      <w:r>
        <w:rPr>
          <w:rFonts w:hint="eastAsia" w:ascii="仿宋" w:hAnsi="仿宋" w:eastAsia="仿宋" w:cs="仿宋"/>
          <w:sz w:val="32"/>
          <w:szCs w:val="32"/>
          <w:lang w:val="en-US" w:eastAsia="zh-CN"/>
        </w:rPr>
        <w:t>自评结果为优。</w:t>
      </w:r>
      <w:r>
        <w:rPr>
          <w:rFonts w:hint="eastAsia" w:ascii="仿宋" w:hAnsi="仿宋" w:eastAsia="仿宋" w:cs="仿宋"/>
          <w:sz w:val="32"/>
          <w:szCs w:val="32"/>
        </w:rPr>
        <w:t>为积极推进执行工作，切实保障群众合法权益，维护社会公平正义</w:t>
      </w:r>
      <w:r>
        <w:rPr>
          <w:rFonts w:hint="eastAsia" w:ascii="仿宋" w:hAnsi="仿宋" w:eastAsia="仿宋" w:cs="仿宋"/>
          <w:sz w:val="32"/>
          <w:szCs w:val="32"/>
          <w:lang w:eastAsia="zh-CN"/>
        </w:rPr>
        <w:t>，大城县人民法院</w:t>
      </w:r>
      <w:r>
        <w:rPr>
          <w:rFonts w:hint="eastAsia" w:ascii="仿宋" w:hAnsi="仿宋" w:eastAsia="仿宋" w:cs="仿宋"/>
          <w:sz w:val="32"/>
          <w:szCs w:val="32"/>
        </w:rPr>
        <w:t>依法审判刑事、民事、行政等案件，依法办理发生法律效力判决、其他法律文书的执行，做好审判管理工作。</w:t>
      </w:r>
      <w:r>
        <w:rPr>
          <w:rFonts w:hint="eastAsia" w:ascii="仿宋" w:hAnsi="仿宋" w:eastAsia="仿宋" w:cs="仿宋"/>
          <w:sz w:val="32"/>
          <w:szCs w:val="32"/>
          <w:lang w:val="en-US" w:eastAsia="zh-CN"/>
        </w:rPr>
        <w:t>2018年度</w:t>
      </w:r>
      <w:r>
        <w:rPr>
          <w:rFonts w:hint="eastAsia" w:ascii="仿宋" w:hAnsi="仿宋" w:eastAsia="仿宋" w:cs="仿宋"/>
          <w:sz w:val="32"/>
          <w:szCs w:val="32"/>
        </w:rPr>
        <w:t>我单位能较好地完成项目，取得良好的社会效益，资金管理完善，达到预期的效益目标。</w:t>
      </w:r>
    </w:p>
    <w:p>
      <w:pPr>
        <w:jc w:val="left"/>
        <w:outlineLvl w:val="0"/>
        <w:rPr>
          <w:rFonts w:hint="eastAsia" w:ascii="仿宋_GB2312" w:eastAsia="仿宋_GB2312" w:cs="仿宋_GB2312"/>
          <w:b/>
          <w:sz w:val="32"/>
          <w:szCs w:val="32"/>
        </w:rPr>
      </w:pPr>
      <w:r>
        <w:rPr>
          <w:rFonts w:hint="eastAsia" w:ascii="仿宋_GB2312" w:eastAsia="仿宋_GB2312" w:cs="仿宋_GB2312"/>
          <w:b/>
          <w:sz w:val="32"/>
          <w:szCs w:val="32"/>
        </w:rPr>
        <w:t>部门职责及工作活动绩效目标指标：</w:t>
      </w:r>
    </w:p>
    <w:p>
      <w:pPr>
        <w:jc w:val="center"/>
        <w:outlineLvl w:val="0"/>
        <w:rPr>
          <w:rFonts w:ascii="方正小标宋_GBK" w:hAnsi="Times New Roman" w:eastAsia="方正小标宋_GBK" w:cs="Times New Roman"/>
          <w:sz w:val="32"/>
          <w:szCs w:val="24"/>
        </w:rPr>
      </w:pPr>
      <w:r>
        <w:rPr>
          <w:rFonts w:hint="eastAsia" w:ascii="方正小标宋_GBK" w:hAnsi="Times New Roman" w:eastAsia="方正小标宋_GBK" w:cs="Times New Roman"/>
          <w:sz w:val="32"/>
          <w:szCs w:val="24"/>
        </w:rPr>
        <w:t>部门职责-工作活动绩效目标</w:t>
      </w:r>
    </w:p>
    <w:tbl>
      <w:tblPr>
        <w:tblStyle w:val="12"/>
        <w:tblW w:w="1074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hemeFill="background1"/>
        <w:tblLayout w:type="fixed"/>
        <w:tblCellMar>
          <w:top w:w="0" w:type="dxa"/>
          <w:left w:w="108" w:type="dxa"/>
          <w:bottom w:w="0" w:type="dxa"/>
          <w:right w:w="108" w:type="dxa"/>
        </w:tblCellMar>
      </w:tblPr>
      <w:tblGrid>
        <w:gridCol w:w="1384"/>
        <w:gridCol w:w="1444"/>
        <w:gridCol w:w="434"/>
        <w:gridCol w:w="1765"/>
        <w:gridCol w:w="2456"/>
        <w:gridCol w:w="844"/>
        <w:gridCol w:w="787"/>
        <w:gridCol w:w="825"/>
        <w:gridCol w:w="8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hemeFill="background1"/>
          <w:tblCellMar>
            <w:top w:w="0" w:type="dxa"/>
            <w:left w:w="108" w:type="dxa"/>
            <w:bottom w:w="0" w:type="dxa"/>
            <w:right w:w="108" w:type="dxa"/>
          </w:tblCellMar>
        </w:tblPrEx>
        <w:trPr>
          <w:gridAfter w:val="6"/>
          <w:wAfter w:w="7483" w:type="dxa"/>
          <w:trHeight w:val="227" w:hRule="atLeast"/>
          <w:tblHeader/>
          <w:jc w:val="center"/>
        </w:trPr>
        <w:tc>
          <w:tcPr>
            <w:tcW w:w="3262" w:type="dxa"/>
            <w:gridSpan w:val="3"/>
            <w:tcBorders>
              <w:top w:val="single" w:color="FFFFFF" w:sz="6" w:space="0"/>
              <w:left w:val="single" w:color="FFFFFF" w:sz="6" w:space="0"/>
              <w:right w:val="single" w:color="FFFFFF" w:sz="6" w:space="0"/>
            </w:tcBorders>
            <w:shd w:val="clear" w:color="auto" w:fill="FFFFFF" w:themeFill="background1"/>
            <w:vAlign w:val="center"/>
          </w:tcPr>
          <w:p>
            <w:pPr>
              <w:spacing w:line="300" w:lineRule="exact"/>
              <w:jc w:val="right"/>
              <w:rPr>
                <w:rFonts w:ascii="方正书宋_GBK" w:hAnsi="Times New Roman" w:eastAsia="方正书宋_GBK" w:cs="Times New Roman"/>
                <w:sz w:val="18"/>
                <w:szCs w:val="18"/>
              </w:rPr>
            </w:pPr>
            <w:r>
              <w:rPr>
                <w:rFonts w:hint="eastAsia" w:ascii="方正书宋_GBK" w:eastAsia="方正书宋_GBK" w:cs="Times New Roman"/>
                <w:sz w:val="18"/>
                <w:szCs w:val="18"/>
                <w:lang w:val="en-US" w:eastAsia="zh-CN"/>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384" w:type="dxa"/>
            <w:vMerge w:val="restart"/>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职责活动</w:t>
            </w:r>
          </w:p>
        </w:tc>
        <w:tc>
          <w:tcPr>
            <w:tcW w:w="1444" w:type="dxa"/>
            <w:vMerge w:val="restart"/>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内容描述</w:t>
            </w:r>
          </w:p>
        </w:tc>
        <w:tc>
          <w:tcPr>
            <w:tcW w:w="2199" w:type="dxa"/>
            <w:gridSpan w:val="2"/>
            <w:vMerge w:val="restart"/>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绩效目标</w:t>
            </w:r>
          </w:p>
        </w:tc>
        <w:tc>
          <w:tcPr>
            <w:tcW w:w="2456" w:type="dxa"/>
            <w:vMerge w:val="restart"/>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绩效指标</w:t>
            </w:r>
          </w:p>
        </w:tc>
        <w:tc>
          <w:tcPr>
            <w:tcW w:w="3262" w:type="dxa"/>
            <w:gridSpan w:val="4"/>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评价标准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384" w:type="dxa"/>
            <w:vMerge w:val="continue"/>
            <w:shd w:val="clear" w:color="auto" w:fill="FFFFFF" w:themeFill="background1"/>
            <w:vAlign w:val="center"/>
          </w:tcPr>
          <w:p>
            <w:pPr>
              <w:spacing w:line="300" w:lineRule="exact"/>
              <w:jc w:val="left"/>
              <w:outlineLvl w:val="0"/>
              <w:rPr>
                <w:rFonts w:ascii="Times New Roman" w:hAnsi="Times New Roman" w:eastAsia="宋体" w:cs="Times New Roman"/>
                <w:sz w:val="18"/>
                <w:szCs w:val="18"/>
              </w:rPr>
            </w:pPr>
          </w:p>
        </w:tc>
        <w:tc>
          <w:tcPr>
            <w:tcW w:w="1444" w:type="dxa"/>
            <w:vMerge w:val="continue"/>
            <w:shd w:val="clear" w:color="auto" w:fill="FFFFFF" w:themeFill="background1"/>
            <w:vAlign w:val="center"/>
          </w:tcPr>
          <w:p>
            <w:pPr>
              <w:spacing w:line="300" w:lineRule="exact"/>
              <w:jc w:val="left"/>
              <w:outlineLvl w:val="0"/>
              <w:rPr>
                <w:rFonts w:ascii="Times New Roman" w:hAnsi="Times New Roman" w:eastAsia="宋体" w:cs="Times New Roman"/>
                <w:sz w:val="18"/>
                <w:szCs w:val="18"/>
              </w:rPr>
            </w:pPr>
          </w:p>
        </w:tc>
        <w:tc>
          <w:tcPr>
            <w:tcW w:w="2199" w:type="dxa"/>
            <w:gridSpan w:val="2"/>
            <w:vMerge w:val="continue"/>
            <w:shd w:val="clear" w:color="auto" w:fill="FFFFFF" w:themeFill="background1"/>
            <w:vAlign w:val="center"/>
          </w:tcPr>
          <w:p>
            <w:pPr>
              <w:spacing w:line="300" w:lineRule="exact"/>
              <w:jc w:val="left"/>
              <w:outlineLvl w:val="0"/>
              <w:rPr>
                <w:rFonts w:ascii="Times New Roman" w:hAnsi="Times New Roman" w:eastAsia="宋体" w:cs="Times New Roman"/>
                <w:sz w:val="18"/>
                <w:szCs w:val="18"/>
              </w:rPr>
            </w:pPr>
          </w:p>
        </w:tc>
        <w:tc>
          <w:tcPr>
            <w:tcW w:w="2456" w:type="dxa"/>
            <w:vMerge w:val="continue"/>
            <w:shd w:val="clear" w:color="auto" w:fill="FFFFFF" w:themeFill="background1"/>
            <w:vAlign w:val="center"/>
          </w:tcPr>
          <w:p>
            <w:pPr>
              <w:spacing w:line="300" w:lineRule="exact"/>
              <w:jc w:val="left"/>
              <w:outlineLvl w:val="0"/>
              <w:rPr>
                <w:rFonts w:ascii="Times New Roman" w:hAnsi="Times New Roman" w:eastAsia="宋体" w:cs="Times New Roman"/>
                <w:sz w:val="18"/>
                <w:szCs w:val="18"/>
              </w:rPr>
            </w:pPr>
          </w:p>
        </w:tc>
        <w:tc>
          <w:tcPr>
            <w:tcW w:w="844" w:type="dxa"/>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优</w:t>
            </w:r>
          </w:p>
        </w:tc>
        <w:tc>
          <w:tcPr>
            <w:tcW w:w="787" w:type="dxa"/>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良</w:t>
            </w:r>
          </w:p>
        </w:tc>
        <w:tc>
          <w:tcPr>
            <w:tcW w:w="825" w:type="dxa"/>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中</w:t>
            </w:r>
          </w:p>
        </w:tc>
        <w:tc>
          <w:tcPr>
            <w:tcW w:w="806" w:type="dxa"/>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restart"/>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案件审判管理和执行</w:t>
            </w:r>
          </w:p>
        </w:tc>
        <w:tc>
          <w:tcPr>
            <w:tcW w:w="1444" w:type="dxa"/>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依法审判法律规定由县级人民法院管辖的刑事、民事、行政等一审案件，依法办理发生法律效力判决、其他法律文书的执行，做好审判管理工作。</w:t>
            </w: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依法惩治刑事犯罪，监督行政机关依法行政，促进社会和谐，维护社会稳定，服务全县工作大局，发挥服务保障职能。</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案件判决数占审判案件总数的比例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全部案件的审理天数与结案总数的比</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≤50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≤55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&gt;60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法定审限内结案数占结案数的比例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≥96%</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≥94%</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≥92%</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积极推进执行工作，切实保障群众合法权益，维护社会公平正义。</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实际执行案件结案数占应由本院执行的案件数的比例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比执结规定提前的时间与执结规定的时间的比例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正常</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超出规定时间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执行案件公开数占执结案件数的比例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完善审判质效评估体系，促进审判质效、健全司法权力运行机制，提升司法公信力。</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纳入审判管理流程案件占全部案件的比例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审判流程公开案件占全部案件的比例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正确案件信息数占全部案件信息数的比例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为案件审判提供技术支撑，提高办案质量。</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年度内已开展司法技术辅助工作数量占申请开展司法技术辅助工作量的比例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在规定时限内完成委托鉴定数占委托鉴定总数的比例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restart"/>
            <w:shd w:val="clear" w:color="auto" w:fill="FFFFFF" w:themeFill="background1"/>
            <w:vAlign w:val="center"/>
          </w:tcPr>
          <w:p>
            <w:pPr>
              <w:spacing w:line="300" w:lineRule="exact"/>
              <w:jc w:val="center"/>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司法救助和国家赔偿</w:t>
            </w:r>
          </w:p>
        </w:tc>
        <w:tc>
          <w:tcPr>
            <w:tcW w:w="1444" w:type="dxa"/>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完成涉法涉诉类案件的息诉罢访工作，依法办理国家赔偿案件。</w:t>
            </w: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保障信访工作正常进行，提高信访案件结案率、信访受理满意度，维护国家机关的正常工作秩序，做好稳控工作。</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已按程序处理信访案件数量占受理信访案件数量的比例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调查了解上访人对信访处理的满意程度</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不断完善司法救助，切实保护民生，让人民群众感受到司法以人为本，享受到司法人文关怀。</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实际发放到位的救助资金占已批复的救助资金的比例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司法救助案件化解矛盾的数量占司法救助案件数的比例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≥70％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司法救助已结案件量占全部立案的司法救助案件量的比例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≥60%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保护被侵害人的合法权益，促进行政机关、司法机关依法履行职责。</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年度内已完成的国家赔偿案件办理工作量占受理量的比例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提前审限时间占规定时间的比例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正常</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超出规定时间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已按程序处理国家赔偿案件与全年受理国家赔偿案件比例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≥80%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restart"/>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r>
              <w:rPr>
                <w:rFonts w:hint="eastAsia" w:ascii="方正书宋_GBK" w:hAnsi="Times New Roman" w:eastAsia="方正书宋_GBK" w:cs="Times New Roman"/>
                <w:b/>
                <w:sz w:val="18"/>
                <w:szCs w:val="18"/>
              </w:rPr>
              <w:t>法院事务管理</w:t>
            </w:r>
          </w:p>
        </w:tc>
        <w:tc>
          <w:tcPr>
            <w:tcW w:w="1444" w:type="dxa"/>
            <w:shd w:val="clear" w:color="auto" w:fill="FFFFFF" w:themeFill="background1"/>
            <w:vAlign w:val="center"/>
          </w:tcPr>
          <w:p>
            <w:pPr>
              <w:widowControl/>
              <w:jc w:val="center"/>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系统综合业务管理和综合事务管理。</w:t>
            </w:r>
          </w:p>
        </w:tc>
        <w:tc>
          <w:tcPr>
            <w:tcW w:w="2199" w:type="dxa"/>
            <w:gridSpan w:val="2"/>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不断提高队伍素质和执法能力，推进信息公开，提升审判质效，改进司法工作作风，树立法院良好形象。</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综合业务管理工作完成情况占综合业务管理工作任务的比例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restart"/>
            <w:shd w:val="clear" w:color="auto" w:fill="FFFFFF" w:themeFill="background1"/>
            <w:vAlign w:val="center"/>
          </w:tcPr>
          <w:p>
            <w:pPr>
              <w:widowControl/>
              <w:jc w:val="center"/>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系统综合业务管理和综合事务管理。</w:t>
            </w:r>
          </w:p>
        </w:tc>
        <w:tc>
          <w:tcPr>
            <w:tcW w:w="2199" w:type="dxa"/>
            <w:gridSpan w:val="2"/>
            <w:vMerge w:val="restart"/>
            <w:shd w:val="clear" w:color="auto" w:fill="FFFFFF" w:themeFill="background1"/>
            <w:vAlign w:val="center"/>
          </w:tcPr>
          <w:p>
            <w:pPr>
              <w:widowControl/>
              <w:jc w:val="left"/>
              <w:textAlignment w:val="center"/>
              <w:rPr>
                <w:rFonts w:ascii="方正书宋_GBK" w:hAnsi="Times New Roman" w:eastAsia="方正书宋_GBK" w:cs="Times New Roman"/>
                <w:sz w:val="18"/>
                <w:szCs w:val="18"/>
              </w:rPr>
            </w:pPr>
            <w:r>
              <w:rPr>
                <w:rFonts w:hint="eastAsia" w:ascii="宋体" w:hAnsi="宋体" w:eastAsia="宋体" w:cs="宋体"/>
                <w:color w:val="000000"/>
                <w:kern w:val="0"/>
                <w:sz w:val="18"/>
                <w:szCs w:val="18"/>
              </w:rPr>
              <w:t>高质高效完成年度各项工作。</w:t>
            </w: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各项后勤保障工作完成情况占各项后勤保障工作任务的比例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384" w:type="dxa"/>
            <w:vMerge w:val="continue"/>
            <w:shd w:val="clear" w:color="auto" w:fill="FFFFFF" w:themeFill="background1"/>
            <w:vAlign w:val="center"/>
          </w:tcPr>
          <w:p>
            <w:pPr>
              <w:spacing w:line="300" w:lineRule="exact"/>
              <w:jc w:val="left"/>
              <w:rPr>
                <w:rFonts w:ascii="方正书宋_GBK" w:hAnsi="Times New Roman" w:eastAsia="方正书宋_GBK" w:cs="Times New Roman"/>
                <w:b/>
                <w:sz w:val="18"/>
                <w:szCs w:val="18"/>
              </w:rPr>
            </w:pPr>
          </w:p>
        </w:tc>
        <w:tc>
          <w:tcPr>
            <w:tcW w:w="1444" w:type="dxa"/>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199" w:type="dxa"/>
            <w:gridSpan w:val="2"/>
            <w:vMerge w:val="continue"/>
            <w:shd w:val="clear" w:color="auto" w:fill="FFFFFF" w:themeFill="background1"/>
            <w:vAlign w:val="center"/>
          </w:tcPr>
          <w:p>
            <w:pPr>
              <w:spacing w:line="300" w:lineRule="exact"/>
              <w:jc w:val="left"/>
              <w:rPr>
                <w:rFonts w:ascii="方正书宋_GBK" w:hAnsi="Times New Roman" w:eastAsia="方正书宋_GBK" w:cs="Times New Roman"/>
                <w:sz w:val="18"/>
                <w:szCs w:val="18"/>
              </w:rPr>
            </w:pPr>
          </w:p>
        </w:tc>
        <w:tc>
          <w:tcPr>
            <w:tcW w:w="2456" w:type="dxa"/>
            <w:shd w:val="clear" w:color="auto" w:fill="FFFFFF" w:themeFill="background1"/>
            <w:vAlign w:val="center"/>
          </w:tcPr>
          <w:p>
            <w:pPr>
              <w:widowControl/>
              <w:jc w:val="left"/>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综合事务管理工作完成情况占综合事务管理工作任务的比例</w:t>
            </w:r>
          </w:p>
        </w:tc>
        <w:tc>
          <w:tcPr>
            <w:tcW w:w="844"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100%</w:t>
            </w:r>
          </w:p>
        </w:tc>
        <w:tc>
          <w:tcPr>
            <w:tcW w:w="787"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≥95%</w:t>
            </w:r>
          </w:p>
        </w:tc>
        <w:tc>
          <w:tcPr>
            <w:tcW w:w="825"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≥90%</w:t>
            </w:r>
          </w:p>
        </w:tc>
        <w:tc>
          <w:tcPr>
            <w:tcW w:w="806" w:type="dxa"/>
            <w:shd w:val="clear" w:color="auto" w:fill="FFFFFF" w:themeFill="background1"/>
            <w:vAlign w:val="center"/>
          </w:tcPr>
          <w:p>
            <w:pPr>
              <w:widowControl/>
              <w:jc w:val="center"/>
              <w:textAlignment w:val="center"/>
              <w:rPr>
                <w:rFonts w:ascii="Times New Roman" w:hAnsi="Times New Roman" w:eastAsia="方正书宋_GBK" w:cs="Times New Roman"/>
                <w:sz w:val="18"/>
                <w:szCs w:val="18"/>
              </w:rPr>
            </w:pPr>
            <w:r>
              <w:rPr>
                <w:rFonts w:hint="eastAsia" w:ascii="宋体" w:hAnsi="宋体" w:eastAsia="宋体" w:cs="宋体"/>
                <w:color w:val="000000"/>
                <w:kern w:val="0"/>
                <w:sz w:val="18"/>
                <w:szCs w:val="18"/>
              </w:rPr>
              <w:t>&lt;90%</w:t>
            </w:r>
          </w:p>
        </w:tc>
      </w:tr>
    </w:tbl>
    <w:p>
      <w:pPr>
        <w:pStyle w:val="3"/>
        <w:pageBreakBefore w:val="0"/>
        <w:kinsoku/>
        <w:wordWrap/>
        <w:overflowPunct/>
        <w:topLinePunct w:val="0"/>
        <w:autoSpaceDE/>
        <w:autoSpaceDN/>
        <w:bidi w:val="0"/>
        <w:spacing w:before="0" w:after="0" w:line="560" w:lineRule="exact"/>
        <w:ind w:firstLine="640" w:firstLineChars="200"/>
        <w:textAlignment w:val="auto"/>
        <w:rPr>
          <w:rFonts w:ascii="黑体" w:eastAsia="黑体" w:cs="Times New Roman"/>
          <w:b w:val="0"/>
          <w:bCs w:val="0"/>
        </w:rPr>
      </w:pPr>
      <w:r>
        <w:rPr>
          <w:rFonts w:hint="eastAsia" w:ascii="黑体" w:eastAsia="黑体" w:cs="Times New Roman"/>
          <w:b w:val="0"/>
          <w:bCs w:val="0"/>
        </w:rPr>
        <w:t>七、其他重要事项的说明</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（一）机关运行经费情况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rPr>
      </w:pPr>
      <w:r>
        <w:rPr>
          <w:rFonts w:hint="eastAsia" w:ascii="仿宋" w:hAnsi="仿宋" w:eastAsia="仿宋" w:cs="仿宋"/>
          <w:sz w:val="32"/>
          <w:szCs w:val="32"/>
        </w:rPr>
        <w:t>本部门2018年度机关运行经费支出</w:t>
      </w:r>
      <w:r>
        <w:rPr>
          <w:rFonts w:hint="eastAsia" w:ascii="仿宋" w:hAnsi="仿宋" w:eastAsia="仿宋" w:cs="仿宋"/>
          <w:sz w:val="32"/>
          <w:szCs w:val="32"/>
          <w:lang w:val="en-US" w:eastAsia="zh-CN"/>
        </w:rPr>
        <w:t>41.71</w:t>
      </w:r>
      <w:r>
        <w:rPr>
          <w:rFonts w:hint="eastAsia" w:ascii="仿宋" w:hAnsi="仿宋" w:eastAsia="仿宋" w:cs="仿宋"/>
          <w:sz w:val="32"/>
          <w:szCs w:val="32"/>
        </w:rPr>
        <w:t xml:space="preserve">万元，比年初预算数减少 </w:t>
      </w:r>
      <w:r>
        <w:rPr>
          <w:rFonts w:hint="eastAsia" w:ascii="仿宋" w:hAnsi="仿宋" w:eastAsia="仿宋" w:cs="仿宋"/>
          <w:sz w:val="32"/>
          <w:szCs w:val="32"/>
          <w:lang w:val="en-US" w:eastAsia="zh-CN"/>
        </w:rPr>
        <w:t>29.89</w:t>
      </w:r>
      <w:r>
        <w:rPr>
          <w:rFonts w:hint="eastAsia" w:ascii="仿宋" w:hAnsi="仿宋" w:eastAsia="仿宋" w:cs="仿宋"/>
          <w:sz w:val="32"/>
          <w:szCs w:val="32"/>
        </w:rPr>
        <w:t>万元，降低</w:t>
      </w:r>
      <w:r>
        <w:rPr>
          <w:rFonts w:hint="eastAsia" w:ascii="仿宋" w:hAnsi="仿宋" w:eastAsia="仿宋" w:cs="仿宋"/>
          <w:sz w:val="32"/>
          <w:szCs w:val="32"/>
          <w:lang w:val="en-US" w:eastAsia="zh-CN"/>
        </w:rPr>
        <w:t>41.75</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主要是</w:t>
      </w:r>
      <w:r>
        <w:rPr>
          <w:rFonts w:hint="eastAsia" w:ascii="仿宋" w:hAnsi="仿宋" w:eastAsia="仿宋" w:cs="仿宋"/>
          <w:sz w:val="32"/>
          <w:szCs w:val="32"/>
          <w:lang w:eastAsia="zh-CN"/>
        </w:rPr>
        <w:t>厉行节约，压减支出</w:t>
      </w:r>
      <w:r>
        <w:rPr>
          <w:rFonts w:hint="eastAsia" w:ascii="仿宋" w:hAnsi="仿宋" w:eastAsia="仿宋" w:cs="仿宋"/>
          <w:sz w:val="32"/>
          <w:szCs w:val="32"/>
        </w:rPr>
        <w:t>。较2017年度决算减少</w:t>
      </w:r>
      <w:r>
        <w:rPr>
          <w:rFonts w:hint="eastAsia" w:ascii="仿宋" w:hAnsi="仿宋" w:eastAsia="仿宋" w:cs="仿宋"/>
          <w:sz w:val="32"/>
          <w:szCs w:val="32"/>
          <w:lang w:val="en-US" w:eastAsia="zh-CN"/>
        </w:rPr>
        <w:t>30.54</w:t>
      </w:r>
      <w:r>
        <w:rPr>
          <w:rFonts w:hint="eastAsia" w:ascii="仿宋" w:hAnsi="仿宋" w:eastAsia="仿宋" w:cs="仿宋"/>
          <w:sz w:val="32"/>
          <w:szCs w:val="32"/>
        </w:rPr>
        <w:t>万元，降低</w:t>
      </w:r>
      <w:r>
        <w:rPr>
          <w:rFonts w:hint="eastAsia" w:ascii="仿宋" w:hAnsi="仿宋" w:eastAsia="仿宋" w:cs="仿宋"/>
          <w:sz w:val="32"/>
          <w:szCs w:val="32"/>
          <w:lang w:val="en-US" w:eastAsia="zh-CN"/>
        </w:rPr>
        <w:t>42.27</w:t>
      </w:r>
      <w:r>
        <w:rPr>
          <w:rFonts w:hint="eastAsia" w:ascii="仿宋" w:hAnsi="仿宋" w:eastAsia="仿宋" w:cs="仿宋"/>
          <w:sz w:val="32"/>
          <w:szCs w:val="32"/>
        </w:rPr>
        <w:t>%，主要是</w:t>
      </w:r>
      <w:r>
        <w:rPr>
          <w:rFonts w:hint="eastAsia" w:ascii="仿宋" w:hAnsi="仿宋" w:eastAsia="仿宋" w:cs="仿宋"/>
          <w:sz w:val="32"/>
          <w:szCs w:val="32"/>
          <w:lang w:eastAsia="zh-CN"/>
        </w:rPr>
        <w:t>厉行节约，压减支出</w:t>
      </w:r>
      <w:r>
        <w:rPr>
          <w:rFonts w:hint="eastAsia" w:ascii="仿宋" w:hAnsi="仿宋" w:eastAsia="仿宋" w:cs="仿宋"/>
          <w:sz w:val="32"/>
          <w:szCs w:val="32"/>
        </w:rPr>
        <w:t>。</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（二）政府采购情况</w:t>
      </w:r>
    </w:p>
    <w:p>
      <w:pPr>
        <w:pageBreakBefore w:val="0"/>
        <w:widowControl/>
        <w:kinsoku/>
        <w:wordWrap/>
        <w:overflowPunct/>
        <w:topLinePunct w:val="0"/>
        <w:autoSpaceDE/>
        <w:autoSpaceDN/>
        <w:bidi w:val="0"/>
        <w:spacing w:after="0"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本部门2018年度政府采购支出总额</w:t>
      </w:r>
      <w:r>
        <w:rPr>
          <w:rFonts w:hint="eastAsia" w:ascii="仿宋" w:hAnsi="仿宋" w:eastAsia="仿宋" w:cs="仿宋"/>
          <w:sz w:val="32"/>
          <w:szCs w:val="32"/>
          <w:lang w:val="en-US" w:eastAsia="zh-CN"/>
        </w:rPr>
        <w:t>712.59</w:t>
      </w:r>
      <w:r>
        <w:rPr>
          <w:rFonts w:hint="eastAsia" w:ascii="仿宋" w:hAnsi="仿宋" w:eastAsia="仿宋" w:cs="仿宋"/>
          <w:sz w:val="32"/>
          <w:szCs w:val="32"/>
        </w:rPr>
        <w:t>万元，从采购类型来看，</w:t>
      </w:r>
      <w:r>
        <w:rPr>
          <w:rFonts w:hint="eastAsia" w:ascii="仿宋" w:hAnsi="仿宋" w:eastAsia="仿宋" w:cs="仿宋"/>
          <w:color w:val="000000"/>
          <w:kern w:val="0"/>
          <w:sz w:val="32"/>
          <w:szCs w:val="32"/>
        </w:rPr>
        <w:t>政府采购货物支出</w:t>
      </w:r>
      <w:r>
        <w:rPr>
          <w:rFonts w:hint="eastAsia" w:ascii="仿宋" w:hAnsi="仿宋" w:eastAsia="仿宋" w:cs="仿宋"/>
          <w:color w:val="000000"/>
          <w:kern w:val="0"/>
          <w:sz w:val="32"/>
          <w:szCs w:val="32"/>
          <w:lang w:val="en-US" w:eastAsia="zh-CN"/>
        </w:rPr>
        <w:t>481.09</w:t>
      </w:r>
      <w:r>
        <w:rPr>
          <w:rFonts w:hint="eastAsia" w:ascii="仿宋" w:hAnsi="仿宋" w:eastAsia="仿宋" w:cs="仿宋"/>
          <w:color w:val="000000"/>
          <w:kern w:val="0"/>
          <w:sz w:val="32"/>
          <w:szCs w:val="32"/>
        </w:rPr>
        <w:t xml:space="preserve"> 万元、政府采购工程支出</w:t>
      </w:r>
      <w:r>
        <w:rPr>
          <w:rFonts w:hint="eastAsia" w:ascii="仿宋" w:hAnsi="仿宋" w:eastAsia="仿宋" w:cs="仿宋"/>
          <w:color w:val="000000"/>
          <w:kern w:val="0"/>
          <w:sz w:val="32"/>
          <w:szCs w:val="32"/>
          <w:lang w:val="en-US" w:eastAsia="zh-CN"/>
        </w:rPr>
        <w:t>231.5</w:t>
      </w:r>
      <w:r>
        <w:rPr>
          <w:rFonts w:hint="eastAsia" w:ascii="仿宋" w:hAnsi="仿宋" w:eastAsia="仿宋" w:cs="仿宋"/>
          <w:color w:val="000000"/>
          <w:kern w:val="0"/>
          <w:sz w:val="32"/>
          <w:szCs w:val="32"/>
        </w:rPr>
        <w:t>万元、政府采购服务支出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万元。授予中小企业合同金</w:t>
      </w:r>
      <w:r>
        <w:rPr>
          <w:rFonts w:hint="eastAsia" w:ascii="仿宋" w:hAnsi="仿宋" w:eastAsia="仿宋" w:cs="仿宋"/>
          <w:color w:val="000000"/>
          <w:kern w:val="0"/>
          <w:sz w:val="32"/>
          <w:szCs w:val="32"/>
          <w:lang w:val="en-US" w:eastAsia="zh-CN"/>
        </w:rPr>
        <w:t>231.5</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32.49</w:t>
      </w:r>
      <w:r>
        <w:rPr>
          <w:rFonts w:hint="eastAsia" w:ascii="仿宋" w:hAnsi="仿宋" w:eastAsia="仿宋" w:cs="仿宋"/>
          <w:color w:val="000000"/>
          <w:kern w:val="0"/>
          <w:sz w:val="32"/>
          <w:szCs w:val="32"/>
        </w:rPr>
        <w:t>%，其中授予小微企业合同金额</w:t>
      </w:r>
      <w:r>
        <w:rPr>
          <w:rFonts w:hint="eastAsia" w:ascii="仿宋" w:hAnsi="仿宋" w:eastAsia="仿宋" w:cs="仿宋"/>
          <w:color w:val="000000"/>
          <w:kern w:val="0"/>
          <w:sz w:val="32"/>
          <w:szCs w:val="32"/>
          <w:lang w:val="en-US" w:eastAsia="zh-CN"/>
        </w:rPr>
        <w:t>481.09</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67.51</w:t>
      </w:r>
      <w:r>
        <w:rPr>
          <w:rFonts w:hint="eastAsia" w:ascii="仿宋" w:hAnsi="仿宋" w:eastAsia="仿宋" w:cs="仿宋"/>
          <w:color w:val="000000"/>
          <w:kern w:val="0"/>
          <w:sz w:val="32"/>
          <w:szCs w:val="32"/>
        </w:rPr>
        <w:t>%。</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（三）国有资产占用情况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ascii="仿宋_GB2312" w:eastAsia="仿宋_GB2312" w:cs="DengXian-Regular"/>
          <w:sz w:val="32"/>
          <w:szCs w:val="32"/>
        </w:rPr>
      </w:pPr>
      <w:r>
        <w:rPr>
          <w:rFonts w:hint="eastAsia" w:ascii="仿宋" w:hAnsi="仿宋" w:eastAsia="仿宋" w:cs="仿宋"/>
          <w:sz w:val="32"/>
          <w:szCs w:val="32"/>
        </w:rPr>
        <w:t>截至2018年12月31日，本部门共有车辆</w:t>
      </w:r>
      <w:r>
        <w:rPr>
          <w:rFonts w:hint="eastAsia" w:ascii="仿宋" w:hAnsi="仿宋" w:eastAsia="仿宋" w:cs="仿宋"/>
          <w:sz w:val="32"/>
          <w:szCs w:val="32"/>
          <w:lang w:val="en-US" w:eastAsia="zh-CN"/>
        </w:rPr>
        <w:t>20</w:t>
      </w:r>
      <w:r>
        <w:rPr>
          <w:rFonts w:hint="eastAsia" w:ascii="仿宋" w:hAnsi="仿宋" w:eastAsia="仿宋" w:cs="仿宋"/>
          <w:sz w:val="32"/>
          <w:szCs w:val="32"/>
        </w:rPr>
        <w:t>辆，</w:t>
      </w:r>
      <w:r>
        <w:rPr>
          <w:rFonts w:hint="eastAsia" w:ascii="仿宋" w:hAnsi="仿宋" w:eastAsia="仿宋" w:cs="仿宋"/>
          <w:sz w:val="32"/>
          <w:szCs w:val="32"/>
          <w:lang w:eastAsia="zh-CN"/>
        </w:rPr>
        <w:t>较</w:t>
      </w:r>
      <w:r>
        <w:rPr>
          <w:rFonts w:hint="eastAsia" w:ascii="仿宋" w:hAnsi="仿宋" w:eastAsia="仿宋" w:cs="仿宋"/>
          <w:sz w:val="32"/>
          <w:szCs w:val="32"/>
          <w:lang w:val="en-US" w:eastAsia="zh-CN"/>
        </w:rPr>
        <w:t>2017年度无增减变化</w:t>
      </w:r>
      <w:r>
        <w:rPr>
          <w:rFonts w:hint="eastAsia" w:ascii="仿宋" w:hAnsi="仿宋" w:eastAsia="仿宋" w:cs="仿宋"/>
          <w:sz w:val="32"/>
          <w:szCs w:val="32"/>
        </w:rPr>
        <w:t>。其中，副部（省）级及以上领导用车</w:t>
      </w:r>
      <w:r>
        <w:rPr>
          <w:rFonts w:hint="eastAsia" w:ascii="仿宋" w:hAnsi="仿宋" w:eastAsia="仿宋" w:cs="仿宋"/>
          <w:sz w:val="32"/>
          <w:szCs w:val="32"/>
          <w:lang w:val="en-US" w:eastAsia="zh-CN"/>
        </w:rPr>
        <w:t>0</w:t>
      </w:r>
      <w:r>
        <w:rPr>
          <w:rFonts w:hint="eastAsia" w:ascii="仿宋" w:hAnsi="仿宋" w:eastAsia="仿宋" w:cs="仿宋"/>
          <w:sz w:val="32"/>
          <w:szCs w:val="32"/>
        </w:rPr>
        <w:t>辆，主要领导干部用车</w:t>
      </w:r>
      <w:r>
        <w:rPr>
          <w:rFonts w:hint="eastAsia" w:ascii="仿宋" w:hAnsi="仿宋" w:eastAsia="仿宋" w:cs="仿宋"/>
          <w:sz w:val="32"/>
          <w:szCs w:val="32"/>
          <w:lang w:val="en-US" w:eastAsia="zh-CN"/>
        </w:rPr>
        <w:t>0</w:t>
      </w:r>
      <w:r>
        <w:rPr>
          <w:rFonts w:hint="eastAsia" w:ascii="仿宋" w:hAnsi="仿宋" w:eastAsia="仿宋" w:cs="仿宋"/>
          <w:sz w:val="32"/>
          <w:szCs w:val="32"/>
        </w:rPr>
        <w:t>辆，机要通信用车</w:t>
      </w:r>
      <w:r>
        <w:rPr>
          <w:rFonts w:hint="eastAsia" w:ascii="仿宋" w:hAnsi="仿宋" w:eastAsia="仿宋" w:cs="仿宋"/>
          <w:sz w:val="32"/>
          <w:szCs w:val="32"/>
          <w:lang w:val="en-US" w:eastAsia="zh-CN"/>
        </w:rPr>
        <w:t>1</w:t>
      </w:r>
      <w:r>
        <w:rPr>
          <w:rFonts w:hint="eastAsia" w:ascii="仿宋" w:hAnsi="仿宋" w:eastAsia="仿宋" w:cs="仿宋"/>
          <w:sz w:val="32"/>
          <w:szCs w:val="32"/>
        </w:rPr>
        <w:t>辆，应急保障用车</w:t>
      </w:r>
      <w:r>
        <w:rPr>
          <w:rFonts w:hint="eastAsia" w:ascii="仿宋" w:hAnsi="仿宋" w:eastAsia="仿宋" w:cs="仿宋"/>
          <w:sz w:val="32"/>
          <w:szCs w:val="32"/>
          <w:lang w:val="en-US" w:eastAsia="zh-CN"/>
        </w:rPr>
        <w:t>0</w:t>
      </w:r>
      <w:r>
        <w:rPr>
          <w:rFonts w:hint="eastAsia" w:ascii="仿宋" w:hAnsi="仿宋" w:eastAsia="仿宋" w:cs="仿宋"/>
          <w:sz w:val="32"/>
          <w:szCs w:val="32"/>
        </w:rPr>
        <w:t>辆，执法执勤用车</w:t>
      </w:r>
      <w:r>
        <w:rPr>
          <w:rFonts w:hint="eastAsia" w:ascii="仿宋" w:hAnsi="仿宋" w:eastAsia="仿宋" w:cs="仿宋"/>
          <w:sz w:val="32"/>
          <w:szCs w:val="32"/>
          <w:lang w:val="en-US" w:eastAsia="zh-CN"/>
        </w:rPr>
        <w:t>12</w:t>
      </w:r>
      <w:r>
        <w:rPr>
          <w:rFonts w:hint="eastAsia" w:ascii="仿宋" w:hAnsi="仿宋" w:eastAsia="仿宋" w:cs="仿宋"/>
          <w:sz w:val="32"/>
          <w:szCs w:val="32"/>
        </w:rPr>
        <w:t>辆，特种专业技术用车</w:t>
      </w:r>
      <w:r>
        <w:rPr>
          <w:rFonts w:hint="eastAsia" w:ascii="仿宋" w:hAnsi="仿宋" w:eastAsia="仿宋" w:cs="仿宋"/>
          <w:sz w:val="32"/>
          <w:szCs w:val="32"/>
          <w:lang w:val="en-US" w:eastAsia="zh-CN"/>
        </w:rPr>
        <w:t>7</w:t>
      </w:r>
      <w:r>
        <w:rPr>
          <w:rFonts w:hint="eastAsia" w:ascii="仿宋" w:hAnsi="仿宋" w:eastAsia="仿宋" w:cs="仿宋"/>
          <w:sz w:val="32"/>
          <w:szCs w:val="32"/>
        </w:rPr>
        <w:t>辆，离退休干部用车</w:t>
      </w:r>
      <w:r>
        <w:rPr>
          <w:rFonts w:hint="eastAsia" w:ascii="仿宋" w:hAnsi="仿宋" w:eastAsia="仿宋" w:cs="仿宋"/>
          <w:sz w:val="32"/>
          <w:szCs w:val="32"/>
          <w:lang w:val="en-US" w:eastAsia="zh-CN"/>
        </w:rPr>
        <w:t>0</w:t>
      </w:r>
      <w:r>
        <w:rPr>
          <w:rFonts w:hint="eastAsia" w:ascii="仿宋" w:hAnsi="仿宋" w:eastAsia="仿宋" w:cs="仿宋"/>
          <w:sz w:val="32"/>
          <w:szCs w:val="32"/>
        </w:rPr>
        <w:t>辆，其他用车</w:t>
      </w:r>
      <w:r>
        <w:rPr>
          <w:rFonts w:hint="eastAsia" w:ascii="仿宋" w:hAnsi="仿宋" w:eastAsia="仿宋" w:cs="仿宋"/>
          <w:sz w:val="32"/>
          <w:szCs w:val="32"/>
          <w:lang w:val="en-US" w:eastAsia="zh-CN"/>
        </w:rPr>
        <w:t>0</w:t>
      </w:r>
      <w:r>
        <w:rPr>
          <w:rFonts w:hint="eastAsia" w:ascii="仿宋" w:hAnsi="仿宋" w:eastAsia="仿宋" w:cs="仿宋"/>
          <w:sz w:val="32"/>
          <w:szCs w:val="32"/>
        </w:rPr>
        <w:t>辆；单位价值50万元以上通用设备</w:t>
      </w:r>
      <w:r>
        <w:rPr>
          <w:rFonts w:hint="eastAsia" w:ascii="仿宋" w:hAnsi="仿宋" w:eastAsia="仿宋" w:cs="仿宋"/>
          <w:sz w:val="32"/>
          <w:szCs w:val="32"/>
          <w:lang w:val="en-US" w:eastAsia="zh-CN"/>
        </w:rPr>
        <w:t>1</w:t>
      </w:r>
      <w:r>
        <w:rPr>
          <w:rFonts w:hint="eastAsia" w:ascii="仿宋" w:hAnsi="仿宋" w:eastAsia="仿宋" w:cs="仿宋"/>
          <w:sz w:val="32"/>
          <w:szCs w:val="32"/>
        </w:rPr>
        <w:t>台（套），</w:t>
      </w:r>
      <w:r>
        <w:rPr>
          <w:rFonts w:hint="eastAsia" w:ascii="仿宋" w:hAnsi="仿宋" w:eastAsia="仿宋" w:cs="仿宋"/>
          <w:sz w:val="32"/>
          <w:szCs w:val="32"/>
          <w:lang w:eastAsia="zh-CN"/>
        </w:rPr>
        <w:t>较</w:t>
      </w:r>
      <w:r>
        <w:rPr>
          <w:rFonts w:hint="eastAsia" w:ascii="仿宋" w:hAnsi="仿宋" w:eastAsia="仿宋" w:cs="仿宋"/>
          <w:sz w:val="32"/>
          <w:szCs w:val="32"/>
          <w:lang w:val="en-US" w:eastAsia="zh-CN"/>
        </w:rPr>
        <w:t>2017年度无增减变化</w:t>
      </w:r>
      <w:r>
        <w:rPr>
          <w:rFonts w:hint="eastAsia" w:ascii="仿宋" w:hAnsi="仿宋" w:eastAsia="仿宋" w:cs="仿宋"/>
          <w:sz w:val="32"/>
          <w:szCs w:val="32"/>
        </w:rPr>
        <w:t>，单位价值100万元以上专用设备</w:t>
      </w:r>
      <w:r>
        <w:rPr>
          <w:rFonts w:hint="eastAsia" w:ascii="仿宋" w:hAnsi="仿宋" w:eastAsia="仿宋" w:cs="仿宋"/>
          <w:sz w:val="32"/>
          <w:szCs w:val="32"/>
          <w:lang w:val="en-US" w:eastAsia="zh-CN"/>
        </w:rPr>
        <w:t>0</w:t>
      </w:r>
      <w:r>
        <w:rPr>
          <w:rFonts w:hint="eastAsia" w:ascii="仿宋" w:hAnsi="仿宋" w:eastAsia="仿宋" w:cs="仿宋"/>
          <w:sz w:val="32"/>
          <w:szCs w:val="32"/>
        </w:rPr>
        <w:t>台（套）</w:t>
      </w:r>
      <w:r>
        <w:rPr>
          <w:rFonts w:hint="eastAsia" w:ascii="仿宋" w:hAnsi="仿宋" w:eastAsia="仿宋" w:cs="仿宋"/>
          <w:sz w:val="32"/>
          <w:szCs w:val="32"/>
          <w:lang w:eastAsia="zh-CN"/>
        </w:rPr>
        <w:t>，较</w:t>
      </w:r>
      <w:r>
        <w:rPr>
          <w:rFonts w:hint="eastAsia" w:ascii="仿宋" w:hAnsi="仿宋" w:eastAsia="仿宋" w:cs="仿宋"/>
          <w:sz w:val="32"/>
          <w:szCs w:val="32"/>
          <w:lang w:val="en-US" w:eastAsia="zh-CN"/>
        </w:rPr>
        <w:t>2017年度无增减变化</w:t>
      </w:r>
      <w:r>
        <w:rPr>
          <w:rFonts w:hint="eastAsia" w:ascii="仿宋" w:hAnsi="仿宋" w:eastAsia="仿宋" w:cs="仿宋"/>
          <w:sz w:val="32"/>
          <w:szCs w:val="32"/>
        </w:rPr>
        <w:t>。</w:t>
      </w:r>
    </w:p>
    <w:p>
      <w:pPr>
        <w:pStyle w:val="4"/>
        <w:pageBreakBefore w:val="0"/>
        <w:kinsoku/>
        <w:wordWrap/>
        <w:overflowPunct/>
        <w:topLinePunct w:val="0"/>
        <w:autoSpaceDE/>
        <w:autoSpaceDN/>
        <w:bidi w:val="0"/>
        <w:spacing w:before="0" w:after="0" w:line="560" w:lineRule="exact"/>
        <w:ind w:firstLine="643" w:firstLineChars="200"/>
        <w:textAlignment w:val="auto"/>
        <w:rPr>
          <w:rFonts w:ascii="楷体_GB2312" w:eastAsia="楷体_GB2312" w:cs="DengXian-Bold"/>
        </w:rPr>
      </w:pPr>
      <w:r>
        <w:rPr>
          <w:rFonts w:hint="eastAsia" w:ascii="楷体_GB2312" w:eastAsia="楷体_GB2312" w:cs="DengXian-Bold"/>
        </w:rPr>
        <w:t>（四）其他需要说明的情况</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1、本部门2018年度</w:t>
      </w:r>
      <w:r>
        <w:rPr>
          <w:rFonts w:hint="eastAsia" w:ascii="仿宋" w:hAnsi="仿宋" w:eastAsia="仿宋" w:cs="仿宋"/>
          <w:sz w:val="32"/>
          <w:szCs w:val="32"/>
          <w:lang w:eastAsia="zh-CN"/>
        </w:rPr>
        <w:t>结转资金</w:t>
      </w:r>
      <w:r>
        <w:rPr>
          <w:rFonts w:hint="eastAsia" w:ascii="仿宋" w:hAnsi="仿宋" w:eastAsia="仿宋" w:cs="仿宋"/>
          <w:sz w:val="32"/>
          <w:szCs w:val="32"/>
          <w:lang w:val="en-US" w:eastAsia="zh-CN"/>
        </w:rPr>
        <w:t>1968.89万元</w:t>
      </w:r>
      <w:r>
        <w:rPr>
          <w:rFonts w:hint="eastAsia" w:ascii="仿宋" w:hAnsi="仿宋" w:eastAsia="仿宋" w:cs="仿宋"/>
          <w:sz w:val="32"/>
          <w:szCs w:val="32"/>
        </w:rPr>
        <w:t>，</w:t>
      </w:r>
      <w:r>
        <w:rPr>
          <w:rFonts w:hint="eastAsia" w:ascii="仿宋" w:hAnsi="仿宋" w:eastAsia="仿宋" w:cs="仿宋"/>
          <w:sz w:val="32"/>
          <w:szCs w:val="32"/>
          <w:lang w:eastAsia="zh-CN"/>
        </w:rPr>
        <w:t>主要为人员增资补助及部分项目资金</w:t>
      </w:r>
      <w:r>
        <w:rPr>
          <w:rFonts w:hint="eastAsia" w:ascii="仿宋" w:hAnsi="仿宋" w:eastAsia="仿宋" w:cs="仿宋"/>
          <w:sz w:val="32"/>
          <w:szCs w:val="32"/>
        </w:rPr>
        <w:t>。</w:t>
      </w:r>
    </w:p>
    <w:p>
      <w:pPr>
        <w:pageBreakBefore w:val="0"/>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2、由于决算公开表格中金额数值应当保留两位小数，公开数据为四舍五入计算结果，个别数据合计项与分项之和存在小数点后差额，特此说明。</w:t>
      </w:r>
    </w:p>
    <w:p>
      <w:pPr>
        <w:pageBreakBefore w:val="0"/>
        <w:widowControl/>
        <w:kinsoku/>
        <w:wordWrap/>
        <w:overflowPunct/>
        <w:topLinePunct w:val="0"/>
        <w:autoSpaceDE/>
        <w:autoSpaceDN/>
        <w:bidi w:val="0"/>
        <w:spacing w:after="0" w:line="560" w:lineRule="exact"/>
        <w:ind w:firstLine="883" w:firstLineChars="200"/>
        <w:jc w:val="left"/>
        <w:textAlignment w:val="auto"/>
        <w:rPr>
          <w:rFonts w:hint="eastAsia" w:ascii="仿宋" w:hAnsi="仿宋" w:eastAsia="仿宋" w:cs="仿宋"/>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81FE1D-808B-4307-A1F8-18D4F841F6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63990A7-6EBD-493A-9656-CE2F99B5565F}"/>
  </w:font>
  <w:font w:name="Cambria">
    <w:panose1 w:val="02040503050406030204"/>
    <w:charset w:val="00"/>
    <w:family w:val="roman"/>
    <w:pitch w:val="default"/>
    <w:sig w:usb0="E00006FF" w:usb1="420024FF" w:usb2="02000000" w:usb3="00000000" w:csb0="2000019F" w:csb1="00000000"/>
    <w:embedRegular r:id="rId3" w:fontKey="{D4B9E13F-E45F-44CF-9C48-58EBFCF61B60}"/>
  </w:font>
  <w:font w:name="楷体">
    <w:panose1 w:val="02010609060101010101"/>
    <w:charset w:val="86"/>
    <w:family w:val="modern"/>
    <w:pitch w:val="default"/>
    <w:sig w:usb0="800002BF" w:usb1="38CF7CFA" w:usb2="00000016" w:usb3="00000000" w:csb0="00040001" w:csb1="00000000"/>
    <w:embedRegular r:id="rId4" w:fontKey="{47AC7EF2-E94A-4148-95F5-0AA2AB6BE24F}"/>
  </w:font>
  <w:font w:name="仿宋_GB2312">
    <w:panose1 w:val="02010609030101010101"/>
    <w:charset w:val="86"/>
    <w:family w:val="modern"/>
    <w:pitch w:val="default"/>
    <w:sig w:usb0="00000000" w:usb1="00000000" w:usb2="00000000" w:usb3="00000000" w:csb0="00000000" w:csb1="00000000"/>
    <w:embedRegular r:id="rId5" w:fontKey="{4D0FE7B3-F769-4C34-97AB-6096195D7772}"/>
  </w:font>
  <w:font w:name="仿宋">
    <w:panose1 w:val="02010609060101010101"/>
    <w:charset w:val="86"/>
    <w:family w:val="auto"/>
    <w:pitch w:val="default"/>
    <w:sig w:usb0="800002BF" w:usb1="38CF7CFA" w:usb2="00000016" w:usb3="00000000" w:csb0="00040001" w:csb1="00000000"/>
    <w:embedRegular r:id="rId6" w:fontKey="{1DFC1A6A-DE29-413C-9538-0C9B81106D81}"/>
  </w:font>
  <w:font w:name="ArialUnicodeMS">
    <w:altName w:val="Malgun Gothic"/>
    <w:panose1 w:val="00000000000000000000"/>
    <w:charset w:val="81"/>
    <w:family w:val="auto"/>
    <w:pitch w:val="default"/>
    <w:sig w:usb0="00000000" w:usb1="00000000" w:usb2="00000010" w:usb3="00000000" w:csb0="00080001" w:csb1="00000000"/>
    <w:embedRegular r:id="rId7" w:fontKey="{58D49642-71CA-4885-90D1-AAD9A970EDCD}"/>
  </w:font>
  <w:font w:name="MS-UIGothic,Bold">
    <w:altName w:val="Malgun Gothic"/>
    <w:panose1 w:val="00000000000000000000"/>
    <w:charset w:val="81"/>
    <w:family w:val="auto"/>
    <w:pitch w:val="default"/>
    <w:sig w:usb0="00000000" w:usb1="00000000" w:usb2="00000010" w:usb3="00000000" w:csb0="00080000" w:csb1="00000000"/>
    <w:embedRegular r:id="rId8" w:fontKey="{54CB6FA6-4D7C-4959-9E7A-36289E2B1E8C}"/>
  </w:font>
  <w:font w:name="DengXian-Regular">
    <w:altName w:val="宋体"/>
    <w:panose1 w:val="00000000000000000000"/>
    <w:charset w:val="86"/>
    <w:family w:val="auto"/>
    <w:pitch w:val="default"/>
    <w:sig w:usb0="00000000" w:usb1="00000000" w:usb2="00000010" w:usb3="00000000" w:csb0="00040001" w:csb1="00000000"/>
    <w:embedRegular r:id="rId9" w:fontKey="{0DD60ED8-F406-4C98-AC2E-50B2B8BFEA06}"/>
  </w:font>
  <w:font w:name="楷体_GB2312">
    <w:altName w:val="楷体"/>
    <w:panose1 w:val="00000000000000000000"/>
    <w:charset w:val="86"/>
    <w:family w:val="modern"/>
    <w:pitch w:val="default"/>
    <w:sig w:usb0="00000000" w:usb1="00000000" w:usb2="00000010" w:usb3="00000000" w:csb0="00040000" w:csb1="00000000"/>
    <w:embedRegular r:id="rId10" w:fontKey="{BE78B2B7-772D-43CA-8B64-81EE29DF4B06}"/>
  </w:font>
  <w:font w:name="DengXian-Bold">
    <w:altName w:val="宋体"/>
    <w:panose1 w:val="00000000000000000000"/>
    <w:charset w:val="86"/>
    <w:family w:val="auto"/>
    <w:pitch w:val="default"/>
    <w:sig w:usb0="00000000" w:usb1="00000000" w:usb2="00000010" w:usb3="00000000" w:csb0="00040001" w:csb1="00000000"/>
    <w:embedRegular r:id="rId11" w:fontKey="{32E281E7-9818-4597-B415-9D48169CBBC4}"/>
  </w:font>
  <w:font w:name="方正小标宋_GBK">
    <w:altName w:val="微软雅黑"/>
    <w:panose1 w:val="00000000000000000000"/>
    <w:charset w:val="86"/>
    <w:family w:val="script"/>
    <w:pitch w:val="default"/>
    <w:sig w:usb0="00000000" w:usb1="00000000" w:usb2="00000010" w:usb3="00000000" w:csb0="00040000" w:csb1="00000000"/>
    <w:embedRegular r:id="rId12" w:fontKey="{4D762E3F-7807-4405-BC78-3F9616482F33}"/>
  </w:font>
  <w:font w:name="方正书宋_GBK">
    <w:altName w:val="微软雅黑"/>
    <w:panose1 w:val="00000000000000000000"/>
    <w:charset w:val="86"/>
    <w:family w:val="script"/>
    <w:pitch w:val="default"/>
    <w:sig w:usb0="00000000" w:usb1="00000000" w:usb2="00000010" w:usb3="00000000" w:csb0="00040000" w:csb1="00000000"/>
    <w:embedRegular r:id="rId13" w:fontKey="{E8A05306-779A-44A0-A0BE-C9C876F0C5CA}"/>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楷体_GB2312">
    <w:altName w:val="楷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27985"/>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1A2C0C"/>
    <w:rsid w:val="04073F84"/>
    <w:rsid w:val="05A60A7F"/>
    <w:rsid w:val="0AB651E0"/>
    <w:rsid w:val="0B60750A"/>
    <w:rsid w:val="0FE320B4"/>
    <w:rsid w:val="105D7B8D"/>
    <w:rsid w:val="10686488"/>
    <w:rsid w:val="10DF728A"/>
    <w:rsid w:val="111A7489"/>
    <w:rsid w:val="11643A6C"/>
    <w:rsid w:val="125A595E"/>
    <w:rsid w:val="1264200E"/>
    <w:rsid w:val="138B3C10"/>
    <w:rsid w:val="13FB5B45"/>
    <w:rsid w:val="141C5B77"/>
    <w:rsid w:val="15C65C4D"/>
    <w:rsid w:val="166C473D"/>
    <w:rsid w:val="18D8339D"/>
    <w:rsid w:val="19387823"/>
    <w:rsid w:val="1A21388F"/>
    <w:rsid w:val="1A570D2F"/>
    <w:rsid w:val="1E9D52CB"/>
    <w:rsid w:val="1F9C54FD"/>
    <w:rsid w:val="28FB0B8D"/>
    <w:rsid w:val="2934428E"/>
    <w:rsid w:val="2BF81BB1"/>
    <w:rsid w:val="2D2B7942"/>
    <w:rsid w:val="2D46481D"/>
    <w:rsid w:val="2E733B28"/>
    <w:rsid w:val="3079196D"/>
    <w:rsid w:val="31852B5A"/>
    <w:rsid w:val="32D01238"/>
    <w:rsid w:val="33735BB1"/>
    <w:rsid w:val="346921B9"/>
    <w:rsid w:val="36455855"/>
    <w:rsid w:val="372415EC"/>
    <w:rsid w:val="37F0396B"/>
    <w:rsid w:val="380232D7"/>
    <w:rsid w:val="38B4528D"/>
    <w:rsid w:val="38B8017A"/>
    <w:rsid w:val="3A873E2D"/>
    <w:rsid w:val="3DFC59A8"/>
    <w:rsid w:val="3ECF245E"/>
    <w:rsid w:val="3FB96314"/>
    <w:rsid w:val="45D838CD"/>
    <w:rsid w:val="45EB4253"/>
    <w:rsid w:val="47CC6858"/>
    <w:rsid w:val="4A9D5222"/>
    <w:rsid w:val="4B403435"/>
    <w:rsid w:val="4C687322"/>
    <w:rsid w:val="4EDA32D3"/>
    <w:rsid w:val="4EF43453"/>
    <w:rsid w:val="53A44FAF"/>
    <w:rsid w:val="57915ABB"/>
    <w:rsid w:val="58BF0C77"/>
    <w:rsid w:val="594329EC"/>
    <w:rsid w:val="5BEE1540"/>
    <w:rsid w:val="5CB102D8"/>
    <w:rsid w:val="5DE61A5D"/>
    <w:rsid w:val="5FD97F86"/>
    <w:rsid w:val="60143F39"/>
    <w:rsid w:val="61AD2087"/>
    <w:rsid w:val="63C04243"/>
    <w:rsid w:val="649C01C7"/>
    <w:rsid w:val="67B9527E"/>
    <w:rsid w:val="696664DE"/>
    <w:rsid w:val="699A3F60"/>
    <w:rsid w:val="6FBF62B8"/>
    <w:rsid w:val="708A26D9"/>
    <w:rsid w:val="71C263C6"/>
    <w:rsid w:val="71D1316A"/>
    <w:rsid w:val="72084AE1"/>
    <w:rsid w:val="721D555E"/>
    <w:rsid w:val="72902E62"/>
    <w:rsid w:val="73C61104"/>
    <w:rsid w:val="771E4E80"/>
    <w:rsid w:val="776452EA"/>
    <w:rsid w:val="78E14555"/>
    <w:rsid w:val="7A6C765F"/>
    <w:rsid w:val="7A8D3FEE"/>
    <w:rsid w:val="7C0103C8"/>
    <w:rsid w:val="7D872772"/>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D59DA58-3CA2-4856-9A51-CD581AE1A7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1</TotalTime>
  <ScaleCrop>false</ScaleCrop>
  <LinksUpToDate>false</LinksUpToDate>
  <CharactersWithSpaces>11081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木 南</cp:lastModifiedBy>
  <cp:lastPrinted>2019-11-05T06:31:00Z</cp:lastPrinted>
  <dcterms:modified xsi:type="dcterms:W3CDTF">2021-05-27T07:13:04Z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19F39A493DB8498FB2B4D3D1FA8B522D</vt:lpwstr>
  </property>
</Properties>
</file>