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both"/>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hAnsi="宋体" w:eastAsia="黑体"/>
          <w:color w:val="002060"/>
          <w:sz w:val="72"/>
          <w:szCs w:val="72"/>
        </w:rPr>
      </w:pPr>
    </w:p>
    <w:p/>
    <w:p/>
    <w:p/>
    <w:p/>
    <w:p/>
    <w:p/>
    <w:p/>
    <w:p/>
    <w:p/>
    <w:p/>
    <w:p/>
    <w:p/>
    <w:p/>
    <w:p/>
    <w:p/>
    <w:p/>
    <w:p>
      <w:pPr>
        <w:widowControl/>
        <w:jc w:val="center"/>
        <w:rPr>
          <w:color w:val="000000"/>
          <w:sz w:val="96"/>
          <w:szCs w:val="96"/>
        </w:rPr>
      </w:pPr>
      <w:r>
        <w:rPr>
          <w:rFonts w:hint="eastAsia" w:ascii="黑体" w:hAnsi="宋体" w:eastAsia="黑体"/>
          <w:color w:val="000000"/>
          <w:sz w:val="96"/>
          <w:szCs w:val="96"/>
        </w:rPr>
        <w:t>第一部分  部门概况</w:t>
      </w:r>
    </w:p>
    <w:p/>
    <w:p/>
    <w:p/>
    <w:p/>
    <w:p/>
    <w:p/>
    <w:p/>
    <w:p/>
    <w:p>
      <w:pPr>
        <w:pStyle w:val="2"/>
        <w:numPr>
          <w:ilvl w:val="0"/>
          <w:numId w:val="1"/>
        </w:numPr>
        <w:spacing w:before="0" w:after="0" w:line="600" w:lineRule="exact"/>
        <w:jc w:val="left"/>
      </w:pPr>
      <w:r>
        <w:rPr>
          <w:rFonts w:hint="eastAsia" w:ascii="黑体" w:hAnsi="Cambria" w:eastAsia="黑体" w:cs="黑体"/>
          <w:b w:val="0"/>
          <w:bCs w:val="0"/>
          <w:kern w:val="0"/>
          <w:sz w:val="32"/>
          <w:szCs w:val="32"/>
        </w:rPr>
        <w:t>部门职责</w:t>
      </w:r>
    </w:p>
    <w:p>
      <w:pPr>
        <w:numPr>
          <w:ilvl w:val="0"/>
          <w:numId w:val="2"/>
        </w:numPr>
        <w:autoSpaceDE w:val="0"/>
        <w:autoSpaceDN w:val="0"/>
        <w:snapToGrid w:val="0"/>
        <w:spacing w:line="584" w:lineRule="exact"/>
        <w:ind w:firstLine="640" w:firstLineChars="2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办公室</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文件起草、秘书事务、机要通讯、会议组织、工作协调、催办监督、检察统计、档案管理、编发检察信息等内部刊物、保密、接待等工作；负责财务、物资技术装备、交通工具、武器弹药、服装等计划管理工作；负责人大代表联络工作；负责机关日常值班、安全防范等行政事务管理工作，负责检察技术工作和物证检验、勘验、鉴定、文证审查和复核工作。</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调查研究与检察工作有关的法律、法规、政策的执行情况，向有关领导和业务部门提出意见和建议；对检察工作适用法律问题提出司法建议；负责对提交监察委员会讨论事项的收集、研究、记录及检察委员会交办的其他工作；编辑编发调研文章、检察工作简报；收集、整理法律和检察业务资料。</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2.政治处</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本院的机构设置、人员编制、干警招录审核、检察官等级评定、司法警察评定和管理工作；负责机关的人员调配、职务任免、职称评定、工资调整和人事档案管理工作；负责本院队伍建设目标的制定、量化动态管理考核工作；负责本院先进集体和先进个人的评选、表彰、奖励及党务工作；负责对外宣传工作；负责本院人员的教育培训工作；协同县委主管部门搞好本院党的建设和队伍建设；开展具有检察特点的思想政治工作；负责政治工作文件起草、秘书事务、会议组织、工作协调、编发政工简报信息等工作。负责司法警察的各项警务工作。 </w:t>
      </w:r>
    </w:p>
    <w:p>
      <w:pPr>
        <w:numPr>
          <w:ilvl w:val="0"/>
          <w:numId w:val="0"/>
        </w:numPr>
        <w:autoSpaceDE w:val="0"/>
        <w:autoSpaceDN w:val="0"/>
        <w:snapToGrid w:val="0"/>
        <w:spacing w:line="584" w:lineRule="exact"/>
        <w:ind w:firstLine="64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政治处是大城县人民检察院检察官考评委员会的办事机构。</w:t>
      </w:r>
    </w:p>
    <w:p>
      <w:pPr>
        <w:numPr>
          <w:ilvl w:val="0"/>
          <w:numId w:val="3"/>
        </w:numPr>
        <w:tabs>
          <w:tab w:val="clear" w:pos="312"/>
        </w:tabs>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侦查监督科</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办理本辖区刑事案件（包括本院直接立案侦查的刑事案件）犯罪嫌疑人的审查逮捕、决定逮捕、立案监督、侦查活动监督和社会治安综合治理工作；掌握分析全县社会治安动态情况，参与处置全县突发事件。负责对需要延长侦查羁押期限的案件依法提请上级检察院审查决定是否延长；开展对未成年人犯罪的预防工作。</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4.公诉科</w:t>
      </w:r>
    </w:p>
    <w:p>
      <w:pPr>
        <w:numPr>
          <w:ilvl w:val="0"/>
          <w:numId w:val="0"/>
        </w:numPr>
        <w:autoSpaceDE w:val="0"/>
        <w:autoSpaceDN w:val="0"/>
        <w:snapToGrid w:val="0"/>
        <w:spacing w:line="584" w:lineRule="exact"/>
        <w:ind w:firstLine="64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负责本辖区刑事犯罪案件（包括本院直接立案侦查的刑事案件）的审查起诉、出庭公诉和提出抗诉工作；负责侦查监督和审判监督工作。开展未成年人犯罪检察和未成年受害人权利保护工作。</w:t>
      </w:r>
    </w:p>
    <w:p>
      <w:pPr>
        <w:numPr>
          <w:ilvl w:val="0"/>
          <w:numId w:val="0"/>
        </w:numPr>
        <w:autoSpaceDE w:val="0"/>
        <w:autoSpaceDN w:val="0"/>
        <w:snapToGrid w:val="0"/>
        <w:spacing w:line="584" w:lineRule="exact"/>
        <w:ind w:firstLine="320" w:firstLineChars="1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5.刑事执行局</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对执行机关执行刑罚的活动，减刑、假释、保外就医等变更执行和看守所的活动是否合法以及对外超期羁押等进行监督。直接立案侦查虐待被监管人员、私放在押人员、失职致使在押人员脱逃和徇私舞弊减刑、假释、暂予监外执行罪案；对监外服刑罪犯的管理工作进行监督考察。</w:t>
      </w:r>
    </w:p>
    <w:p>
      <w:pPr>
        <w:numPr>
          <w:ilvl w:val="0"/>
          <w:numId w:val="0"/>
        </w:numPr>
        <w:autoSpaceDE w:val="0"/>
        <w:autoSpaceDN w:val="0"/>
        <w:snapToGrid w:val="0"/>
        <w:spacing w:line="584" w:lineRule="exact"/>
        <w:ind w:firstLine="320" w:firstLineChars="1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6.民事行政检察科</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受理不服本县人民法院作出的，市中级人民法院作出的并应由本院管辖的已发生法律效力的民事、经济、行政判决和裁定的当事人向检察机关提出的申诉案件；已发生法律效力，确有错误的民事、经济、行政案件判决和裁定，按审判监督程序提请或建议上级人民检察院提出抗诉；依法查处审判人员在审理民事、经济、行政案件的徇私舞弊、枉法裁决等犯罪案件。</w:t>
      </w:r>
    </w:p>
    <w:p>
      <w:pPr>
        <w:numPr>
          <w:ilvl w:val="0"/>
          <w:numId w:val="0"/>
        </w:numPr>
        <w:autoSpaceDE w:val="0"/>
        <w:autoSpaceDN w:val="0"/>
        <w:snapToGrid w:val="0"/>
        <w:spacing w:line="584" w:lineRule="exact"/>
        <w:ind w:firstLine="320" w:firstLineChars="1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7.控告申诉检察科（举报中心、刑事赔偿办公室）</w:t>
      </w:r>
    </w:p>
    <w:p>
      <w:pPr>
        <w:numPr>
          <w:ilvl w:val="0"/>
          <w:numId w:val="0"/>
        </w:numPr>
        <w:autoSpaceDE w:val="0"/>
        <w:autoSpaceDN w:val="0"/>
        <w:snapToGrid w:val="0"/>
        <w:spacing w:line="584" w:lineRule="exact"/>
        <w:ind w:firstLine="64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受理公民的举报、控告、申诉；对举报线索进行分流或初查；依法复查由本院管辖的刑事申诉案件；承办由本院管辖的刑事赔偿案件。</w:t>
      </w:r>
    </w:p>
    <w:p>
      <w:pPr>
        <w:numPr>
          <w:ilvl w:val="0"/>
          <w:numId w:val="0"/>
        </w:numPr>
        <w:autoSpaceDE w:val="0"/>
        <w:autoSpaceDN w:val="0"/>
        <w:snapToGrid w:val="0"/>
        <w:spacing w:line="584" w:lineRule="exact"/>
        <w:ind w:firstLine="320" w:firstLineChars="1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8.反贪污贿赂局 </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综合全县反贪污贿赂工作情况，研究分析全县反贪污贿赂等犯罪的特点、规律、提出惩治对策。总结推广反贪污贿赂工作经验，探索反贪污贿赂工作规律。研究制定反贪污贿赂工作制度、规定及实施意见。直接立案侦查全县反贪污贿赂犯罪案件并负责预审工作。承办上级人民检察院和县委交办案件的侦查工作。</w:t>
      </w:r>
    </w:p>
    <w:p>
      <w:pPr>
        <w:numPr>
          <w:ilvl w:val="0"/>
          <w:numId w:val="0"/>
        </w:numPr>
        <w:autoSpaceDE w:val="0"/>
        <w:autoSpaceDN w:val="0"/>
        <w:snapToGrid w:val="0"/>
        <w:spacing w:line="584" w:lineRule="exact"/>
        <w:ind w:firstLine="64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反贪污贿赂局内设侦查一科、侦查二科、侦查三科、</w:t>
      </w:r>
    </w:p>
    <w:p>
      <w:pPr>
        <w:numPr>
          <w:ilvl w:val="0"/>
          <w:numId w:val="0"/>
        </w:numPr>
        <w:autoSpaceDE w:val="0"/>
        <w:autoSpaceDN w:val="0"/>
        <w:snapToGrid w:val="0"/>
        <w:spacing w:line="584" w:lineRule="exact"/>
        <w:ind w:firstLine="320" w:firstLineChars="1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9.渎职侵权检察科</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负责对全县国家机关工作人员的渎职但最和国家机关工作人员利用职权实施的侵犯公民人身权利、公民民主权利的犯罪案件的侦查预审工作、研究、分析全县渎职侵权犯罪前情况、趋势和对策；承办上级检察院和县委交办案件的侦查工作。</w:t>
      </w: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研究、分析全县职务犯罪工作的特点、规律，提出贪污贿赂渎职犯罪的预防对策；负责对职务犯罪预防工作的法制宣传。</w:t>
      </w:r>
    </w:p>
    <w:p>
      <w:pPr>
        <w:numPr>
          <w:ilvl w:val="0"/>
          <w:numId w:val="0"/>
        </w:numPr>
        <w:autoSpaceDE w:val="0"/>
        <w:autoSpaceDN w:val="0"/>
        <w:snapToGrid w:val="0"/>
        <w:spacing w:line="584" w:lineRule="exact"/>
        <w:rPr>
          <w:rFonts w:hint="default" w:ascii="Calibri" w:hAnsi="Calibri" w:eastAsia="仿宋_GB2312" w:cs="Times New Roman"/>
          <w:sz w:val="32"/>
          <w:szCs w:val="32"/>
          <w:lang w:val="en-US" w:eastAsia="zh-CN"/>
        </w:rPr>
      </w:pPr>
    </w:p>
    <w:p>
      <w:pPr>
        <w:numPr>
          <w:ilvl w:val="0"/>
          <w:numId w:val="0"/>
        </w:numPr>
        <w:autoSpaceDE w:val="0"/>
        <w:autoSpaceDN w:val="0"/>
        <w:snapToGrid w:val="0"/>
        <w:spacing w:line="584" w:lineRule="exact"/>
        <w:rPr>
          <w:rFonts w:hint="default"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w:t>
      </w:r>
    </w:p>
    <w:p>
      <w:pPr>
        <w:widowControl w:val="0"/>
        <w:numPr>
          <w:ilvl w:val="0"/>
          <w:numId w:val="0"/>
        </w:numPr>
        <w:autoSpaceDE w:val="0"/>
        <w:autoSpaceDN w:val="0"/>
        <w:snapToGrid w:val="0"/>
        <w:spacing w:after="160" w:line="584" w:lineRule="exact"/>
        <w:jc w:val="both"/>
        <w:rPr>
          <w:rFonts w:hint="default" w:ascii="Calibri" w:hAnsi="Calibri" w:eastAsia="仿宋_GB2312" w:cs="Times New Roman"/>
          <w:sz w:val="32"/>
          <w:szCs w:val="32"/>
          <w:lang w:val="en-US" w:eastAsia="zh-CN"/>
        </w:rPr>
      </w:pPr>
    </w:p>
    <w:p>
      <w:pPr>
        <w:numPr>
          <w:ilvl w:val="0"/>
          <w:numId w:val="0"/>
        </w:numPr>
        <w:autoSpaceDE w:val="0"/>
        <w:autoSpaceDN w:val="0"/>
        <w:snapToGrid w:val="0"/>
        <w:spacing w:line="584" w:lineRule="exact"/>
        <w:rPr>
          <w:rFonts w:hint="eastAsia" w:ascii="Calibri" w:hAnsi="Calibri" w:eastAsia="仿宋_GB2312" w:cs="Times New Roman"/>
          <w:sz w:val="32"/>
          <w:szCs w:val="32"/>
          <w:lang w:val="en-US" w:eastAsia="zh-CN"/>
        </w:rPr>
      </w:pPr>
    </w:p>
    <w:p/>
    <w:p>
      <w:pPr>
        <w:pStyle w:val="2"/>
        <w:numPr>
          <w:ilvl w:val="0"/>
          <w:numId w:val="1"/>
        </w:numPr>
        <w:spacing w:before="0" w:after="0" w:line="600" w:lineRule="exact"/>
        <w:ind w:left="0" w:leftChars="0" w:firstLine="0" w:firstLineChars="0"/>
        <w:jc w:val="left"/>
        <w:rPr>
          <w:rFonts w:hint="eastAsia" w:ascii="黑体" w:hAnsi="Cambria" w:eastAsia="黑体" w:cs="黑体"/>
          <w:b w:val="0"/>
          <w:bCs w:val="0"/>
          <w:kern w:val="0"/>
          <w:sz w:val="32"/>
          <w:szCs w:val="32"/>
        </w:rPr>
      </w:pPr>
      <w:r>
        <w:rPr>
          <w:rFonts w:hint="eastAsia" w:ascii="黑体" w:hAnsi="Cambria" w:eastAsia="黑体" w:cs="黑体"/>
          <w:b w:val="0"/>
          <w:bCs w:val="0"/>
          <w:kern w:val="0"/>
          <w:sz w:val="32"/>
          <w:szCs w:val="32"/>
        </w:rPr>
        <w:t>机构设置</w:t>
      </w:r>
    </w:p>
    <w:p>
      <w:pPr>
        <w:widowControl/>
        <w:spacing w:line="560" w:lineRule="exact"/>
        <w:ind w:firstLine="640" w:firstLineChars="200"/>
        <w:rPr>
          <w:rFonts w:ascii="黑体" w:hAnsi="Cambria" w:eastAsia="黑体" w:cs="MS-UIGothic,Bold"/>
          <w:bCs/>
          <w:kern w:val="0"/>
          <w:sz w:val="52"/>
          <w:szCs w:val="52"/>
        </w:rPr>
      </w:pPr>
      <w:r>
        <w:rPr>
          <w:rFonts w:hint="eastAsia" w:ascii="仿宋" w:hAnsi="仿宋" w:eastAsia="仿宋" w:cs="仿宋"/>
          <w:kern w:val="0"/>
          <w:sz w:val="32"/>
          <w:szCs w:val="32"/>
        </w:rPr>
        <w:t>从决算编报单位构成看，纳入2018 年度本部门决算汇编范围的独立核算单位（以下简称“单位”）共1个，</w:t>
      </w:r>
      <w:r>
        <w:rPr>
          <w:rFonts w:hint="eastAsia" w:ascii="仿宋" w:hAnsi="仿宋" w:eastAsia="仿宋" w:cs="仿宋"/>
          <w:kern w:val="0"/>
          <w:sz w:val="32"/>
          <w:szCs w:val="32"/>
          <w:lang w:eastAsia="zh-CN"/>
        </w:rPr>
        <w:t>检察院</w:t>
      </w:r>
      <w:r>
        <w:rPr>
          <w:rFonts w:hint="eastAsia" w:ascii="仿宋" w:hAnsi="仿宋" w:eastAsia="仿宋" w:cs="仿宋"/>
          <w:sz w:val="32"/>
          <w:szCs w:val="32"/>
        </w:rPr>
        <w:t>属于财政全额拨款的行政单位，内设机构为办公室、</w:t>
      </w:r>
      <w:r>
        <w:rPr>
          <w:rFonts w:hint="eastAsia" w:ascii="仿宋" w:hAnsi="仿宋" w:eastAsia="仿宋" w:cs="仿宋"/>
          <w:sz w:val="32"/>
          <w:szCs w:val="32"/>
          <w:lang w:eastAsia="zh-CN"/>
        </w:rPr>
        <w:t>政治处</w:t>
      </w:r>
      <w:r>
        <w:rPr>
          <w:rFonts w:hint="eastAsia" w:ascii="仿宋" w:hAnsi="仿宋" w:eastAsia="仿宋" w:cs="仿宋"/>
          <w:sz w:val="32"/>
          <w:szCs w:val="32"/>
        </w:rPr>
        <w:t>、</w:t>
      </w:r>
      <w:r>
        <w:rPr>
          <w:rFonts w:hint="eastAsia" w:ascii="仿宋" w:hAnsi="仿宋" w:eastAsia="仿宋" w:cs="仿宋"/>
          <w:sz w:val="32"/>
          <w:szCs w:val="32"/>
          <w:lang w:eastAsia="zh-CN"/>
        </w:rPr>
        <w:t>公诉科</w:t>
      </w:r>
      <w:r>
        <w:rPr>
          <w:rFonts w:hint="eastAsia" w:ascii="仿宋" w:hAnsi="仿宋" w:eastAsia="仿宋" w:cs="仿宋"/>
          <w:sz w:val="32"/>
          <w:szCs w:val="32"/>
        </w:rPr>
        <w:t>、</w:t>
      </w:r>
      <w:r>
        <w:rPr>
          <w:rFonts w:hint="eastAsia" w:ascii="仿宋" w:hAnsi="仿宋" w:eastAsia="仿宋" w:cs="仿宋"/>
          <w:sz w:val="32"/>
          <w:szCs w:val="32"/>
          <w:lang w:eastAsia="zh-CN"/>
        </w:rPr>
        <w:t>侦查监督科</w:t>
      </w:r>
      <w:r>
        <w:rPr>
          <w:rFonts w:hint="eastAsia" w:ascii="仿宋" w:hAnsi="仿宋" w:eastAsia="仿宋" w:cs="仿宋"/>
          <w:sz w:val="32"/>
          <w:szCs w:val="32"/>
        </w:rPr>
        <w:t>、</w:t>
      </w:r>
      <w:r>
        <w:rPr>
          <w:rFonts w:hint="eastAsia" w:ascii="Calibri" w:hAnsi="Calibri" w:eastAsia="仿宋_GB2312" w:cs="Times New Roman"/>
          <w:sz w:val="32"/>
          <w:szCs w:val="32"/>
          <w:lang w:val="en-US" w:eastAsia="zh-CN"/>
        </w:rPr>
        <w:t>渎职侵权检察科</w:t>
      </w:r>
      <w:r>
        <w:rPr>
          <w:rFonts w:hint="eastAsia" w:ascii="仿宋" w:hAnsi="仿宋" w:eastAsia="仿宋" w:cs="仿宋"/>
          <w:sz w:val="32"/>
          <w:szCs w:val="32"/>
        </w:rPr>
        <w:t>、</w:t>
      </w:r>
      <w:r>
        <w:rPr>
          <w:rFonts w:hint="eastAsia" w:ascii="Calibri" w:hAnsi="Calibri" w:eastAsia="仿宋_GB2312" w:cs="Times New Roman"/>
          <w:sz w:val="32"/>
          <w:szCs w:val="32"/>
          <w:lang w:val="en-US" w:eastAsia="zh-CN"/>
        </w:rPr>
        <w:t xml:space="preserve">反贪污贿赂局 </w:t>
      </w:r>
      <w:r>
        <w:rPr>
          <w:rFonts w:hint="eastAsia" w:ascii="仿宋" w:hAnsi="仿宋" w:eastAsia="仿宋" w:cs="仿宋"/>
          <w:sz w:val="32"/>
          <w:szCs w:val="32"/>
        </w:rPr>
        <w:t>、</w:t>
      </w:r>
      <w:r>
        <w:rPr>
          <w:rFonts w:hint="eastAsia" w:ascii="Calibri" w:hAnsi="Calibri" w:eastAsia="仿宋_GB2312" w:cs="Times New Roman"/>
          <w:sz w:val="32"/>
          <w:szCs w:val="32"/>
          <w:lang w:val="en-US" w:eastAsia="zh-CN"/>
        </w:rPr>
        <w:t>控告申诉检察科（举报中心、刑事赔偿办公室）</w:t>
      </w:r>
      <w:r>
        <w:rPr>
          <w:rFonts w:hint="eastAsia" w:ascii="仿宋" w:hAnsi="仿宋" w:eastAsia="仿宋" w:cs="仿宋"/>
          <w:sz w:val="32"/>
          <w:szCs w:val="32"/>
        </w:rPr>
        <w:t>、</w:t>
      </w:r>
      <w:r>
        <w:rPr>
          <w:rFonts w:hint="eastAsia" w:ascii="Calibri" w:hAnsi="Calibri" w:eastAsia="仿宋_GB2312" w:cs="Times New Roman"/>
          <w:sz w:val="32"/>
          <w:szCs w:val="32"/>
          <w:lang w:val="en-US" w:eastAsia="zh-CN"/>
        </w:rPr>
        <w:t>刑事执行局、民事行政检察科</w:t>
      </w:r>
      <w:r>
        <w:rPr>
          <w:rFonts w:hint="eastAsia" w:ascii="仿宋" w:hAnsi="仿宋" w:eastAsia="仿宋" w:cs="仿宋"/>
          <w:sz w:val="32"/>
          <w:szCs w:val="32"/>
        </w:rPr>
        <w:t>。</w:t>
      </w:r>
    </w:p>
    <w:tbl>
      <w:tblPr>
        <w:tblStyle w:val="7"/>
        <w:tblpPr w:leftFromText="180" w:rightFromText="180" w:vertAnchor="text" w:horzAnchor="page" w:tblpX="2092" w:tblpY="27"/>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top"/>
          </w:tcPr>
          <w:p>
            <w:pPr>
              <w:spacing w:after="0" w:line="560" w:lineRule="exact"/>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大城县人民检察院（本级）</w:t>
            </w:r>
          </w:p>
        </w:tc>
        <w:tc>
          <w:tcPr>
            <w:tcW w:w="2445" w:type="dxa"/>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行政单位</w:t>
            </w:r>
          </w:p>
        </w:tc>
        <w:tc>
          <w:tcPr>
            <w:tcW w:w="2665" w:type="dxa"/>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lang w:val="en-US" w:eastAsia="zh-CN"/>
        </w:rPr>
        <w:t>第</w:t>
      </w:r>
      <w:r>
        <w:rPr>
          <w:rFonts w:hint="eastAsia" w:ascii="黑体" w:hAnsi="宋体" w:eastAsia="黑体"/>
          <w:color w:val="000000"/>
          <w:sz w:val="72"/>
          <w:szCs w:val="96"/>
        </w:rPr>
        <w:t>二部分</w:t>
      </w:r>
    </w:p>
    <w:p>
      <w:pPr>
        <w:widowControl/>
        <w:spacing w:line="1200" w:lineRule="exact"/>
        <w:jc w:val="center"/>
        <w:rPr>
          <w:rFonts w:hint="eastAsia" w:ascii="黑体" w:hAnsi="宋体" w:eastAsia="黑体"/>
          <w:color w:val="000000"/>
          <w:sz w:val="72"/>
          <w:szCs w:val="96"/>
        </w:rPr>
      </w:pPr>
      <w:r>
        <w:rPr>
          <w:rFonts w:hint="eastAsia" w:ascii="黑体" w:hAnsi="宋体" w:eastAsia="黑体"/>
          <w:color w:val="000000"/>
          <w:sz w:val="72"/>
          <w:szCs w:val="96"/>
        </w:rPr>
        <w:t>2018年度部门决算报表</w:t>
      </w:r>
    </w:p>
    <w:p>
      <w:pPr>
        <w:widowControl/>
        <w:spacing w:line="1200" w:lineRule="exact"/>
        <w:jc w:val="center"/>
        <w:rPr>
          <w:rFonts w:hint="eastAsia" w:ascii="黑体" w:hAnsi="宋体" w:eastAsia="黑体"/>
          <w:color w:val="000000"/>
          <w:sz w:val="72"/>
          <w:szCs w:val="96"/>
          <w:lang w:eastAsia="zh-CN"/>
        </w:rPr>
      </w:pPr>
      <w:r>
        <w:rPr>
          <w:rFonts w:hint="eastAsia" w:ascii="黑体" w:hAnsi="宋体" w:eastAsia="黑体"/>
          <w:color w:val="000000"/>
          <w:sz w:val="72"/>
          <w:szCs w:val="96"/>
          <w:lang w:eastAsia="zh-CN"/>
        </w:rPr>
        <w:t>（见附表）</w:t>
      </w:r>
    </w:p>
    <w:p>
      <w:pPr>
        <w:widowControl/>
        <w:spacing w:line="1200" w:lineRule="exact"/>
        <w:jc w:val="center"/>
        <w:rPr>
          <w:rFonts w:hint="default" w:ascii="黑体" w:hAnsi="宋体" w:eastAsia="黑体"/>
          <w:color w:val="000000"/>
          <w:sz w:val="72"/>
          <w:szCs w:val="96"/>
          <w:lang w:val="en-US"/>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黑体" w:eastAsia="仿宋_GB2312" w:cs="DengXian-Regular"/>
          <w:sz w:val="32"/>
          <w:szCs w:val="32"/>
          <w:lang w:eastAsia="zh-CN"/>
        </w:rPr>
      </w:pPr>
      <w:r>
        <w:rPr>
          <w:rFonts w:hint="eastAsia" w:ascii="黑体" w:eastAsia="仿宋_GB2312" w:cs="DengXian-Regular"/>
          <w:sz w:val="32"/>
          <w:szCs w:val="32"/>
        </w:rPr>
        <w:t>本部门</w:t>
      </w:r>
      <w:r>
        <w:rPr>
          <w:rFonts w:hint="eastAsia" w:ascii="宋体" w:hAnsi="宋体" w:eastAsia="宋体" w:cs="宋体"/>
          <w:sz w:val="32"/>
          <w:szCs w:val="32"/>
        </w:rPr>
        <w:t>2018</w:t>
      </w:r>
      <w:r>
        <w:rPr>
          <w:rFonts w:hint="eastAsia" w:ascii="黑体" w:eastAsia="仿宋_GB2312" w:cs="DengXian-Regular"/>
          <w:sz w:val="32"/>
          <w:szCs w:val="32"/>
        </w:rPr>
        <w:t>年度收</w:t>
      </w:r>
      <w:r>
        <w:rPr>
          <w:rFonts w:hint="eastAsia" w:ascii="黑体" w:eastAsia="仿宋_GB2312" w:cs="DengXian-Regular"/>
          <w:sz w:val="32"/>
          <w:szCs w:val="32"/>
          <w:lang w:eastAsia="zh-CN"/>
        </w:rPr>
        <w:t>入</w:t>
      </w:r>
      <w:r>
        <w:rPr>
          <w:rFonts w:hint="eastAsia" w:ascii="黑体" w:eastAsia="仿宋_GB2312" w:cs="DengXian-Regular"/>
          <w:sz w:val="32"/>
          <w:szCs w:val="32"/>
        </w:rPr>
        <w:t>（含结转和结余）</w:t>
      </w:r>
      <w:r>
        <w:rPr>
          <w:rFonts w:hint="eastAsia" w:ascii="宋体" w:hAnsi="宋体" w:eastAsia="宋体" w:cs="宋体"/>
          <w:b w:val="0"/>
          <w:bCs w:val="0"/>
          <w:sz w:val="32"/>
          <w:szCs w:val="32"/>
          <w:lang w:val="en-US" w:eastAsia="zh-CN"/>
        </w:rPr>
        <w:t>1552.76</w:t>
      </w:r>
      <w:r>
        <w:rPr>
          <w:rFonts w:hint="eastAsia" w:ascii="黑体" w:eastAsia="仿宋_GB2312" w:cs="DengXian-Regular"/>
          <w:sz w:val="32"/>
          <w:szCs w:val="32"/>
        </w:rPr>
        <w:t>万元。与</w:t>
      </w:r>
      <w:r>
        <w:rPr>
          <w:rFonts w:hint="eastAsia" w:ascii="宋体" w:hAnsi="宋体" w:eastAsia="宋体" w:cs="宋体"/>
          <w:sz w:val="32"/>
          <w:szCs w:val="32"/>
        </w:rPr>
        <w:t>2017</w:t>
      </w:r>
      <w:r>
        <w:rPr>
          <w:rFonts w:hint="eastAsia" w:ascii="黑体" w:eastAsia="仿宋_GB2312" w:cs="DengXian-Regular"/>
          <w:sz w:val="32"/>
          <w:szCs w:val="32"/>
        </w:rPr>
        <w:t>年度决算相比，收</w:t>
      </w:r>
      <w:r>
        <w:rPr>
          <w:rFonts w:hint="eastAsia" w:ascii="黑体" w:eastAsia="仿宋_GB2312" w:cs="DengXian-Regular"/>
          <w:sz w:val="32"/>
          <w:szCs w:val="32"/>
          <w:lang w:eastAsia="zh-CN"/>
        </w:rPr>
        <w:t>入</w:t>
      </w:r>
      <w:r>
        <w:rPr>
          <w:rFonts w:hint="eastAsia" w:ascii="黑体" w:eastAsia="仿宋_GB2312" w:cs="DengXian-Regular"/>
          <w:sz w:val="32"/>
          <w:szCs w:val="32"/>
        </w:rPr>
        <w:t>增加</w:t>
      </w:r>
      <w:r>
        <w:rPr>
          <w:rFonts w:hint="eastAsia" w:ascii="宋体" w:hAnsi="宋体" w:eastAsia="宋体" w:cs="宋体"/>
          <w:sz w:val="32"/>
          <w:szCs w:val="32"/>
          <w:lang w:val="en-US" w:eastAsia="zh-CN"/>
        </w:rPr>
        <w:t>194.94</w:t>
      </w:r>
      <w:r>
        <w:rPr>
          <w:rFonts w:hint="eastAsia" w:ascii="黑体" w:eastAsia="仿宋_GB2312" w:cs="DengXian-Regular"/>
          <w:sz w:val="32"/>
          <w:szCs w:val="32"/>
        </w:rPr>
        <w:t>万元，增长</w:t>
      </w:r>
      <w:r>
        <w:rPr>
          <w:rFonts w:hint="eastAsia" w:ascii="宋体" w:hAnsi="宋体" w:eastAsia="宋体" w:cs="宋体"/>
          <w:color w:val="auto"/>
          <w:sz w:val="32"/>
          <w:szCs w:val="32"/>
          <w:lang w:val="en-US" w:eastAsia="zh-CN"/>
        </w:rPr>
        <w:t>14.36</w:t>
      </w:r>
      <w:r>
        <w:rPr>
          <w:rFonts w:hint="eastAsia" w:ascii="宋体" w:hAnsi="宋体" w:eastAsia="宋体" w:cs="宋体"/>
          <w:color w:val="auto"/>
          <w:sz w:val="32"/>
          <w:szCs w:val="32"/>
        </w:rPr>
        <w:t>%</w:t>
      </w:r>
      <w:r>
        <w:rPr>
          <w:rFonts w:hint="eastAsia" w:ascii="宋体" w:hAnsi="宋体" w:cs="宋体"/>
          <w:color w:val="auto"/>
          <w:sz w:val="32"/>
          <w:szCs w:val="32"/>
          <w:lang w:eastAsia="zh-CN"/>
        </w:rPr>
        <w:t>，</w:t>
      </w:r>
      <w:r>
        <w:rPr>
          <w:rFonts w:hint="eastAsia" w:ascii="仿宋" w:hAnsi="仿宋" w:eastAsia="仿宋" w:cs="仿宋"/>
          <w:sz w:val="32"/>
          <w:szCs w:val="32"/>
        </w:rPr>
        <w:t>主要是人员经费</w:t>
      </w:r>
      <w:r>
        <w:rPr>
          <w:rFonts w:hint="eastAsia" w:ascii="仿宋" w:hAnsi="仿宋" w:eastAsia="仿宋" w:cs="仿宋"/>
          <w:sz w:val="32"/>
          <w:szCs w:val="32"/>
          <w:lang w:eastAsia="zh-CN"/>
        </w:rPr>
        <w:t>增加，收入增加。</w:t>
      </w:r>
      <w:bookmarkStart w:id="0" w:name="_GoBack"/>
      <w:bookmarkEnd w:id="0"/>
      <w:r>
        <w:rPr>
          <w:rFonts w:hint="eastAsia" w:ascii="宋体" w:hAnsi="宋体" w:eastAsia="宋体" w:cs="宋体"/>
          <w:sz w:val="32"/>
          <w:szCs w:val="32"/>
        </w:rPr>
        <w:t>2018年度</w:t>
      </w:r>
      <w:r>
        <w:rPr>
          <w:rFonts w:hint="eastAsia" w:ascii="宋体" w:hAnsi="宋体" w:eastAsia="宋体" w:cs="宋体"/>
          <w:sz w:val="32"/>
          <w:szCs w:val="32"/>
          <w:lang w:eastAsia="zh-CN"/>
        </w:rPr>
        <w:t>支出</w:t>
      </w:r>
      <w:r>
        <w:rPr>
          <w:rFonts w:hint="eastAsia" w:ascii="宋体" w:hAnsi="宋体" w:eastAsia="宋体" w:cs="宋体"/>
          <w:sz w:val="32"/>
          <w:szCs w:val="32"/>
        </w:rPr>
        <w:t>（含结转和结余）</w:t>
      </w:r>
      <w:r>
        <w:rPr>
          <w:rFonts w:hint="eastAsia" w:ascii="宋体" w:hAnsi="宋体" w:eastAsia="宋体" w:cs="宋体"/>
          <w:sz w:val="32"/>
          <w:szCs w:val="32"/>
          <w:lang w:val="en-US" w:eastAsia="zh-CN"/>
        </w:rPr>
        <w:t>1100.04</w:t>
      </w:r>
      <w:r>
        <w:rPr>
          <w:rFonts w:hint="eastAsia" w:ascii="宋体" w:hAnsi="宋体" w:eastAsia="宋体" w:cs="宋体"/>
          <w:sz w:val="32"/>
          <w:szCs w:val="32"/>
        </w:rPr>
        <w:t>万元。与2017年度决算相</w:t>
      </w:r>
      <w:r>
        <w:rPr>
          <w:rFonts w:hint="eastAsia" w:ascii="黑体" w:eastAsia="仿宋_GB2312" w:cs="DengXian-Regular"/>
          <w:sz w:val="32"/>
          <w:szCs w:val="32"/>
        </w:rPr>
        <w:t>比，</w:t>
      </w:r>
      <w:r>
        <w:rPr>
          <w:rFonts w:hint="eastAsia" w:ascii="黑体" w:eastAsia="仿宋_GB2312" w:cs="DengXian-Regular"/>
          <w:sz w:val="32"/>
          <w:szCs w:val="32"/>
          <w:lang w:eastAsia="zh-CN"/>
        </w:rPr>
        <w:t>支出减少</w:t>
      </w:r>
      <w:r>
        <w:rPr>
          <w:rFonts w:hint="eastAsia" w:ascii="宋体" w:hAnsi="宋体" w:eastAsia="宋体" w:cs="宋体"/>
          <w:sz w:val="32"/>
          <w:szCs w:val="32"/>
          <w:lang w:val="en-US" w:eastAsia="zh-CN"/>
        </w:rPr>
        <w:t>65.23</w:t>
      </w:r>
      <w:r>
        <w:rPr>
          <w:rFonts w:hint="eastAsia" w:ascii="宋体" w:hAnsi="宋体" w:eastAsia="宋体" w:cs="宋体"/>
          <w:sz w:val="32"/>
          <w:szCs w:val="32"/>
        </w:rPr>
        <w:t>万元</w:t>
      </w:r>
      <w:r>
        <w:rPr>
          <w:rFonts w:hint="eastAsia" w:ascii="宋体" w:hAnsi="宋体" w:eastAsia="宋体" w:cs="宋体"/>
          <w:sz w:val="32"/>
          <w:szCs w:val="32"/>
          <w:lang w:eastAsia="zh-CN"/>
        </w:rPr>
        <w:t>，降低</w:t>
      </w:r>
      <w:r>
        <w:rPr>
          <w:rFonts w:hint="eastAsia" w:ascii="宋体" w:hAnsi="宋体" w:eastAsia="宋体" w:cs="宋体"/>
          <w:sz w:val="32"/>
          <w:szCs w:val="32"/>
          <w:lang w:val="en-US" w:eastAsia="zh-CN"/>
        </w:rPr>
        <w:t>5.6</w:t>
      </w:r>
      <w:r>
        <w:rPr>
          <w:rFonts w:hint="eastAsia" w:ascii="宋体" w:hAnsi="宋体" w:eastAsia="宋体" w:cs="宋体"/>
          <w:sz w:val="32"/>
          <w:szCs w:val="32"/>
        </w:rPr>
        <w:t>%</w:t>
      </w:r>
      <w:r>
        <w:rPr>
          <w:rFonts w:hint="eastAsia" w:ascii="宋体" w:hAnsi="宋体" w:cs="宋体"/>
          <w:sz w:val="32"/>
          <w:szCs w:val="32"/>
          <w:lang w:eastAsia="zh-CN"/>
        </w:rPr>
        <w:t>，</w:t>
      </w:r>
      <w:r>
        <w:rPr>
          <w:rFonts w:hint="eastAsia" w:ascii="宋体" w:hAnsi="宋体" w:eastAsia="宋体" w:cs="宋体"/>
          <w:sz w:val="32"/>
          <w:szCs w:val="32"/>
        </w:rPr>
        <w:t>主</w:t>
      </w:r>
      <w:r>
        <w:rPr>
          <w:rFonts w:hint="eastAsia" w:ascii="黑体" w:eastAsia="仿宋_GB2312" w:cs="DengXian-Regular"/>
          <w:sz w:val="32"/>
          <w:szCs w:val="32"/>
        </w:rPr>
        <w:t>要是</w:t>
      </w:r>
      <w:r>
        <w:rPr>
          <w:rFonts w:hint="eastAsia" w:ascii="黑体" w:eastAsia="仿宋_GB2312" w:cs="DengXian-Regular"/>
          <w:sz w:val="32"/>
          <w:szCs w:val="32"/>
          <w:lang w:eastAsia="zh-CN"/>
        </w:rPr>
        <w:t>因为办案数量减少，实际所需要的资金相应减少。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宋体" w:hAnsi="宋体" w:eastAsia="宋体" w:cs="宋体"/>
          <w:sz w:val="32"/>
          <w:szCs w:val="32"/>
        </w:rPr>
        <w:t>本部门2018年度本年收入合计</w:t>
      </w:r>
      <w:r>
        <w:rPr>
          <w:rFonts w:hint="eastAsia" w:ascii="宋体" w:hAnsi="宋体" w:eastAsia="宋体" w:cs="宋体"/>
          <w:sz w:val="32"/>
          <w:szCs w:val="32"/>
          <w:lang w:val="en-US" w:eastAsia="zh-CN"/>
        </w:rPr>
        <w:t>1458.27</w:t>
      </w:r>
      <w:r>
        <w:rPr>
          <w:rFonts w:hint="eastAsia" w:ascii="宋体" w:hAnsi="宋体" w:eastAsia="宋体" w:cs="宋体"/>
          <w:sz w:val="32"/>
          <w:szCs w:val="32"/>
        </w:rPr>
        <w:t>万元，其中：财政拨款收入</w:t>
      </w:r>
      <w:r>
        <w:rPr>
          <w:rFonts w:hint="eastAsia" w:ascii="宋体" w:hAnsi="宋体" w:eastAsia="宋体" w:cs="宋体"/>
          <w:sz w:val="32"/>
          <w:szCs w:val="32"/>
          <w:lang w:val="en-US" w:eastAsia="zh-CN"/>
        </w:rPr>
        <w:t>1458.27</w:t>
      </w:r>
      <w:r>
        <w:rPr>
          <w:rFonts w:hint="eastAsia" w:ascii="宋体" w:hAnsi="宋体" w:eastAsia="宋体" w:cs="宋体"/>
          <w:sz w:val="32"/>
          <w:szCs w:val="32"/>
        </w:rPr>
        <w:t>万元，</w:t>
      </w:r>
      <w:r>
        <w:rPr>
          <w:rFonts w:hint="eastAsia" w:ascii="宋体" w:hAnsi="宋体" w:cs="宋体"/>
          <w:sz w:val="32"/>
          <w:szCs w:val="32"/>
          <w:lang w:eastAsia="zh-CN"/>
        </w:rPr>
        <w:t>占</w:t>
      </w:r>
      <w:r>
        <w:rPr>
          <w:rFonts w:hint="eastAsia" w:ascii="宋体" w:hAnsi="宋体" w:cs="宋体"/>
          <w:sz w:val="32"/>
          <w:szCs w:val="32"/>
          <w:lang w:val="en-US" w:eastAsia="zh-CN"/>
        </w:rPr>
        <w:t>100%，无事业收入、无经营收入、无经营收入、无其他收入。</w:t>
      </w:r>
      <w:r>
        <w:rPr>
          <w:rFonts w:hint="eastAsia" w:ascii="宋体" w:hAnsi="宋体" w:eastAsia="宋体" w:cs="宋体"/>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jc w:val="center"/>
        <w:rPr>
          <w:rFonts w:hint="eastAsia" w:eastAsia="仿宋_GB2312"/>
          <w:sz w:val="32"/>
          <w:szCs w:val="32"/>
          <w:lang w:eastAsia="zh-CN"/>
        </w:rPr>
      </w:pPr>
      <w:r>
        <w:rPr>
          <w:rFonts w:ascii="Times New Roman" w:hAnsi="Times New Roman" w:eastAsia="宋体" w:cs="Times New Roman"/>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1334770</wp:posOffset>
                </wp:positionH>
                <wp:positionV relativeFrom="paragraph">
                  <wp:posOffset>254635</wp:posOffset>
                </wp:positionV>
                <wp:extent cx="2542540" cy="2209165"/>
                <wp:effectExtent l="4445" t="4445" r="5715" b="15240"/>
                <wp:wrapNone/>
                <wp:docPr id="1" name="椭圆 1025"/>
                <wp:cNvGraphicFramePr/>
                <a:graphic xmlns:a="http://schemas.openxmlformats.org/drawingml/2006/main">
                  <a:graphicData uri="http://schemas.microsoft.com/office/word/2010/wordprocessingShape">
                    <wps:wsp>
                      <wps:cNvSpPr/>
                      <wps:spPr>
                        <a:xfrm>
                          <a:off x="0" y="0"/>
                          <a:ext cx="2542540" cy="2209165"/>
                        </a:xfrm>
                        <a:prstGeom prst="ellipse">
                          <a:avLst/>
                        </a:prstGeom>
                        <a:solidFill>
                          <a:srgbClr val="F6C782"/>
                        </a:solidFill>
                        <a:ln w="9525" cap="flat" cmpd="sng">
                          <a:solidFill>
                            <a:srgbClr val="000000"/>
                          </a:solidFill>
                          <a:prstDash val="solid"/>
                          <a:headEnd type="none" w="med" len="med"/>
                          <a:tailEnd type="none" w="med" len="med"/>
                        </a:ln>
                      </wps:spPr>
                      <wps:txb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wps:txbx>
                      <wps:bodyPr upright="1"/>
                    </wps:wsp>
                  </a:graphicData>
                </a:graphic>
              </wp:anchor>
            </w:drawing>
          </mc:Choice>
          <mc:Fallback>
            <w:pict>
              <v:shape id="椭圆 1025" o:spid="_x0000_s1026" o:spt="3" type="#_x0000_t3" style="position:absolute;left:0pt;margin-left:105.1pt;margin-top:20.05pt;height:173.95pt;width:200.2pt;z-index:251659264;mso-width-relative:page;mso-height-relative:page;" fillcolor="#F6C782" filled="t" stroked="t" coordsize="21600,21600" o:gfxdata="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4W452QAAAAoBAAAPAAAAAAAAAAEAIAAAACIAAABk&#10;cnMvZG93bnJldi54bWxQSwECFAAUAAAACACHTuJAIiMFYwUCAAAmBAAADgAAAAAAAAABACAAAAAo&#10;AQAAZHJzL2Uyb0RvYy54bWxQSwUGAAAAAAYABgBZAQAAnwUAAAAA&#10;">
                <v:fill on="t" focussize="0,0"/>
                <v:stroke color="#000000" joinstyle="round"/>
                <v:imagedata o:title=""/>
                <o:lock v:ext="edit" aspectratio="f"/>
                <v:textbox>
                  <w:txbxContent>
                    <w:p>
                      <w:pPr>
                        <w:jc w:val="center"/>
                        <w:rPr>
                          <w:rFonts w:hint="eastAsia"/>
                          <w:lang w:val="en-US" w:eastAsia="zh-CN"/>
                        </w:rPr>
                      </w:pPr>
                      <w:r>
                        <w:rPr>
                          <w:rFonts w:hint="eastAsia"/>
                          <w:lang w:eastAsia="zh-CN"/>
                        </w:rPr>
                        <w:t>财政拨款</w:t>
                      </w:r>
                    </w:p>
                    <w:p>
                      <w:pPr>
                        <w:jc w:val="center"/>
                        <w:rPr>
                          <w:rFonts w:hint="eastAsia"/>
                          <w:lang w:val="en-US" w:eastAsia="zh-CN"/>
                        </w:rPr>
                      </w:pPr>
                    </w:p>
                    <w:p>
                      <w:pPr>
                        <w:jc w:val="center"/>
                        <w:rPr>
                          <w:rFonts w:eastAsia="宋体"/>
                          <w:lang w:val="en-US" w:eastAsia="zh-CN"/>
                        </w:rPr>
                      </w:pPr>
                      <w:r>
                        <w:rPr>
                          <w:rFonts w:hint="eastAsia"/>
                          <w:lang w:val="en-US" w:eastAsia="zh-CN"/>
                        </w:rPr>
                        <w:t>100%</w:t>
                      </w:r>
                    </w:p>
                  </w:txbxContent>
                </v:textbox>
              </v:shape>
            </w:pict>
          </mc:Fallback>
        </mc:AlternateContent>
      </w:r>
    </w:p>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宋体" w:hAnsi="宋体" w:eastAsia="宋体" w:cs="宋体"/>
          <w:sz w:val="32"/>
          <w:szCs w:val="32"/>
        </w:rPr>
        <w:t>本部门2018年度本年支出合计</w:t>
      </w:r>
      <w:r>
        <w:rPr>
          <w:rFonts w:hint="eastAsia" w:ascii="宋体" w:hAnsi="宋体" w:eastAsia="宋体" w:cs="宋体"/>
          <w:sz w:val="32"/>
          <w:szCs w:val="32"/>
          <w:lang w:val="en-US" w:eastAsia="zh-CN"/>
        </w:rPr>
        <w:t>1100.04</w:t>
      </w:r>
      <w:r>
        <w:rPr>
          <w:rFonts w:hint="eastAsia" w:ascii="宋体" w:hAnsi="宋体" w:eastAsia="宋体" w:cs="宋体"/>
          <w:sz w:val="32"/>
          <w:szCs w:val="32"/>
        </w:rPr>
        <w:t>万元，其中：基本支出</w:t>
      </w:r>
      <w:r>
        <w:rPr>
          <w:rFonts w:hint="eastAsia" w:ascii="宋体" w:hAnsi="宋体" w:eastAsia="宋体" w:cs="宋体"/>
          <w:sz w:val="32"/>
          <w:szCs w:val="32"/>
          <w:lang w:val="en-US" w:eastAsia="zh-CN"/>
        </w:rPr>
        <w:t>700.34</w:t>
      </w:r>
      <w:r>
        <w:rPr>
          <w:rFonts w:hint="eastAsia" w:ascii="宋体" w:hAnsi="宋体" w:eastAsia="宋体" w:cs="宋体"/>
          <w:sz w:val="32"/>
          <w:szCs w:val="32"/>
        </w:rPr>
        <w:t>万元，占</w:t>
      </w:r>
      <w:r>
        <w:rPr>
          <w:rFonts w:hint="eastAsia" w:ascii="宋体" w:hAnsi="宋体" w:eastAsia="宋体" w:cs="宋体"/>
          <w:sz w:val="32"/>
          <w:szCs w:val="32"/>
          <w:lang w:val="en-US" w:eastAsia="zh-CN"/>
        </w:rPr>
        <w:t>63.66</w:t>
      </w:r>
      <w:r>
        <w:rPr>
          <w:rFonts w:hint="eastAsia" w:ascii="宋体" w:hAnsi="宋体" w:eastAsia="宋体" w:cs="宋体"/>
          <w:sz w:val="32"/>
          <w:szCs w:val="32"/>
        </w:rPr>
        <w:t>%；项目支出</w:t>
      </w:r>
      <w:r>
        <w:rPr>
          <w:rFonts w:hint="eastAsia" w:ascii="宋体" w:hAnsi="宋体" w:eastAsia="宋体" w:cs="宋体"/>
          <w:sz w:val="32"/>
          <w:szCs w:val="32"/>
          <w:lang w:val="en-US" w:eastAsia="zh-CN"/>
        </w:rPr>
        <w:t>399.7</w:t>
      </w:r>
      <w:r>
        <w:rPr>
          <w:rFonts w:hint="eastAsia" w:ascii="宋体" w:hAnsi="宋体" w:eastAsia="宋体" w:cs="宋体"/>
          <w:sz w:val="32"/>
          <w:szCs w:val="32"/>
        </w:rPr>
        <w:t>万元，占</w:t>
      </w:r>
      <w:r>
        <w:rPr>
          <w:rFonts w:hint="eastAsia" w:ascii="宋体" w:hAnsi="宋体" w:eastAsia="宋体" w:cs="宋体"/>
          <w:sz w:val="32"/>
          <w:szCs w:val="32"/>
          <w:lang w:val="en-US" w:eastAsia="zh-CN"/>
        </w:rPr>
        <w:t>36.34</w:t>
      </w:r>
      <w:r>
        <w:rPr>
          <w:rFonts w:hint="eastAsia" w:ascii="宋体" w:hAnsi="宋体" w:eastAsia="宋体" w:cs="宋体"/>
          <w:sz w:val="32"/>
          <w:szCs w:val="32"/>
        </w:rPr>
        <w:t>%</w:t>
      </w:r>
      <w:r>
        <w:rPr>
          <w:rFonts w:hint="eastAsia" w:ascii="仿宋_GB2312" w:eastAsia="仿宋_GB2312" w:cs="DengXian-Regular"/>
          <w:sz w:val="32"/>
          <w:szCs w:val="32"/>
        </w:rPr>
        <w:t>如图所示：</w:t>
      </w:r>
    </w:p>
    <w:p>
      <w:pPr>
        <w:adjustRightInd w:val="0"/>
        <w:snapToGrid w:val="0"/>
        <w:spacing w:after="0" w:line="240" w:lineRule="auto"/>
        <w:jc w:val="center"/>
        <w:rPr>
          <w:rFonts w:hint="eastAsia" w:eastAsia="仿宋_GB2312"/>
          <w:sz w:val="32"/>
          <w:szCs w:val="32"/>
          <w:lang w:eastAsia="zh-CN"/>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240" w:lineRule="auto"/>
        <w:jc w:val="center"/>
        <w:rPr>
          <w:rFonts w:hint="eastAsia" w:eastAsia="仿宋_GB2312"/>
          <w:sz w:val="32"/>
          <w:szCs w:val="32"/>
          <w:lang w:eastAsia="zh-CN"/>
        </w:rPr>
      </w:pPr>
      <w:r>
        <w:rPr>
          <w:rFonts w:hint="eastAsia" w:eastAsia="仿宋_GB2312"/>
          <w:sz w:val="32"/>
          <w:szCs w:val="32"/>
          <w:lang w:eastAsia="zh-CN"/>
        </w:rPr>
        <w:drawing>
          <wp:inline distT="0" distB="0" distL="114300" distR="114300">
            <wp:extent cx="4107180" cy="3145155"/>
            <wp:effectExtent l="0" t="0" r="7620" b="17145"/>
            <wp:docPr id="3"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图片1"/>
                    <pic:cNvPicPr>
                      <a:picLocks noChangeAspect="1"/>
                    </pic:cNvPicPr>
                  </pic:nvPicPr>
                  <pic:blipFill>
                    <a:blip r:embed="rId4"/>
                    <a:stretch>
                      <a:fillRect/>
                    </a:stretch>
                  </pic:blipFill>
                  <pic:spPr>
                    <a:xfrm>
                      <a:off x="0" y="0"/>
                      <a:ext cx="4107180" cy="3145155"/>
                    </a:xfrm>
                    <a:prstGeom prst="rect">
                      <a:avLst/>
                    </a:prstGeom>
                    <a:noFill/>
                    <a:ln>
                      <a:noFill/>
                    </a:ln>
                  </pic:spPr>
                </pic:pic>
              </a:graphicData>
            </a:graphic>
          </wp:inline>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黑体" w:hAnsi="Times New Roman" w:eastAsia="仿宋_GB2312" w:cs="DengXian-Regular"/>
          <w:sz w:val="32"/>
          <w:szCs w:val="32"/>
        </w:rPr>
      </w:pPr>
      <w:r>
        <w:rPr>
          <w:rFonts w:hint="eastAsia" w:ascii="黑体" w:hAnsi="Times New Roman" w:eastAsia="仿宋_GB2312" w:cs="DengXian-Regular"/>
          <w:sz w:val="32"/>
          <w:szCs w:val="32"/>
        </w:rPr>
        <w:t>本部门2018年度财政拨款本年收入</w:t>
      </w:r>
      <w:r>
        <w:rPr>
          <w:rFonts w:hint="eastAsia" w:ascii="黑体" w:hAnsi="Times New Roman" w:eastAsia="仿宋_GB2312" w:cs="DengXian-Regular"/>
          <w:sz w:val="32"/>
          <w:szCs w:val="32"/>
          <w:lang w:val="en-US" w:eastAsia="zh-CN"/>
        </w:rPr>
        <w:t>1458.27</w:t>
      </w:r>
      <w:r>
        <w:rPr>
          <w:rFonts w:hint="eastAsia" w:ascii="黑体" w:hAnsi="Times New Roman" w:eastAsia="仿宋_GB2312" w:cs="DengXian-Regular"/>
          <w:sz w:val="32"/>
          <w:szCs w:val="32"/>
        </w:rPr>
        <w:t>万元,比2017年度增加</w:t>
      </w:r>
      <w:r>
        <w:rPr>
          <w:rFonts w:hint="eastAsia" w:ascii="黑体" w:hAnsi="Times New Roman" w:eastAsia="仿宋_GB2312" w:cs="DengXian-Regular"/>
          <w:sz w:val="32"/>
          <w:szCs w:val="32"/>
          <w:lang w:val="en-US" w:eastAsia="zh-CN"/>
        </w:rPr>
        <w:t>100.45</w:t>
      </w:r>
      <w:r>
        <w:rPr>
          <w:rFonts w:hint="eastAsia" w:ascii="黑体" w:hAnsi="Times New Roman" w:eastAsia="仿宋_GB2312" w:cs="DengXian-Regular"/>
          <w:sz w:val="32"/>
          <w:szCs w:val="32"/>
        </w:rPr>
        <w:t>万元，增长</w:t>
      </w:r>
      <w:r>
        <w:rPr>
          <w:rFonts w:hint="eastAsia" w:ascii="黑体" w:hAnsi="Times New Roman" w:eastAsia="仿宋_GB2312" w:cs="DengXian-Regular"/>
          <w:sz w:val="32"/>
          <w:szCs w:val="32"/>
          <w:lang w:val="en-US" w:eastAsia="zh-CN"/>
        </w:rPr>
        <w:t>7.4</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eastAsia="zh-CN"/>
        </w:rPr>
        <w:t>办案业务量增加，需要费用增加</w:t>
      </w:r>
      <w:r>
        <w:rPr>
          <w:rFonts w:hint="eastAsia" w:ascii="黑体" w:hAnsi="Times New Roman" w:eastAsia="仿宋_GB2312" w:cs="DengXian-Regular"/>
          <w:sz w:val="32"/>
          <w:szCs w:val="32"/>
        </w:rPr>
        <w:t>；本年支出</w:t>
      </w:r>
      <w:r>
        <w:rPr>
          <w:rFonts w:hint="eastAsia" w:ascii="黑体" w:hAnsi="Times New Roman" w:eastAsia="仿宋_GB2312" w:cs="DengXian-Regular"/>
          <w:sz w:val="32"/>
          <w:szCs w:val="32"/>
          <w:lang w:val="en-US" w:eastAsia="zh-CN"/>
        </w:rPr>
        <w:t>1100.04</w:t>
      </w:r>
      <w:r>
        <w:rPr>
          <w:rFonts w:hint="eastAsia" w:ascii="黑体" w:hAnsi="Times New Roman" w:eastAsia="仿宋_GB2312" w:cs="DengXian-Regular"/>
          <w:sz w:val="32"/>
          <w:szCs w:val="32"/>
        </w:rPr>
        <w:t>万元，</w:t>
      </w:r>
      <w:r>
        <w:rPr>
          <w:rFonts w:hint="eastAsia" w:ascii="黑体" w:hAnsi="Times New Roman" w:eastAsia="仿宋_GB2312" w:cs="DengXian-Regular"/>
          <w:sz w:val="32"/>
          <w:szCs w:val="32"/>
          <w:lang w:eastAsia="zh-CN"/>
        </w:rPr>
        <w:t>支出减少</w:t>
      </w:r>
      <w:r>
        <w:rPr>
          <w:rFonts w:hint="eastAsia" w:ascii="黑体" w:hAnsi="Times New Roman" w:eastAsia="仿宋_GB2312" w:cs="DengXian-Regular"/>
          <w:sz w:val="32"/>
          <w:szCs w:val="32"/>
          <w:lang w:val="en-US" w:eastAsia="zh-CN"/>
        </w:rPr>
        <w:t>65.23</w:t>
      </w:r>
      <w:r>
        <w:rPr>
          <w:rFonts w:hint="eastAsia" w:ascii="黑体" w:hAnsi="Times New Roman" w:eastAsia="仿宋_GB2312" w:cs="DengXian-Regular"/>
          <w:sz w:val="32"/>
          <w:szCs w:val="32"/>
        </w:rPr>
        <w:t>万元</w:t>
      </w:r>
      <w:r>
        <w:rPr>
          <w:rFonts w:hint="eastAsia" w:ascii="黑体" w:hAnsi="Times New Roman" w:eastAsia="仿宋_GB2312" w:cs="DengXian-Regular"/>
          <w:sz w:val="32"/>
          <w:szCs w:val="32"/>
          <w:lang w:eastAsia="zh-CN"/>
        </w:rPr>
        <w:t>，降低</w:t>
      </w:r>
      <w:r>
        <w:rPr>
          <w:rFonts w:hint="eastAsia" w:ascii="黑体" w:hAnsi="Times New Roman" w:eastAsia="仿宋_GB2312" w:cs="DengXian-Regular"/>
          <w:sz w:val="32"/>
          <w:szCs w:val="32"/>
          <w:lang w:val="en-US" w:eastAsia="zh-CN"/>
        </w:rPr>
        <w:t>5.6</w:t>
      </w:r>
      <w:r>
        <w:rPr>
          <w:rFonts w:hint="eastAsia" w:ascii="黑体" w:hAnsi="Times New Roman" w:eastAsia="仿宋_GB2312" w:cs="DengXian-Regular"/>
          <w:sz w:val="32"/>
          <w:szCs w:val="32"/>
        </w:rPr>
        <w:t>%</w:t>
      </w:r>
      <w:r>
        <w:rPr>
          <w:rFonts w:hint="eastAsia" w:ascii="黑体" w:hAnsi="Times New Roman" w:eastAsia="仿宋_GB2312" w:cs="DengXian-Regular"/>
          <w:sz w:val="32"/>
          <w:szCs w:val="32"/>
          <w:lang w:eastAsia="zh-CN"/>
        </w:rPr>
        <w:t>，</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eastAsia="zh-CN"/>
        </w:rPr>
        <w:t>因为办案数量减少，实际所需要的资金相应减少。</w:t>
      </w:r>
      <w:r>
        <w:rPr>
          <w:rFonts w:hint="eastAsia" w:ascii="黑体" w:hAnsi="Times New Roman" w:eastAsia="仿宋_GB2312" w:cs="DengXian-Regular"/>
          <w:sz w:val="32"/>
          <w:szCs w:val="32"/>
        </w:rPr>
        <w:t>。</w:t>
      </w:r>
    </w:p>
    <w:p>
      <w:pPr>
        <w:adjustRightInd w:val="0"/>
        <w:snapToGrid w:val="0"/>
        <w:spacing w:after="0" w:line="580" w:lineRule="exact"/>
        <w:ind w:firstLine="640" w:firstLineChars="200"/>
        <w:rPr>
          <w:rFonts w:hint="eastAsia" w:ascii="黑体" w:hAnsi="Times New Roman" w:eastAsia="仿宋_GB2312" w:cs="DengXian-Regular"/>
          <w:sz w:val="32"/>
          <w:szCs w:val="32"/>
        </w:rPr>
      </w:pPr>
      <w:r>
        <w:rPr>
          <w:rFonts w:hint="eastAsia" w:ascii="黑体" w:hAnsi="Times New Roman" w:eastAsia="仿宋_GB2312" w:cs="DengXian-Regular"/>
          <w:sz w:val="32"/>
          <w:szCs w:val="32"/>
        </w:rPr>
        <w:t>其中：一般公共预算财政拨款本年</w:t>
      </w:r>
      <w:r>
        <w:rPr>
          <w:rFonts w:hint="eastAsia" w:ascii="黑体" w:hAnsi="Times New Roman" w:eastAsia="仿宋_GB2312" w:cs="DengXian-Regular"/>
          <w:sz w:val="32"/>
          <w:szCs w:val="32"/>
          <w:lang w:val="en-US" w:eastAsia="zh-CN"/>
        </w:rPr>
        <w:t>1273.27</w:t>
      </w:r>
      <w:r>
        <w:rPr>
          <w:rFonts w:hint="eastAsia" w:ascii="黑体" w:hAnsi="Times New Roman" w:eastAsia="仿宋_GB2312" w:cs="DengXian-Regular"/>
          <w:sz w:val="32"/>
          <w:szCs w:val="32"/>
        </w:rPr>
        <w:t>收入万元，比2017年度减少</w:t>
      </w:r>
      <w:r>
        <w:rPr>
          <w:rFonts w:hint="eastAsia" w:ascii="黑体" w:hAnsi="Times New Roman" w:eastAsia="仿宋_GB2312" w:cs="DengXian-Regular"/>
          <w:sz w:val="32"/>
          <w:szCs w:val="32"/>
          <w:lang w:val="en-US" w:eastAsia="zh-CN"/>
        </w:rPr>
        <w:t>84.55</w:t>
      </w:r>
      <w:r>
        <w:rPr>
          <w:rFonts w:hint="eastAsia" w:ascii="黑体" w:hAnsi="Times New Roman" w:eastAsia="仿宋_GB2312" w:cs="DengXian-Regular"/>
          <w:sz w:val="32"/>
          <w:szCs w:val="32"/>
        </w:rPr>
        <w:t>万元；主要是</w:t>
      </w:r>
      <w:r>
        <w:rPr>
          <w:rFonts w:hint="eastAsia" w:ascii="黑体" w:hAnsi="Times New Roman" w:eastAsia="仿宋_GB2312" w:cs="DengXian-Regular"/>
          <w:sz w:val="32"/>
          <w:szCs w:val="32"/>
          <w:lang w:eastAsia="zh-CN"/>
        </w:rPr>
        <w:t>我院反贪反渎职能部门转隶，</w:t>
      </w:r>
      <w:r>
        <w:rPr>
          <w:rFonts w:hint="eastAsia" w:ascii="黑体" w:hAnsi="Times New Roman" w:eastAsia="仿宋_GB2312" w:cs="DengXian-Regular"/>
          <w:sz w:val="32"/>
          <w:szCs w:val="32"/>
          <w:lang w:val="en-US" w:eastAsia="zh-CN"/>
        </w:rPr>
        <w:t>办案量减少，</w:t>
      </w:r>
      <w:r>
        <w:rPr>
          <w:rFonts w:hint="eastAsia" w:ascii="黑体" w:hAnsi="Times New Roman" w:eastAsia="仿宋_GB2312" w:cs="DengXian-Regular"/>
          <w:sz w:val="32"/>
          <w:szCs w:val="32"/>
          <w:lang w:eastAsia="zh-CN"/>
        </w:rPr>
        <w:t>费用需求量降低</w:t>
      </w:r>
      <w:r>
        <w:rPr>
          <w:rFonts w:hint="eastAsia" w:ascii="黑体" w:hAnsi="Times New Roman" w:eastAsia="仿宋_GB2312" w:cs="DengXian-Regular"/>
          <w:sz w:val="32"/>
          <w:szCs w:val="32"/>
        </w:rPr>
        <w:t>；本年支出</w:t>
      </w:r>
      <w:r>
        <w:rPr>
          <w:rFonts w:hint="eastAsia" w:ascii="黑体" w:hAnsi="Times New Roman" w:eastAsia="仿宋_GB2312" w:cs="DengXian-Regular"/>
          <w:sz w:val="32"/>
          <w:szCs w:val="32"/>
          <w:lang w:val="en-US" w:eastAsia="zh-CN"/>
        </w:rPr>
        <w:t>915.04</w:t>
      </w:r>
      <w:r>
        <w:rPr>
          <w:rFonts w:hint="eastAsia" w:ascii="黑体" w:hAnsi="Times New Roman" w:eastAsia="仿宋_GB2312" w:cs="DengXian-Regular"/>
          <w:sz w:val="32"/>
          <w:szCs w:val="32"/>
        </w:rPr>
        <w:t>万元，比2017年度减少</w:t>
      </w:r>
      <w:r>
        <w:rPr>
          <w:rFonts w:hint="eastAsia" w:ascii="黑体" w:hAnsi="Times New Roman" w:eastAsia="仿宋_GB2312" w:cs="DengXian-Regular"/>
          <w:sz w:val="32"/>
          <w:szCs w:val="32"/>
          <w:lang w:val="en-US" w:eastAsia="zh-CN"/>
        </w:rPr>
        <w:t>250.23</w:t>
      </w:r>
      <w:r>
        <w:rPr>
          <w:rFonts w:hint="eastAsia" w:ascii="黑体" w:hAnsi="Times New Roman" w:eastAsia="仿宋_GB2312" w:cs="DengXian-Regular"/>
          <w:sz w:val="32"/>
          <w:szCs w:val="32"/>
        </w:rPr>
        <w:t>万元，降低</w:t>
      </w:r>
      <w:r>
        <w:rPr>
          <w:rFonts w:hint="eastAsia" w:ascii="黑体" w:hAnsi="Times New Roman" w:eastAsia="仿宋_GB2312" w:cs="DengXian-Regular"/>
          <w:sz w:val="32"/>
          <w:szCs w:val="32"/>
          <w:lang w:val="en-US" w:eastAsia="zh-CN"/>
        </w:rPr>
        <w:t>21.47</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eastAsia="zh-CN"/>
        </w:rPr>
        <w:t>我院职能划转，办案量相应减少</w:t>
      </w:r>
      <w:r>
        <w:rPr>
          <w:rFonts w:hint="eastAsia" w:ascii="黑体" w:hAnsi="Times New Roman" w:eastAsia="仿宋_GB2312" w:cs="DengXian-Regular"/>
          <w:sz w:val="32"/>
          <w:szCs w:val="32"/>
        </w:rPr>
        <w:t>。政府性基金预算财政拨款本年收入</w:t>
      </w:r>
      <w:r>
        <w:rPr>
          <w:rFonts w:hint="eastAsia" w:ascii="黑体" w:hAnsi="Times New Roman" w:eastAsia="仿宋_GB2312" w:cs="DengXian-Regular"/>
          <w:sz w:val="32"/>
          <w:szCs w:val="32"/>
          <w:lang w:val="en-US" w:eastAsia="zh-CN"/>
        </w:rPr>
        <w:t>185</w:t>
      </w:r>
      <w:r>
        <w:rPr>
          <w:rFonts w:hint="eastAsia" w:ascii="黑体" w:hAnsi="Times New Roman" w:eastAsia="仿宋_GB2312" w:cs="DengXian-Regular"/>
          <w:sz w:val="32"/>
          <w:szCs w:val="32"/>
        </w:rPr>
        <w:t>万元，比2017年度增加</w:t>
      </w:r>
      <w:r>
        <w:rPr>
          <w:rFonts w:hint="eastAsia" w:ascii="黑体" w:hAnsi="Times New Roman" w:eastAsia="仿宋_GB2312" w:cs="DengXian-Regular"/>
          <w:sz w:val="32"/>
          <w:szCs w:val="32"/>
          <w:lang w:val="en-US" w:eastAsia="zh-CN"/>
        </w:rPr>
        <w:t>185</w:t>
      </w:r>
      <w:r>
        <w:rPr>
          <w:rFonts w:hint="eastAsia" w:ascii="黑体" w:hAnsi="Times New Roman" w:eastAsia="仿宋_GB2312" w:cs="DengXian-Regular"/>
          <w:sz w:val="32"/>
          <w:szCs w:val="32"/>
        </w:rPr>
        <w:t>万元，增长</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val="en-US" w:eastAsia="zh-CN"/>
        </w:rPr>
        <w:t>2017年度未安排基金支出</w:t>
      </w:r>
      <w:r>
        <w:rPr>
          <w:rFonts w:hint="eastAsia" w:ascii="黑体" w:hAnsi="Times New Roman" w:eastAsia="仿宋_GB2312" w:cs="DengXian-Regular"/>
          <w:sz w:val="32"/>
          <w:szCs w:val="32"/>
        </w:rPr>
        <w:t>；本年支出</w:t>
      </w:r>
      <w:r>
        <w:rPr>
          <w:rFonts w:hint="eastAsia" w:ascii="黑体" w:hAnsi="Times New Roman" w:eastAsia="仿宋_GB2312" w:cs="DengXian-Regular"/>
          <w:sz w:val="32"/>
          <w:szCs w:val="32"/>
          <w:lang w:val="en-US" w:eastAsia="zh-CN"/>
        </w:rPr>
        <w:t>185</w:t>
      </w:r>
      <w:r>
        <w:rPr>
          <w:rFonts w:hint="eastAsia" w:ascii="黑体" w:hAnsi="Times New Roman" w:eastAsia="仿宋_GB2312" w:cs="DengXian-Regular"/>
          <w:sz w:val="32"/>
          <w:szCs w:val="32"/>
        </w:rPr>
        <w:t>万元，比2017年度增加</w:t>
      </w:r>
      <w:r>
        <w:rPr>
          <w:rFonts w:hint="eastAsia" w:ascii="黑体" w:hAnsi="Times New Roman" w:eastAsia="仿宋_GB2312" w:cs="DengXian-Regular"/>
          <w:sz w:val="32"/>
          <w:szCs w:val="32"/>
          <w:lang w:val="en-US" w:eastAsia="zh-CN"/>
        </w:rPr>
        <w:t>185</w:t>
      </w:r>
      <w:r>
        <w:rPr>
          <w:rFonts w:hint="eastAsia" w:ascii="黑体" w:hAnsi="Times New Roman" w:eastAsia="仿宋_GB2312" w:cs="DengXian-Regular"/>
          <w:sz w:val="32"/>
          <w:szCs w:val="32"/>
        </w:rPr>
        <w:t>万元，增长</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val="en-US" w:eastAsia="zh-CN"/>
        </w:rPr>
        <w:t>2017年度未安排基金支出</w:t>
      </w:r>
      <w:r>
        <w:rPr>
          <w:rFonts w:hint="eastAsia" w:ascii="黑体" w:hAnsi="Times New Roman" w:eastAsia="仿宋_GB2312" w:cs="DengXian-Regular"/>
          <w:sz w:val="32"/>
          <w:szCs w:val="32"/>
        </w:rPr>
        <w:t>。</w:t>
      </w:r>
    </w:p>
    <w:p>
      <w:pPr>
        <w:adjustRightInd w:val="0"/>
        <w:snapToGrid w:val="0"/>
        <w:spacing w:after="0" w:line="580" w:lineRule="exact"/>
        <w:ind w:firstLine="640" w:firstLineChars="200"/>
        <w:rPr>
          <w:rFonts w:hint="eastAsia" w:ascii="黑体" w:hAnsi="Times New Roman" w:eastAsia="仿宋_GB2312" w:cs="DengXian-Regular"/>
          <w:sz w:val="32"/>
          <w:szCs w:val="32"/>
        </w:rPr>
      </w:pPr>
    </w:p>
    <w:p>
      <w:pPr>
        <w:adjustRightInd w:val="0"/>
        <w:snapToGrid w:val="0"/>
        <w:spacing w:after="0" w:line="580" w:lineRule="exact"/>
        <w:ind w:firstLine="640" w:firstLineChars="200"/>
        <w:rPr>
          <w:rFonts w:hint="eastAsia" w:ascii="宋体" w:hAnsi="宋体" w:eastAsia="宋体" w:cs="宋体"/>
          <w:sz w:val="32"/>
          <w:szCs w:val="32"/>
        </w:rPr>
      </w:pPr>
    </w:p>
    <w:p>
      <w:pPr>
        <w:adjustRightInd w:val="0"/>
        <w:snapToGrid w:val="0"/>
        <w:spacing w:after="0" w:line="580" w:lineRule="exact"/>
        <w:ind w:firstLine="640" w:firstLineChars="200"/>
        <w:rPr>
          <w:rFonts w:hint="eastAsia" w:ascii="宋体" w:hAnsi="宋体" w:eastAsia="宋体" w:cs="宋体"/>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240" w:lineRule="auto"/>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inline distT="0" distB="0" distL="114300" distR="114300">
            <wp:extent cx="4584065" cy="2755265"/>
            <wp:effectExtent l="0" t="0" r="6985" b="6985"/>
            <wp:docPr id="4" name="图片 1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图片2"/>
                    <pic:cNvPicPr>
                      <a:picLocks noChangeAspect="1"/>
                    </pic:cNvPicPr>
                  </pic:nvPicPr>
                  <pic:blipFill>
                    <a:blip r:embed="rId5"/>
                    <a:stretch>
                      <a:fillRect/>
                    </a:stretch>
                  </pic:blipFill>
                  <pic:spPr>
                    <a:xfrm>
                      <a:off x="0" y="0"/>
                      <a:ext cx="4584065" cy="2755265"/>
                    </a:xfrm>
                    <a:prstGeom prst="rect">
                      <a:avLst/>
                    </a:prstGeom>
                    <a:noFill/>
                    <a:ln>
                      <a:noFill/>
                    </a:ln>
                  </pic:spPr>
                </pic:pic>
              </a:graphicData>
            </a:graphic>
          </wp:inline>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黑体" w:hAnsi="Times New Roman" w:eastAsia="仿宋_GB2312" w:cs="DengXian-Regular"/>
          <w:sz w:val="32"/>
          <w:szCs w:val="32"/>
        </w:rPr>
      </w:pPr>
      <w:r>
        <w:rPr>
          <w:rFonts w:hint="eastAsia" w:ascii="黑体" w:hAnsi="Times New Roman" w:eastAsia="仿宋_GB2312" w:cs="DengXian-Regular"/>
          <w:sz w:val="32"/>
          <w:szCs w:val="32"/>
        </w:rPr>
        <w:t>本部门2018年度财政拨款本年收入</w:t>
      </w:r>
      <w:r>
        <w:rPr>
          <w:rFonts w:hint="eastAsia" w:ascii="黑体" w:hAnsi="Times New Roman" w:eastAsia="仿宋_GB2312" w:cs="DengXian-Regular"/>
          <w:sz w:val="32"/>
          <w:szCs w:val="32"/>
          <w:lang w:val="en-US" w:eastAsia="zh-CN"/>
        </w:rPr>
        <w:t>1458.27</w:t>
      </w:r>
      <w:r>
        <w:rPr>
          <w:rFonts w:hint="eastAsia" w:ascii="黑体" w:hAnsi="Times New Roman" w:eastAsia="仿宋_GB2312" w:cs="DengXian-Regular"/>
          <w:sz w:val="32"/>
          <w:szCs w:val="32"/>
        </w:rPr>
        <w:t>万元，完成年初预算的</w:t>
      </w:r>
      <w:r>
        <w:rPr>
          <w:rFonts w:hint="eastAsia" w:ascii="黑体" w:hAnsi="Times New Roman" w:eastAsia="仿宋_GB2312" w:cs="DengXian-Regular"/>
          <w:sz w:val="32"/>
          <w:szCs w:val="32"/>
          <w:lang w:val="en-US" w:eastAsia="zh-CN"/>
        </w:rPr>
        <w:t>85.6</w:t>
      </w:r>
      <w:r>
        <w:rPr>
          <w:rFonts w:hint="eastAsia" w:ascii="黑体" w:hAnsi="Times New Roman" w:eastAsia="仿宋_GB2312" w:cs="DengXian-Regular"/>
          <w:sz w:val="32"/>
          <w:szCs w:val="32"/>
        </w:rPr>
        <w:t>%,比年初预算减</w:t>
      </w:r>
      <w:r>
        <w:rPr>
          <w:rFonts w:hint="eastAsia" w:ascii="黑体" w:hAnsi="Times New Roman" w:eastAsia="仿宋_GB2312" w:cs="DengXian-Regular"/>
          <w:sz w:val="32"/>
          <w:szCs w:val="32"/>
          <w:lang w:eastAsia="zh-CN"/>
        </w:rPr>
        <w:t>少</w:t>
      </w:r>
      <w:r>
        <w:rPr>
          <w:rFonts w:hint="eastAsia" w:ascii="黑体" w:hAnsi="Times New Roman" w:eastAsia="仿宋_GB2312" w:cs="DengXian-Regular"/>
          <w:sz w:val="32"/>
          <w:szCs w:val="32"/>
          <w:lang w:val="en-US" w:eastAsia="zh-CN"/>
        </w:rPr>
        <w:t>245.4</w:t>
      </w:r>
      <w:r>
        <w:rPr>
          <w:rFonts w:hint="eastAsia" w:ascii="黑体" w:hAnsi="Times New Roman" w:eastAsia="仿宋_GB2312" w:cs="DengXian-Regular"/>
          <w:sz w:val="32"/>
          <w:szCs w:val="32"/>
        </w:rPr>
        <w:t>万元，决算数小于预算数主要是</w:t>
      </w:r>
      <w:r>
        <w:rPr>
          <w:rFonts w:hint="eastAsia" w:ascii="黑体" w:hAnsi="Times New Roman" w:eastAsia="仿宋_GB2312" w:cs="DengXian-Regular"/>
          <w:sz w:val="32"/>
          <w:szCs w:val="32"/>
          <w:lang w:eastAsia="zh-CN"/>
        </w:rPr>
        <w:t>我院年初职能划转，费用所需量降低</w:t>
      </w:r>
      <w:r>
        <w:rPr>
          <w:rFonts w:hint="eastAsia" w:ascii="黑体" w:hAnsi="Times New Roman" w:eastAsia="仿宋_GB2312" w:cs="DengXian-Regular"/>
          <w:sz w:val="32"/>
          <w:szCs w:val="32"/>
        </w:rPr>
        <w:t>；本年支出</w:t>
      </w:r>
      <w:r>
        <w:rPr>
          <w:rFonts w:hint="eastAsia" w:ascii="黑体" w:hAnsi="Times New Roman" w:eastAsia="仿宋_GB2312" w:cs="DengXian-Regular"/>
          <w:sz w:val="32"/>
          <w:szCs w:val="32"/>
          <w:lang w:val="en-US" w:eastAsia="zh-CN"/>
        </w:rPr>
        <w:t>1100.04</w:t>
      </w:r>
      <w:r>
        <w:rPr>
          <w:rFonts w:hint="eastAsia" w:ascii="黑体" w:hAnsi="Times New Roman" w:eastAsia="仿宋_GB2312" w:cs="DengXian-Regular"/>
          <w:sz w:val="32"/>
          <w:szCs w:val="32"/>
        </w:rPr>
        <w:t>万元，完成年初预算的</w:t>
      </w:r>
      <w:r>
        <w:rPr>
          <w:rFonts w:hint="eastAsia" w:ascii="黑体" w:hAnsi="Times New Roman" w:eastAsia="仿宋_GB2312" w:cs="DengXian-Regular"/>
          <w:sz w:val="32"/>
          <w:szCs w:val="32"/>
          <w:lang w:val="en-US" w:eastAsia="zh-CN"/>
        </w:rPr>
        <w:t>64.57</w:t>
      </w:r>
      <w:r>
        <w:rPr>
          <w:rFonts w:hint="eastAsia" w:ascii="黑体" w:hAnsi="Times New Roman" w:eastAsia="仿宋_GB2312" w:cs="DengXian-Regular"/>
          <w:sz w:val="32"/>
          <w:szCs w:val="32"/>
        </w:rPr>
        <w:t>%,比年初预算减少</w:t>
      </w:r>
      <w:r>
        <w:rPr>
          <w:rFonts w:hint="eastAsia" w:ascii="黑体" w:hAnsi="Times New Roman" w:eastAsia="仿宋_GB2312" w:cs="DengXian-Regular"/>
          <w:sz w:val="32"/>
          <w:szCs w:val="32"/>
          <w:lang w:val="en-US" w:eastAsia="zh-CN"/>
        </w:rPr>
        <w:t>603.63</w:t>
      </w:r>
      <w:r>
        <w:rPr>
          <w:rFonts w:hint="eastAsia" w:ascii="黑体" w:hAnsi="Times New Roman" w:eastAsia="仿宋_GB2312" w:cs="DengXian-Regular"/>
          <w:sz w:val="32"/>
          <w:szCs w:val="32"/>
        </w:rPr>
        <w:t>万元，决算数小于预算数</w:t>
      </w:r>
      <w:r>
        <w:rPr>
          <w:rFonts w:hint="eastAsia" w:ascii="黑体" w:hAnsi="Times New Roman" w:eastAsia="仿宋_GB2312" w:cs="DengXian-Regular"/>
          <w:sz w:val="32"/>
          <w:szCs w:val="32"/>
          <w:lang w:eastAsia="zh-CN"/>
        </w:rPr>
        <w:t>，</w:t>
      </w:r>
      <w:r>
        <w:rPr>
          <w:rFonts w:hint="eastAsia" w:ascii="黑体" w:hAnsi="Times New Roman" w:eastAsia="仿宋_GB2312" w:cs="DengXian-Regular"/>
          <w:sz w:val="32"/>
          <w:szCs w:val="32"/>
        </w:rPr>
        <w:t>主要是</w:t>
      </w:r>
      <w:r>
        <w:rPr>
          <w:rFonts w:hint="eastAsia" w:ascii="黑体" w:hAnsi="Times New Roman" w:eastAsia="仿宋_GB2312" w:cs="DengXian-Regular"/>
          <w:sz w:val="32"/>
          <w:szCs w:val="32"/>
          <w:lang w:eastAsia="zh-CN"/>
        </w:rPr>
        <w:t>我院项目调整，指标额度收回</w:t>
      </w:r>
      <w:r>
        <w:rPr>
          <w:rFonts w:hint="eastAsia" w:ascii="黑体" w:hAnsi="Times New Roman" w:eastAsia="仿宋_GB2312" w:cs="DengXian-Regular"/>
          <w:sz w:val="32"/>
          <w:szCs w:val="32"/>
        </w:rPr>
        <w:t>。</w:t>
      </w:r>
    </w:p>
    <w:p>
      <w:pPr>
        <w:adjustRightInd w:val="0"/>
        <w:snapToGrid w:val="0"/>
        <w:spacing w:after="0" w:line="580" w:lineRule="exact"/>
        <w:ind w:firstLine="640" w:firstLineChars="200"/>
        <w:rPr>
          <w:rFonts w:hint="eastAsia" w:ascii="黑体" w:hAnsi="Times New Roman" w:eastAsia="仿宋_GB2312" w:cs="DengXian-Regular"/>
          <w:sz w:val="32"/>
          <w:szCs w:val="32"/>
          <w:lang w:eastAsia="zh-CN"/>
        </w:rPr>
      </w:pPr>
      <w:r>
        <w:rPr>
          <w:rFonts w:hint="eastAsia" w:ascii="黑体" w:hAnsi="Times New Roman" w:eastAsia="仿宋_GB2312" w:cs="DengXian-Regular"/>
          <w:sz w:val="32"/>
          <w:szCs w:val="32"/>
        </w:rPr>
        <w:t>其中，一般公共预算财政拨款本年收入完成年初预算</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%，比年初预算</w:t>
      </w:r>
      <w:r>
        <w:rPr>
          <w:rFonts w:hint="eastAsia" w:ascii="黑体" w:hAnsi="Times New Roman" w:eastAsia="仿宋_GB2312" w:cs="DengXian-Regular"/>
          <w:sz w:val="32"/>
          <w:szCs w:val="32"/>
          <w:lang w:eastAsia="zh-CN"/>
        </w:rPr>
        <w:t>增加</w:t>
      </w:r>
      <w:r>
        <w:rPr>
          <w:rFonts w:hint="eastAsia" w:ascii="黑体" w:hAnsi="Times New Roman" w:eastAsia="仿宋_GB2312" w:cs="DengXian-Regular"/>
          <w:sz w:val="32"/>
          <w:szCs w:val="32"/>
          <w:lang w:val="en-US" w:eastAsia="zh-CN"/>
        </w:rPr>
        <w:t>149.6万元</w:t>
      </w:r>
      <w:r>
        <w:rPr>
          <w:rFonts w:hint="eastAsia" w:ascii="黑体" w:hAnsi="Times New Roman" w:eastAsia="仿宋_GB2312" w:cs="DengXian-Regular"/>
          <w:sz w:val="32"/>
          <w:szCs w:val="32"/>
        </w:rPr>
        <w:t>，决算数</w:t>
      </w:r>
      <w:r>
        <w:rPr>
          <w:rFonts w:hint="eastAsia" w:ascii="黑体" w:hAnsi="Times New Roman" w:eastAsia="仿宋_GB2312" w:cs="DengXian-Regular"/>
          <w:sz w:val="32"/>
          <w:szCs w:val="32"/>
          <w:lang w:eastAsia="zh-CN"/>
        </w:rPr>
        <w:t>大</w:t>
      </w:r>
      <w:r>
        <w:rPr>
          <w:rFonts w:hint="eastAsia" w:ascii="黑体" w:hAnsi="Times New Roman" w:eastAsia="仿宋_GB2312" w:cs="DengXian-Regular"/>
          <w:sz w:val="32"/>
          <w:szCs w:val="32"/>
        </w:rPr>
        <w:t>于预算数主要是</w:t>
      </w:r>
      <w:r>
        <w:rPr>
          <w:rFonts w:hint="eastAsia" w:ascii="黑体" w:hAnsi="Times New Roman" w:eastAsia="仿宋_GB2312" w:cs="DengXian-Regular"/>
          <w:sz w:val="32"/>
          <w:szCs w:val="32"/>
          <w:lang w:eastAsia="zh-CN"/>
        </w:rPr>
        <w:t>我院项目调整，费用增加</w:t>
      </w:r>
      <w:r>
        <w:rPr>
          <w:rFonts w:hint="eastAsia" w:ascii="黑体" w:hAnsi="Times New Roman" w:eastAsia="仿宋_GB2312" w:cs="DengXian-Regular"/>
          <w:sz w:val="32"/>
          <w:szCs w:val="32"/>
        </w:rPr>
        <w:t>；支出完成年初预算</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%，比年初预算减少</w:t>
      </w:r>
      <w:r>
        <w:rPr>
          <w:rFonts w:hint="eastAsia" w:ascii="黑体" w:hAnsi="Times New Roman" w:eastAsia="仿宋_GB2312" w:cs="DengXian-Regular"/>
          <w:sz w:val="32"/>
          <w:szCs w:val="32"/>
          <w:lang w:val="en-US" w:eastAsia="zh-CN"/>
        </w:rPr>
        <w:t>208.63</w:t>
      </w:r>
      <w:r>
        <w:rPr>
          <w:rFonts w:hint="eastAsia" w:ascii="黑体" w:hAnsi="Times New Roman" w:eastAsia="仿宋_GB2312" w:cs="DengXian-Regular"/>
          <w:sz w:val="32"/>
          <w:szCs w:val="32"/>
        </w:rPr>
        <w:t>万元，决算数小于预算数主要是</w:t>
      </w:r>
      <w:r>
        <w:rPr>
          <w:rFonts w:hint="eastAsia" w:ascii="黑体" w:hAnsi="Times New Roman" w:eastAsia="仿宋_GB2312" w:cs="DengXian-Regular"/>
          <w:sz w:val="32"/>
          <w:szCs w:val="32"/>
          <w:lang w:eastAsia="zh-CN"/>
        </w:rPr>
        <w:t>我院开源节流，减少不必要费用支出</w:t>
      </w:r>
      <w:r>
        <w:rPr>
          <w:rFonts w:hint="eastAsia" w:ascii="黑体" w:hAnsi="Times New Roman" w:eastAsia="仿宋_GB2312" w:cs="DengXian-Regular"/>
          <w:sz w:val="32"/>
          <w:szCs w:val="32"/>
        </w:rPr>
        <w:t>。政府性基金预算财政拨款本年收入完成年初预算</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%，比年初预算减少</w:t>
      </w:r>
      <w:r>
        <w:rPr>
          <w:rFonts w:hint="eastAsia" w:ascii="黑体" w:hAnsi="Times New Roman" w:eastAsia="仿宋_GB2312" w:cs="DengXian-Regular"/>
          <w:sz w:val="32"/>
          <w:szCs w:val="32"/>
          <w:lang w:val="en-US" w:eastAsia="zh-CN"/>
        </w:rPr>
        <w:t>245</w:t>
      </w:r>
      <w:r>
        <w:rPr>
          <w:rFonts w:hint="eastAsia" w:ascii="黑体" w:hAnsi="Times New Roman" w:eastAsia="仿宋_GB2312" w:cs="DengXian-Regular"/>
          <w:sz w:val="32"/>
          <w:szCs w:val="32"/>
        </w:rPr>
        <w:t>万元，决算数小于预算数主要是</w:t>
      </w:r>
      <w:r>
        <w:rPr>
          <w:rFonts w:hint="eastAsia" w:ascii="黑体" w:hAnsi="Times New Roman" w:eastAsia="仿宋_GB2312" w:cs="DengXian-Regular"/>
          <w:sz w:val="32"/>
          <w:szCs w:val="32"/>
          <w:lang w:eastAsia="zh-CN"/>
        </w:rPr>
        <w:t>项目调整，减少支出</w:t>
      </w:r>
      <w:r>
        <w:rPr>
          <w:rFonts w:hint="eastAsia" w:ascii="黑体" w:hAnsi="Times New Roman" w:eastAsia="仿宋_GB2312" w:cs="DengXian-Regular"/>
          <w:sz w:val="32"/>
          <w:szCs w:val="32"/>
        </w:rPr>
        <w:t>；支出完成年初预算</w:t>
      </w:r>
      <w:r>
        <w:rPr>
          <w:rFonts w:hint="eastAsia" w:ascii="黑体" w:hAnsi="Times New Roman" w:eastAsia="仿宋_GB2312" w:cs="DengXian-Regular"/>
          <w:sz w:val="32"/>
          <w:szCs w:val="32"/>
          <w:lang w:val="en-US" w:eastAsia="zh-CN"/>
        </w:rPr>
        <w:t>100</w:t>
      </w:r>
      <w:r>
        <w:rPr>
          <w:rFonts w:hint="eastAsia" w:ascii="黑体" w:hAnsi="Times New Roman" w:eastAsia="仿宋_GB2312" w:cs="DengXian-Regular"/>
          <w:sz w:val="32"/>
          <w:szCs w:val="32"/>
        </w:rPr>
        <w:t>%，比年初预算减少</w:t>
      </w:r>
      <w:r>
        <w:rPr>
          <w:rFonts w:hint="eastAsia" w:ascii="黑体" w:hAnsi="Times New Roman" w:eastAsia="仿宋_GB2312" w:cs="DengXian-Regular"/>
          <w:sz w:val="32"/>
          <w:szCs w:val="32"/>
          <w:lang w:val="en-US" w:eastAsia="zh-CN"/>
        </w:rPr>
        <w:t>245</w:t>
      </w:r>
      <w:r>
        <w:rPr>
          <w:rFonts w:hint="eastAsia" w:ascii="黑体" w:hAnsi="Times New Roman" w:eastAsia="仿宋_GB2312" w:cs="DengXian-Regular"/>
          <w:sz w:val="32"/>
          <w:szCs w:val="32"/>
        </w:rPr>
        <w:t>万元，决算数小于预算数。主要是</w:t>
      </w:r>
      <w:r>
        <w:rPr>
          <w:rFonts w:hint="eastAsia" w:ascii="黑体" w:hAnsi="Times New Roman" w:eastAsia="仿宋_GB2312" w:cs="DengXian-Regular"/>
          <w:sz w:val="32"/>
          <w:szCs w:val="32"/>
          <w:lang w:eastAsia="zh-CN"/>
        </w:rPr>
        <w:t>项目调整，减少支出。</w:t>
      </w:r>
    </w:p>
    <w:p>
      <w:pPr>
        <w:adjustRightInd w:val="0"/>
        <w:snapToGrid w:val="0"/>
        <w:spacing w:after="0" w:line="580" w:lineRule="exact"/>
        <w:ind w:firstLine="640" w:firstLineChars="200"/>
        <w:rPr>
          <w:rFonts w:hint="eastAsia" w:ascii="黑体" w:hAnsi="Times New Roman" w:eastAsia="仿宋_GB2312" w:cs="DengXian-Regular"/>
          <w:sz w:val="32"/>
          <w:szCs w:val="32"/>
          <w:lang w:eastAsia="zh-CN"/>
        </w:rPr>
      </w:pPr>
    </w:p>
    <w:p>
      <w:pPr>
        <w:adjustRightInd w:val="0"/>
        <w:snapToGrid w:val="0"/>
        <w:spacing w:after="0" w:line="580" w:lineRule="exact"/>
        <w:ind w:firstLine="640" w:firstLineChars="200"/>
        <w:rPr>
          <w:rFonts w:hint="eastAsia" w:ascii="黑体" w:hAnsi="Times New Roman" w:eastAsia="仿宋_GB2312" w:cs="DengXian-Regular"/>
          <w:sz w:val="32"/>
          <w:szCs w:val="32"/>
          <w:lang w:eastAsia="zh-CN"/>
        </w:rPr>
      </w:pPr>
    </w:p>
    <w:p>
      <w:pPr>
        <w:adjustRightInd w:val="0"/>
        <w:snapToGrid w:val="0"/>
        <w:spacing w:after="0" w:line="580" w:lineRule="exact"/>
        <w:ind w:firstLine="640" w:firstLineChars="200"/>
        <w:rPr>
          <w:rFonts w:hint="eastAsia" w:ascii="黑体" w:hAnsi="Times New Roman" w:eastAsia="仿宋_GB2312" w:cs="DengXian-Regular"/>
          <w:sz w:val="32"/>
          <w:szCs w:val="32"/>
          <w:lang w:eastAsia="zh-CN"/>
        </w:rPr>
      </w:pPr>
    </w:p>
    <w:p>
      <w:pPr>
        <w:adjustRightInd w:val="0"/>
        <w:snapToGrid w:val="0"/>
        <w:spacing w:after="0" w:line="580" w:lineRule="exact"/>
        <w:ind w:firstLine="640" w:firstLineChars="200"/>
        <w:rPr>
          <w:rFonts w:hint="eastAsia" w:ascii="黑体" w:hAnsi="Times New Roman" w:eastAsia="仿宋_GB2312" w:cs="DengXian-Regular"/>
          <w:sz w:val="32"/>
          <w:szCs w:val="32"/>
          <w:lang w:eastAsia="zh-CN"/>
        </w:rPr>
      </w:pPr>
    </w:p>
    <w:p>
      <w:pPr>
        <w:adjustRightInd w:val="0"/>
        <w:snapToGrid w:val="0"/>
        <w:spacing w:after="0" w:line="580" w:lineRule="exact"/>
        <w:ind w:firstLine="640" w:firstLineChars="200"/>
        <w:rPr>
          <w:rFonts w:hint="eastAsia" w:ascii="黑体" w:hAnsi="Times New Roman" w:eastAsia="仿宋_GB2312" w:cs="DengXian-Regular"/>
          <w:sz w:val="32"/>
          <w:szCs w:val="32"/>
        </w:rPr>
      </w:pPr>
      <w:r>
        <w:rPr>
          <w:rFonts w:hint="eastAsia" w:ascii="黑体" w:hAnsi="Times New Roman" w:eastAsia="仿宋_GB2312" w:cs="DengXian-Regular"/>
          <w:sz w:val="32"/>
          <w:szCs w:val="32"/>
        </w:rPr>
        <w:t>图4：财政拨款收支预决算对比情况</w:t>
      </w:r>
    </w:p>
    <w:p>
      <w:pPr>
        <w:adjustRightInd w:val="0"/>
        <w:snapToGrid w:val="0"/>
        <w:spacing w:after="0" w:line="240" w:lineRule="auto"/>
        <w:jc w:val="both"/>
        <w:rPr>
          <w:rFonts w:hint="eastAsia" w:eastAsia="仿宋_GB2312"/>
          <w:sz w:val="32"/>
          <w:szCs w:val="32"/>
          <w:lang w:val="en-US" w:eastAsia="zh-CN"/>
        </w:rPr>
      </w:pPr>
      <w:r>
        <w:rPr>
          <w:rFonts w:hint="eastAsia" w:eastAsia="仿宋_GB2312"/>
          <w:sz w:val="32"/>
          <w:szCs w:val="32"/>
          <w:lang w:val="en-US" w:eastAsia="zh-CN"/>
        </w:rPr>
        <w:t xml:space="preserve"> </w:t>
      </w:r>
    </w:p>
    <w:p>
      <w:pPr>
        <w:adjustRightInd w:val="0"/>
        <w:snapToGrid w:val="0"/>
        <w:spacing w:after="0" w:line="240" w:lineRule="auto"/>
        <w:jc w:val="both"/>
        <w:rPr>
          <w:rFonts w:hint="eastAsia" w:eastAsia="仿宋_GB2312"/>
          <w:sz w:val="32"/>
          <w:szCs w:val="32"/>
          <w:lang w:val="en-US" w:eastAsia="zh-CN"/>
        </w:rPr>
      </w:pPr>
      <w:r>
        <w:rPr>
          <w:rFonts w:hint="eastAsia" w:eastAsia="仿宋_GB2312"/>
          <w:sz w:val="32"/>
          <w:szCs w:val="32"/>
          <w:lang w:val="en-US" w:eastAsia="zh-CN"/>
        </w:rPr>
        <w:drawing>
          <wp:inline distT="0" distB="0" distL="114300" distR="114300">
            <wp:extent cx="4584065" cy="2755265"/>
            <wp:effectExtent l="0" t="0" r="6985" b="6985"/>
            <wp:docPr id="5" name="图片 2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descr="图片4"/>
                    <pic:cNvPicPr>
                      <a:picLocks noChangeAspect="1"/>
                    </pic:cNvPicPr>
                  </pic:nvPicPr>
                  <pic:blipFill>
                    <a:blip r:embed="rId6"/>
                    <a:stretch>
                      <a:fillRect/>
                    </a:stretch>
                  </pic:blipFill>
                  <pic:spPr>
                    <a:xfrm>
                      <a:off x="0" y="0"/>
                      <a:ext cx="4584065" cy="2755265"/>
                    </a:xfrm>
                    <a:prstGeom prst="rect">
                      <a:avLst/>
                    </a:prstGeom>
                    <a:noFill/>
                    <a:ln>
                      <a:noFill/>
                    </a:ln>
                  </pic:spPr>
                </pic:pic>
              </a:graphicData>
            </a:graphic>
          </wp:inline>
        </w:drawing>
      </w:r>
    </w:p>
    <w:p>
      <w:pPr>
        <w:adjustRightInd w:val="0"/>
        <w:snapToGrid w:val="0"/>
        <w:spacing w:after="0" w:line="580" w:lineRule="exact"/>
        <w:rPr>
          <w:rFonts w:ascii="仿宋_GB2312" w:eastAsia="仿宋_GB2312" w:cs="DengXian-Regular"/>
          <w:sz w:val="32"/>
          <w:szCs w:val="32"/>
          <w:highlight w:val="yellow"/>
        </w:rPr>
      </w:pPr>
    </w:p>
    <w:p>
      <w:pPr>
        <w:numPr>
          <w:ilvl w:val="0"/>
          <w:numId w:val="4"/>
        </w:numPr>
        <w:adjustRightInd w:val="0"/>
        <w:snapToGrid w:val="0"/>
        <w:spacing w:after="0"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2018 年度财政拨款支</w:t>
      </w:r>
      <w:r>
        <w:rPr>
          <w:rFonts w:hint="eastAsia" w:ascii="仿宋_GB2312" w:eastAsia="仿宋_GB2312" w:cs="DengXian-Regular"/>
          <w:sz w:val="32"/>
          <w:szCs w:val="32"/>
          <w:lang w:eastAsia="zh-CN"/>
        </w:rPr>
        <w:t>出</w:t>
      </w:r>
      <w:r>
        <w:rPr>
          <w:rFonts w:hint="eastAsia" w:ascii="宋体" w:hAnsi="宋体" w:eastAsia="宋体" w:cs="宋体"/>
          <w:sz w:val="32"/>
          <w:szCs w:val="32"/>
          <w:lang w:val="en-US" w:eastAsia="zh-CN"/>
        </w:rPr>
        <w:t>1100.04</w:t>
      </w:r>
      <w:r>
        <w:rPr>
          <w:rFonts w:hint="eastAsia" w:ascii="仿宋_GB2312" w:eastAsia="仿宋_GB2312" w:cs="DengXian-Regular"/>
          <w:sz w:val="32"/>
          <w:szCs w:val="32"/>
        </w:rPr>
        <w:t>万元，主要用于以下方面公共安全（类）支出</w:t>
      </w:r>
      <w:r>
        <w:rPr>
          <w:rFonts w:hint="eastAsia" w:ascii="仿宋_GB2312" w:eastAsia="仿宋_GB2312" w:cs="DengXian-Regular"/>
          <w:sz w:val="32"/>
          <w:szCs w:val="32"/>
          <w:lang w:val="en-US" w:eastAsia="zh-CN"/>
        </w:rPr>
        <w:t>849.27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77.20</w:t>
      </w:r>
      <w:r>
        <w:rPr>
          <w:rFonts w:hint="eastAsia" w:ascii="仿宋_GB2312" w:eastAsia="仿宋_GB2312" w:cs="DengXian-Regular"/>
          <w:sz w:val="32"/>
          <w:szCs w:val="32"/>
        </w:rPr>
        <w:t>%</w:t>
      </w:r>
      <w:r>
        <w:rPr>
          <w:rFonts w:hint="eastAsia" w:ascii="仿宋_GB2312" w:eastAsia="仿宋_GB2312" w:cs="DengXian-Regular"/>
          <w:sz w:val="32"/>
          <w:szCs w:val="32"/>
          <w:lang w:eastAsia="zh-CN"/>
        </w:rPr>
        <w:t>；社会保障和就业支出</w:t>
      </w:r>
      <w:r>
        <w:rPr>
          <w:rFonts w:hint="eastAsia" w:ascii="仿宋_GB2312" w:eastAsia="仿宋_GB2312" w:cs="DengXian-Regular"/>
          <w:sz w:val="32"/>
          <w:szCs w:val="32"/>
          <w:lang w:val="en-US" w:eastAsia="zh-CN"/>
        </w:rPr>
        <w:t>43.68万元，占3.97%；医疗卫生与计划生育支出22.09万元，占2%；其他支出185万元，占16.83%</w:t>
      </w:r>
      <w:r>
        <w:rPr>
          <w:rFonts w:hint="eastAsia" w:ascii="仿宋_GB2312" w:eastAsia="仿宋_GB2312" w:cs="DengXian-Regular"/>
          <w:sz w:val="32"/>
          <w:szCs w:val="32"/>
          <w:lang w:eastAsia="zh-CN"/>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both"/>
        <w:rPr>
          <w:rFonts w:hint="eastAsia" w:eastAsia="仿宋_GB2312"/>
          <w:sz w:val="32"/>
          <w:szCs w:val="32"/>
          <w:lang w:eastAsia="zh-CN"/>
        </w:rPr>
      </w:pPr>
      <w:r>
        <w:drawing>
          <wp:anchor distT="0" distB="0" distL="114300" distR="114300" simplePos="0" relativeHeight="251660288" behindDoc="1" locked="0" layoutInCell="1" allowOverlap="1">
            <wp:simplePos x="0" y="0"/>
            <wp:positionH relativeFrom="column">
              <wp:posOffset>516890</wp:posOffset>
            </wp:positionH>
            <wp:positionV relativeFrom="paragraph">
              <wp:posOffset>337820</wp:posOffset>
            </wp:positionV>
            <wp:extent cx="4646295" cy="2721610"/>
            <wp:effectExtent l="4445" t="4445" r="16510" b="1714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both"/>
        <w:rPr>
          <w:rFonts w:hint="eastAsia" w:eastAsia="仿宋_GB2312"/>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黑体" w:hAnsi="Times New Roman" w:eastAsia="仿宋_GB2312" w:cs="DengXian-Regular"/>
          <w:sz w:val="32"/>
          <w:szCs w:val="32"/>
        </w:rPr>
      </w:pPr>
      <w:r>
        <w:rPr>
          <w:rFonts w:hint="eastAsia" w:ascii="黑体" w:hAnsi="Times New Roman" w:eastAsia="仿宋_GB2312" w:cs="DengXian-Regular"/>
          <w:sz w:val="32"/>
          <w:szCs w:val="32"/>
        </w:rPr>
        <w:t>2018 年度一般公共预算财政拨款基本支出</w:t>
      </w:r>
      <w:r>
        <w:rPr>
          <w:rFonts w:hint="eastAsia" w:ascii="黑体" w:hAnsi="Times New Roman" w:eastAsia="仿宋_GB2312" w:cs="DengXian-Regular"/>
          <w:sz w:val="32"/>
          <w:szCs w:val="32"/>
          <w:lang w:val="en-US" w:eastAsia="zh-CN"/>
        </w:rPr>
        <w:t>700.34</w:t>
      </w:r>
      <w:r>
        <w:rPr>
          <w:rFonts w:hint="eastAsia" w:ascii="黑体" w:hAnsi="Times New Roman" w:eastAsia="仿宋_GB2312" w:cs="DengXian-Regular"/>
          <w:sz w:val="32"/>
          <w:szCs w:val="32"/>
        </w:rPr>
        <w:t xml:space="preserve">万元，其中：人员经费 </w:t>
      </w:r>
      <w:r>
        <w:rPr>
          <w:rFonts w:hint="eastAsia" w:ascii="黑体" w:hAnsi="Times New Roman" w:eastAsia="仿宋_GB2312" w:cs="DengXian-Regular"/>
          <w:sz w:val="32"/>
          <w:szCs w:val="32"/>
          <w:lang w:val="en-US" w:eastAsia="zh-CN"/>
        </w:rPr>
        <w:t>639.56</w:t>
      </w:r>
      <w:r>
        <w:rPr>
          <w:rFonts w:hint="eastAsia" w:ascii="黑体" w:hAnsi="Times New Roman" w:eastAsia="仿宋_GB2312" w:cs="DengXian-Regular"/>
          <w:sz w:val="32"/>
          <w:szCs w:val="32"/>
        </w:rPr>
        <w:t>万元，主要包括基本工资、津贴补贴、奖金、绩效工资、机关事业单位基本养老保险缴费、职业年金缴费、职工基本医疗保险缴费、住房公积金、其他社会保障缴费、其他工资福利支出、抚恤金、生活补助、其他对个人和家庭的补助支出等；公用经费</w:t>
      </w:r>
      <w:r>
        <w:rPr>
          <w:rFonts w:hint="eastAsia" w:ascii="黑体" w:hAnsi="Times New Roman" w:eastAsia="仿宋_GB2312" w:cs="DengXian-Regular"/>
          <w:sz w:val="32"/>
          <w:szCs w:val="32"/>
          <w:lang w:val="en-US" w:eastAsia="zh-CN"/>
        </w:rPr>
        <w:t>60.77</w:t>
      </w:r>
      <w:r>
        <w:rPr>
          <w:rFonts w:hint="eastAsia" w:ascii="黑体" w:hAnsi="Times New Roman" w:eastAsia="仿宋_GB2312" w:cs="DengXian-Regular"/>
          <w:sz w:val="32"/>
          <w:szCs w:val="32"/>
        </w:rPr>
        <w:t>万元，主要包括办公费、印刷费、咨询费、手续费、水费、电费、邮电费、取暖费、差旅费、维修（护）费、租赁费、会议费、培训费、公务接待费、专用材料费、工会经费、福利费、公务用车运行维护费、其他交通费用、其他商品和服务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35.84</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27.86</w:t>
      </w:r>
      <w:r>
        <w:rPr>
          <w:rFonts w:eastAsia="仿宋_GB2312"/>
          <w:sz w:val="32"/>
          <w:szCs w:val="32"/>
        </w:rPr>
        <w:t>万元，降低</w:t>
      </w:r>
      <w:r>
        <w:rPr>
          <w:rFonts w:hint="eastAsia" w:eastAsia="仿宋_GB2312"/>
          <w:sz w:val="32"/>
          <w:szCs w:val="32"/>
          <w:lang w:val="en-US" w:eastAsia="zh-CN"/>
        </w:rPr>
        <w:t>43.74</w:t>
      </w:r>
      <w:r>
        <w:rPr>
          <w:rFonts w:eastAsia="仿宋_GB2312"/>
          <w:sz w:val="32"/>
          <w:szCs w:val="32"/>
        </w:rPr>
        <w:t>%，主要是</w:t>
      </w:r>
      <w:r>
        <w:rPr>
          <w:rFonts w:hint="eastAsia" w:eastAsia="仿宋_GB2312"/>
          <w:sz w:val="32"/>
          <w:szCs w:val="32"/>
          <w:lang w:eastAsia="zh-CN"/>
        </w:rPr>
        <w:t>公车维修费用减少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14.01万</w:t>
      </w:r>
      <w:r>
        <w:rPr>
          <w:rFonts w:eastAsia="仿宋_GB2312"/>
          <w:sz w:val="32"/>
          <w:szCs w:val="32"/>
        </w:rPr>
        <w:t>元，降低</w:t>
      </w:r>
      <w:r>
        <w:rPr>
          <w:rFonts w:hint="eastAsia" w:eastAsia="仿宋_GB2312"/>
          <w:sz w:val="32"/>
          <w:szCs w:val="32"/>
          <w:lang w:val="en-US" w:eastAsia="zh-CN"/>
        </w:rPr>
        <w:t>28.1</w:t>
      </w:r>
      <w:r>
        <w:rPr>
          <w:rFonts w:eastAsia="仿宋_GB2312"/>
          <w:sz w:val="32"/>
          <w:szCs w:val="32"/>
        </w:rPr>
        <w:t>%，主要是</w:t>
      </w:r>
      <w:r>
        <w:rPr>
          <w:rFonts w:hint="eastAsia" w:eastAsia="仿宋_GB2312"/>
          <w:sz w:val="32"/>
          <w:szCs w:val="32"/>
          <w:lang w:eastAsia="zh-CN"/>
        </w:rPr>
        <w:t>公车维修费用减少</w:t>
      </w:r>
      <w:r>
        <w:rPr>
          <w:rFonts w:eastAsia="仿宋_GB2312"/>
          <w:sz w:val="32"/>
          <w:szCs w:val="32"/>
        </w:rPr>
        <w:t>。具体情况如下：</w:t>
      </w:r>
    </w:p>
    <w:p>
      <w:pPr>
        <w:numPr>
          <w:ilvl w:val="0"/>
          <w:numId w:val="5"/>
        </w:numPr>
        <w:adjustRightInd w:val="0"/>
        <w:snapToGrid w:val="0"/>
        <w:spacing w:line="584" w:lineRule="exact"/>
        <w:ind w:left="-10" w:leftChars="0" w:firstLine="643" w:firstLineChars="0"/>
        <w:rPr>
          <w:rFonts w:hint="eastAsia" w:ascii="仿宋_GB2312" w:eastAsia="仿宋_GB2312" w:cs="DengXian-Regular"/>
          <w:sz w:val="32"/>
          <w:szCs w:val="32"/>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w:t>
      </w:r>
      <w:r>
        <w:rPr>
          <w:rFonts w:hint="eastAsia" w:ascii="仿宋_GB2312" w:eastAsia="仿宋_GB2312" w:cs="DengXian-Regular"/>
          <w:sz w:val="32"/>
          <w:szCs w:val="32"/>
        </w:rPr>
        <w:t>无本单位组织的出国（境）团组。</w:t>
      </w:r>
      <w:r>
        <w:rPr>
          <w:rFonts w:hint="eastAsia" w:eastAsia="仿宋_GB2312"/>
          <w:sz w:val="32"/>
          <w:szCs w:val="32"/>
          <w:lang w:eastAsia="zh-CN"/>
        </w:rPr>
        <w:t>未发生因公出国（镜）费用，未发生公务接待费用，较年初预算无增减变化，与</w:t>
      </w:r>
      <w:r>
        <w:rPr>
          <w:rFonts w:hint="eastAsia" w:eastAsia="仿宋_GB2312"/>
          <w:sz w:val="32"/>
          <w:szCs w:val="32"/>
          <w:lang w:val="en-US" w:eastAsia="zh-CN"/>
        </w:rPr>
        <w:t>2017年度决算无增减变化</w:t>
      </w:r>
      <w:r>
        <w:rPr>
          <w:rFonts w:hint="eastAsia" w:eastAsia="仿宋_GB2312"/>
          <w:sz w:val="32"/>
          <w:szCs w:val="32"/>
          <w:lang w:eastAsia="zh-CN"/>
        </w:rPr>
        <w:t>。</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35.84</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27.86</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43.74</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公车维修费用减少</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14.01</w:t>
      </w:r>
      <w:r>
        <w:rPr>
          <w:rFonts w:eastAsia="仿宋_GB2312"/>
          <w:sz w:val="32"/>
          <w:szCs w:val="32"/>
        </w:rPr>
        <w:t>万元，</w:t>
      </w:r>
      <w:r>
        <w:rPr>
          <w:rFonts w:hint="eastAsia" w:eastAsia="仿宋_GB2312"/>
          <w:sz w:val="32"/>
          <w:szCs w:val="32"/>
          <w:lang w:eastAsia="zh-CN"/>
        </w:rPr>
        <w:t>降低</w:t>
      </w:r>
      <w:r>
        <w:rPr>
          <w:rFonts w:hint="eastAsia" w:eastAsia="仿宋_GB2312"/>
          <w:sz w:val="32"/>
          <w:szCs w:val="32"/>
          <w:lang w:val="en-US" w:eastAsia="zh-CN"/>
        </w:rPr>
        <w:t>28.1</w:t>
      </w:r>
      <w:r>
        <w:rPr>
          <w:rFonts w:eastAsia="仿宋_GB2312"/>
          <w:sz w:val="32"/>
          <w:szCs w:val="32"/>
        </w:rPr>
        <w:t>%，主要是</w:t>
      </w:r>
      <w:r>
        <w:rPr>
          <w:rFonts w:hint="eastAsia" w:eastAsia="仿宋_GB2312"/>
          <w:sz w:val="32"/>
          <w:szCs w:val="32"/>
          <w:lang w:eastAsia="zh-CN"/>
        </w:rPr>
        <w:t>公车维修费用减少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eastAsia="zh-CN"/>
        </w:rPr>
        <w:t>未发生公务用车购置费用，较年初预算无增减变化，与</w:t>
      </w:r>
      <w:r>
        <w:rPr>
          <w:rFonts w:hint="eastAsia" w:eastAsia="仿宋_GB2312"/>
          <w:sz w:val="32"/>
          <w:szCs w:val="32"/>
          <w:lang w:val="en-US" w:eastAsia="zh-CN"/>
        </w:rPr>
        <w:t>2017年度决算无增减变化</w:t>
      </w:r>
      <w:r>
        <w:rPr>
          <w:rFonts w:hint="eastAsia" w:eastAsia="仿宋_GB2312"/>
          <w:sz w:val="32"/>
          <w:szCs w:val="32"/>
          <w:lang w:eastAsia="zh-CN"/>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35.84</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27.86</w:t>
      </w:r>
      <w:r>
        <w:rPr>
          <w:rFonts w:eastAsia="仿宋_GB2312"/>
          <w:sz w:val="32"/>
          <w:szCs w:val="32"/>
        </w:rPr>
        <w:t>万元，降低</w:t>
      </w:r>
      <w:r>
        <w:rPr>
          <w:rFonts w:hint="eastAsia" w:eastAsia="仿宋_GB2312"/>
          <w:sz w:val="32"/>
          <w:szCs w:val="32"/>
          <w:lang w:val="en-US" w:eastAsia="zh-CN"/>
        </w:rPr>
        <w:t>43.73</w:t>
      </w:r>
      <w:r>
        <w:rPr>
          <w:rFonts w:eastAsia="仿宋_GB2312"/>
          <w:sz w:val="32"/>
          <w:szCs w:val="32"/>
        </w:rPr>
        <w:t>%，主要是</w:t>
      </w:r>
      <w:r>
        <w:rPr>
          <w:rFonts w:hint="eastAsia" w:eastAsia="仿宋_GB2312"/>
          <w:sz w:val="32"/>
          <w:szCs w:val="32"/>
          <w:lang w:eastAsia="zh-CN"/>
        </w:rPr>
        <w:t>公车维修费用减少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14.01</w:t>
      </w:r>
      <w:r>
        <w:rPr>
          <w:rFonts w:eastAsia="仿宋_GB2312"/>
          <w:sz w:val="32"/>
          <w:szCs w:val="32"/>
        </w:rPr>
        <w:t>万元，</w:t>
      </w:r>
      <w:r>
        <w:rPr>
          <w:rFonts w:hint="eastAsia" w:eastAsia="仿宋_GB2312"/>
          <w:sz w:val="32"/>
          <w:szCs w:val="32"/>
          <w:lang w:eastAsia="zh-CN"/>
        </w:rPr>
        <w:t>降低</w:t>
      </w:r>
      <w:r>
        <w:rPr>
          <w:rFonts w:hint="eastAsia" w:eastAsia="仿宋_GB2312"/>
          <w:sz w:val="32"/>
          <w:szCs w:val="32"/>
          <w:lang w:val="en-US" w:eastAsia="zh-CN"/>
        </w:rPr>
        <w:t>28.1</w:t>
      </w:r>
      <w:r>
        <w:rPr>
          <w:rFonts w:eastAsia="仿宋_GB2312"/>
          <w:sz w:val="32"/>
          <w:szCs w:val="32"/>
        </w:rPr>
        <w:t>%，主要是</w:t>
      </w:r>
      <w:r>
        <w:rPr>
          <w:rFonts w:hint="eastAsia" w:eastAsia="仿宋_GB2312"/>
          <w:sz w:val="32"/>
          <w:szCs w:val="32"/>
          <w:lang w:eastAsia="zh-CN"/>
        </w:rPr>
        <w:t>公车维修费用减少</w:t>
      </w:r>
      <w:r>
        <w:rPr>
          <w:rFonts w:eastAsia="仿宋_GB2312"/>
          <w:sz w:val="32"/>
          <w:szCs w:val="32"/>
        </w:rPr>
        <w:t>。</w:t>
      </w:r>
    </w:p>
    <w:p>
      <w:pPr>
        <w:adjustRightInd w:val="0"/>
        <w:snapToGrid w:val="0"/>
        <w:spacing w:line="584" w:lineRule="exact"/>
        <w:ind w:firstLine="643" w:firstLineChars="200"/>
        <w:rPr>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w:t>
      </w:r>
      <w:r>
        <w:rPr>
          <w:rFonts w:hint="eastAsia" w:eastAsia="仿宋_GB2312"/>
          <w:sz w:val="32"/>
          <w:szCs w:val="32"/>
          <w:lang w:eastAsia="zh-CN"/>
        </w:rPr>
        <w:t>未发生公务接待费用，较年初预算无增减变化，与</w:t>
      </w:r>
      <w:r>
        <w:rPr>
          <w:rFonts w:hint="eastAsia" w:eastAsia="仿宋_GB2312"/>
          <w:sz w:val="32"/>
          <w:szCs w:val="32"/>
          <w:lang w:val="en-US" w:eastAsia="zh-CN"/>
        </w:rPr>
        <w:t>2017年度决算无增减变化</w:t>
      </w:r>
      <w:r>
        <w:rPr>
          <w:rFonts w:hint="eastAsia" w:eastAsia="仿宋_GB2312"/>
          <w:sz w:val="32"/>
          <w:szCs w:val="32"/>
          <w:lang w:eastAsia="zh-CN"/>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根据预算绩效管理要求，本部门组织对201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年度一般公共预算项目支出全面开展绩效自评，其中，一级项目</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个，二级项目</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个，共涉及资金</w:t>
      </w:r>
      <w:r>
        <w:rPr>
          <w:rFonts w:hint="eastAsia" w:ascii="Times New Roman" w:hAnsi="Times New Roman" w:eastAsia="仿宋_GB2312" w:cs="Times New Roman"/>
          <w:sz w:val="32"/>
          <w:szCs w:val="32"/>
          <w:lang w:val="en-US" w:eastAsia="zh-CN"/>
        </w:rPr>
        <w:t>833.05</w:t>
      </w:r>
      <w:r>
        <w:rPr>
          <w:rFonts w:hint="eastAsia" w:ascii="Times New Roman" w:hAnsi="Times New Roman" w:eastAsia="仿宋_GB2312" w:cs="Times New Roman"/>
          <w:sz w:val="32"/>
          <w:szCs w:val="32"/>
        </w:rPr>
        <w:t>万元，占一般公共预算项目支出总额的</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rPr>
        <w:t>。组织对“</w:t>
      </w:r>
      <w:r>
        <w:rPr>
          <w:rFonts w:hint="eastAsia" w:ascii="Times New Roman" w:hAnsi="Times New Roman" w:eastAsia="仿宋_GB2312" w:cs="Times New Roman"/>
          <w:sz w:val="32"/>
          <w:szCs w:val="32"/>
          <w:lang w:eastAsia="zh-CN"/>
        </w:rPr>
        <w:t>装备购置县级配套</w:t>
      </w:r>
      <w:r>
        <w:rPr>
          <w:rFonts w:hint="eastAsia"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个项目开展了部门评价，涉及一般公共预算支出</w:t>
      </w:r>
      <w:r>
        <w:rPr>
          <w:rFonts w:hint="eastAsia" w:ascii="Times New Roman" w:hAnsi="Times New Roman" w:eastAsia="仿宋_GB2312" w:cs="Times New Roman"/>
          <w:sz w:val="32"/>
          <w:szCs w:val="32"/>
          <w:lang w:val="en-US" w:eastAsia="zh-CN"/>
        </w:rPr>
        <w:t>11.58</w:t>
      </w:r>
      <w:r>
        <w:rPr>
          <w:rFonts w:hint="eastAsia" w:ascii="Times New Roman" w:hAnsi="Times New Roman" w:eastAsia="仿宋_GB2312" w:cs="Times New Roman"/>
          <w:sz w:val="32"/>
          <w:szCs w:val="32"/>
        </w:rPr>
        <w:t>万元，从评价情况来看，</w:t>
      </w:r>
      <w:r>
        <w:rPr>
          <w:rFonts w:hint="eastAsia" w:ascii="Times New Roman" w:hAnsi="Times New Roman" w:eastAsia="仿宋_GB2312" w:cs="Times New Roman"/>
          <w:sz w:val="32"/>
          <w:szCs w:val="32"/>
          <w:lang w:eastAsia="zh-CN"/>
        </w:rPr>
        <w:t>绩效评价基本让人满意。</w:t>
      </w:r>
    </w:p>
    <w:p>
      <w:pPr>
        <w:numPr>
          <w:ilvl w:val="0"/>
          <w:numId w:val="5"/>
        </w:numPr>
        <w:adjustRightInd w:val="0"/>
        <w:snapToGrid w:val="0"/>
        <w:spacing w:after="0" w:line="580" w:lineRule="exact"/>
        <w:ind w:left="-10" w:leftChars="0" w:firstLine="640" w:firstLineChars="0"/>
        <w:rPr>
          <w:rFonts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本部门在今年部门决算公开中反映</w:t>
      </w:r>
      <w:r>
        <w:rPr>
          <w:rFonts w:hint="eastAsia" w:ascii="Times New Roman" w:hAnsi="Times New Roman" w:eastAsia="仿宋_GB2312" w:cs="Times New Roman"/>
          <w:sz w:val="32"/>
          <w:szCs w:val="32"/>
          <w:lang w:eastAsia="zh-CN"/>
        </w:rPr>
        <w:t>装备购置县级配套</w:t>
      </w:r>
      <w:r>
        <w:rPr>
          <w:rFonts w:hint="eastAsia" w:ascii="Times New Roman" w:hAnsi="Times New Roman" w:eastAsia="仿宋_GB2312" w:cs="Times New Roman"/>
          <w:sz w:val="32"/>
          <w:szCs w:val="32"/>
        </w:rPr>
        <w:t>项目等</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个项目绩效自评结果。</w:t>
      </w:r>
    </w:p>
    <w:p>
      <w:pPr>
        <w:adjustRightInd w:val="0"/>
        <w:snapToGrid w:val="0"/>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装备购置县级配套</w:t>
      </w:r>
      <w:r>
        <w:rPr>
          <w:rFonts w:hint="eastAsia" w:ascii="Times New Roman" w:hAnsi="Times New Roman" w:eastAsia="仿宋_GB2312" w:cs="Times New Roman"/>
          <w:sz w:val="32"/>
          <w:szCs w:val="32"/>
        </w:rPr>
        <w:t>项目自评综述：根据年初设定的绩效目标，</w:t>
      </w:r>
      <w:r>
        <w:rPr>
          <w:rFonts w:hint="eastAsia" w:ascii="Times New Roman" w:hAnsi="Times New Roman" w:eastAsia="仿宋_GB2312" w:cs="Times New Roman"/>
          <w:sz w:val="32"/>
          <w:szCs w:val="32"/>
          <w:lang w:eastAsia="zh-CN"/>
        </w:rPr>
        <w:t>装备购置县级配套项目</w:t>
      </w:r>
      <w:r>
        <w:rPr>
          <w:rFonts w:hint="eastAsia" w:ascii="Times New Roman" w:hAnsi="Times New Roman" w:eastAsia="仿宋_GB2312" w:cs="Times New Roman"/>
          <w:sz w:val="32"/>
          <w:szCs w:val="32"/>
        </w:rPr>
        <w:t>绩效自评得分为</w:t>
      </w:r>
      <w:r>
        <w:rPr>
          <w:rFonts w:hint="eastAsia" w:ascii="Times New Roman" w:hAnsi="Times New Roman" w:eastAsia="仿宋_GB2312" w:cs="Times New Roman"/>
          <w:sz w:val="32"/>
          <w:szCs w:val="32"/>
          <w:lang w:val="en-US" w:eastAsia="zh-CN"/>
        </w:rPr>
        <w:t>9.5</w:t>
      </w:r>
      <w:r>
        <w:rPr>
          <w:rFonts w:hint="eastAsia" w:ascii="Times New Roman" w:hAnsi="Times New Roman" w:eastAsia="仿宋_GB2312" w:cs="Times New Roman"/>
          <w:sz w:val="32"/>
          <w:szCs w:val="32"/>
        </w:rPr>
        <w:t>分。全年预算数为</w:t>
      </w:r>
      <w:r>
        <w:rPr>
          <w:rFonts w:hint="eastAsia" w:ascii="Times New Roman" w:hAnsi="Times New Roman" w:eastAsia="仿宋_GB2312" w:cs="Times New Roman"/>
          <w:sz w:val="32"/>
          <w:szCs w:val="32"/>
          <w:lang w:val="en-US" w:eastAsia="zh-CN"/>
        </w:rPr>
        <w:t>11.58</w:t>
      </w:r>
      <w:r>
        <w:rPr>
          <w:rFonts w:hint="eastAsia" w:ascii="Times New Roman" w:hAnsi="Times New Roman" w:eastAsia="仿宋_GB2312" w:cs="Times New Roman"/>
          <w:sz w:val="32"/>
          <w:szCs w:val="32"/>
        </w:rPr>
        <w:t>万元，执行数为</w:t>
      </w:r>
      <w:r>
        <w:rPr>
          <w:rFonts w:hint="eastAsia" w:ascii="Times New Roman" w:hAnsi="Times New Roman" w:eastAsia="仿宋_GB2312" w:cs="Times New Roman"/>
          <w:sz w:val="32"/>
          <w:szCs w:val="32"/>
          <w:lang w:val="en-US" w:eastAsia="zh-CN"/>
        </w:rPr>
        <w:t>11.58</w:t>
      </w:r>
      <w:r>
        <w:rPr>
          <w:rFonts w:hint="eastAsia" w:ascii="Times New Roman" w:hAnsi="Times New Roman" w:eastAsia="仿宋_GB2312" w:cs="Times New Roman"/>
          <w:sz w:val="32"/>
          <w:szCs w:val="32"/>
        </w:rPr>
        <w:t>万元，完成预算的</w:t>
      </w:r>
      <w:r>
        <w:rPr>
          <w:rFonts w:hint="eastAsia" w:ascii="Times New Roman" w:hAnsi="Times New Roman" w:eastAsia="仿宋_GB2312" w:cs="Times New Roman"/>
          <w:sz w:val="32"/>
          <w:szCs w:val="32"/>
          <w:lang w:val="en-US" w:eastAsia="zh-CN"/>
        </w:rPr>
        <w:t>98.59%</w:t>
      </w:r>
      <w:r>
        <w:rPr>
          <w:rFonts w:hint="eastAsia" w:ascii="Times New Roman" w:hAnsi="Times New Roman" w:eastAsia="仿宋_GB2312" w:cs="Times New Roman"/>
          <w:sz w:val="32"/>
          <w:szCs w:val="32"/>
        </w:rPr>
        <w:t>。项目绩效目标完成情况：一是</w:t>
      </w:r>
      <w:r>
        <w:rPr>
          <w:rFonts w:hint="eastAsia" w:ascii="Times New Roman" w:hAnsi="Times New Roman" w:eastAsia="仿宋_GB2312" w:cs="Times New Roman"/>
          <w:sz w:val="32"/>
          <w:szCs w:val="32"/>
        </w:rPr>
        <w:drawing>
          <wp:inline distT="0" distB="0" distL="114300" distR="114300">
            <wp:extent cx="635" cy="0"/>
            <wp:effectExtent l="0" t="0" r="0" b="0"/>
            <wp:docPr id="10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73"/>
                    <pic:cNvPicPr>
                      <a:picLocks noChangeAspect="1"/>
                    </pic:cNvPicPr>
                  </pic:nvPicPr>
                  <pic:blipFill>
                    <a:blip r:embed="rId8"/>
                    <a:stretch>
                      <a:fillRect/>
                    </a:stretch>
                  </pic:blipFill>
                  <pic:spPr>
                    <a:xfrm>
                      <a:off x="0" y="0"/>
                      <a:ext cx="635" cy="0"/>
                    </a:xfrm>
                    <a:prstGeom prst="rect">
                      <a:avLst/>
                    </a:prstGeom>
                    <a:noFill/>
                    <a:ln w="9525" cap="flat" cmpd="sng">
                      <a:noFill/>
                      <a:prstDash val="solid"/>
                      <a:miter/>
                    </a:ln>
                  </pic:spPr>
                </pic:pic>
              </a:graphicData>
            </a:graphic>
          </wp:inline>
        </w:drawing>
      </w:r>
      <w:r>
        <w:rPr>
          <w:rFonts w:hint="eastAsia" w:ascii="Times New Roman" w:hAnsi="Times New Roman" w:eastAsia="仿宋_GB2312" w:cs="Times New Roman"/>
          <w:sz w:val="32"/>
          <w:szCs w:val="32"/>
        </w:rPr>
        <w:drawing>
          <wp:inline distT="0" distB="0" distL="114300" distR="114300">
            <wp:extent cx="635" cy="0"/>
            <wp:effectExtent l="0" t="0" r="0" b="0"/>
            <wp:docPr id="105"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4"/>
                    <pic:cNvPicPr>
                      <a:picLocks noChangeAspect="1"/>
                    </pic:cNvPicPr>
                  </pic:nvPicPr>
                  <pic:blipFill>
                    <a:blip r:embed="rId8"/>
                    <a:stretch>
                      <a:fillRect/>
                    </a:stretch>
                  </pic:blipFill>
                  <pic:spPr>
                    <a:xfrm>
                      <a:off x="0" y="0"/>
                      <a:ext cx="635" cy="0"/>
                    </a:xfrm>
                    <a:prstGeom prst="rect">
                      <a:avLst/>
                    </a:prstGeom>
                    <a:noFill/>
                    <a:ln w="9525" cap="flat" cmpd="sng">
                      <a:noFill/>
                      <a:prstDash val="solid"/>
                      <a:miter/>
                    </a:ln>
                  </pic:spPr>
                </pic:pic>
              </a:graphicData>
            </a:graphic>
          </wp:inline>
        </w:drawing>
      </w:r>
      <w:r>
        <w:rPr>
          <w:rFonts w:hint="eastAsia" w:ascii="Times New Roman" w:hAnsi="Times New Roman" w:eastAsia="仿宋_GB2312" w:cs="Times New Roman"/>
          <w:sz w:val="32"/>
          <w:szCs w:val="32"/>
          <w:lang w:eastAsia="zh-CN"/>
        </w:rPr>
        <w:t>经济效益、实现节能减排</w:t>
      </w:r>
      <w:r>
        <w:rPr>
          <w:rFonts w:hint="eastAsia" w:ascii="Times New Roman" w:hAnsi="Times New Roman" w:eastAsia="仿宋_GB2312" w:cs="Times New Roman"/>
          <w:sz w:val="32"/>
          <w:szCs w:val="32"/>
        </w:rPr>
        <w:t>；二是</w:t>
      </w:r>
      <w:r>
        <w:rPr>
          <w:rFonts w:hint="eastAsia" w:ascii="Times New Roman" w:hAnsi="Times New Roman" w:eastAsia="仿宋_GB2312" w:cs="Times New Roman"/>
          <w:sz w:val="32"/>
          <w:szCs w:val="32"/>
          <w:lang w:eastAsia="zh-CN"/>
        </w:rPr>
        <w:t>社会效益，提高干警社会满意度</w:t>
      </w:r>
      <w:r>
        <w:rPr>
          <w:rFonts w:hint="eastAsia" w:ascii="Times New Roman" w:hAnsi="Times New Roman" w:eastAsia="仿宋_GB2312" w:cs="Times New Roman"/>
          <w:sz w:val="32"/>
          <w:szCs w:val="32"/>
        </w:rPr>
        <w:t>。</w:t>
      </w:r>
    </w:p>
    <w:p>
      <w:pPr>
        <w:numPr>
          <w:ilvl w:val="0"/>
          <w:numId w:val="0"/>
        </w:numPr>
        <w:adjustRightInd w:val="0"/>
        <w:snapToGrid w:val="0"/>
        <w:spacing w:after="0" w:line="580" w:lineRule="exact"/>
        <w:ind w:left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151002大城县人民检察院                                     单位：万元</w:t>
      </w:r>
    </w:p>
    <w:tbl>
      <w:tblPr>
        <w:tblStyle w:val="7"/>
        <w:tblW w:w="9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3"/>
        <w:gridCol w:w="928"/>
        <w:gridCol w:w="838"/>
        <w:gridCol w:w="3047"/>
        <w:gridCol w:w="2077"/>
        <w:gridCol w:w="673"/>
        <w:gridCol w:w="315"/>
        <w:gridCol w:w="300"/>
        <w:gridCol w:w="434"/>
        <w:gridCol w:w="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职责名称</w:t>
            </w:r>
          </w:p>
        </w:tc>
        <w:tc>
          <w:tcPr>
            <w:tcW w:w="928"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tabs>
                <w:tab w:val="left" w:pos="228"/>
              </w:tabs>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年度预算数</w:t>
            </w:r>
          </w:p>
        </w:tc>
        <w:tc>
          <w:tcPr>
            <w:tcW w:w="838"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活动名称</w:t>
            </w:r>
          </w:p>
        </w:tc>
        <w:tc>
          <w:tcPr>
            <w:tcW w:w="3047"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活动描述</w:t>
            </w:r>
          </w:p>
        </w:tc>
        <w:tc>
          <w:tcPr>
            <w:tcW w:w="2077"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绩效目标</w:t>
            </w:r>
          </w:p>
        </w:tc>
        <w:tc>
          <w:tcPr>
            <w:tcW w:w="673"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绩效指标</w:t>
            </w:r>
          </w:p>
        </w:tc>
        <w:tc>
          <w:tcPr>
            <w:tcW w:w="315"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优</w:t>
            </w:r>
          </w:p>
        </w:tc>
        <w:tc>
          <w:tcPr>
            <w:tcW w:w="300"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良</w:t>
            </w:r>
          </w:p>
        </w:tc>
        <w:tc>
          <w:tcPr>
            <w:tcW w:w="434"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w:t>
            </w:r>
          </w:p>
        </w:tc>
        <w:tc>
          <w:tcPr>
            <w:tcW w:w="315" w:type="dxa"/>
            <w:tcBorders>
              <w:top w:val="single" w:color="000000" w:sz="4" w:space="0"/>
              <w:left w:val="single" w:color="000000" w:sz="4" w:space="0"/>
              <w:bottom w:val="single" w:color="000000" w:sz="4" w:space="0"/>
              <w:right w:val="single" w:color="000000" w:sz="4" w:space="0"/>
            </w:tcBorders>
            <w:shd w:val="clear" w:color="auto" w:fill="E4ECF7"/>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0" w:hRule="atLeast"/>
        </w:trPr>
        <w:tc>
          <w:tcPr>
            <w:tcW w:w="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查办和预防职务犯罪</w:t>
            </w:r>
          </w:p>
        </w:tc>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查办职务犯罪</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组织指挥或参与办理重大职务犯罪案件的侦查及个案协查工作；分析全省职务犯罪的特点和规律，提出对策；承办下级检察院反贪反渎工作中重大、疑难问题请示；研究制定全省反贪反渎检察业务工作细则、规定；指导全省在逃职务犯罪案件追逃追赃工作，推进全省侦查信息化和装备现代化建设。</w:t>
            </w:r>
          </w:p>
        </w:tc>
        <w:tc>
          <w:tcPr>
            <w:tcW w:w="20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预防职务犯罪</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履行检察机关重要的法律监督职能，采取多种方式，预防可能发生的职务犯罪。</w:t>
            </w:r>
          </w:p>
        </w:tc>
        <w:tc>
          <w:tcPr>
            <w:tcW w:w="20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检察监督</w:t>
            </w:r>
          </w:p>
        </w:tc>
        <w:tc>
          <w:tcPr>
            <w:tcW w:w="92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127.7</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侦查监督</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侦查监督职能的行使贯穿刑事立案到侦查终结全过程。主要包括审查逮捕、立案监督和侦查活动监督等职能。</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保障人权、维护司法公正，有效提高批捕、批准立案、批延准确率</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侦查监督完成率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公诉和审判监督</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审查起诉；对上诉、抗诉案件及再审案件进行审查；出庭支持公诉</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全面审查案件事实，核实证据，依法提起公诉、出庭提出审查意见，提高公诉案件审结率、出庭意见采纳率</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提起公诉完成率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70%</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民事行政诉讼监督</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依法对民事诉讼和行政诉讼实行法律监督，维护司法公正和司法权威，保障国家法律的统一正确实施</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有效实施民事案件审判监督，维护司法公正和司法权威，保障国家法律的统一正确实施</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抗诉案件再审改变率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60%</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刑事执行检察</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保障刑罚执行和监管活动的依法有序进行</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全市排名</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5"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未成年人刑事检察</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完成移交未成年人案件侦查监督任务，有效实施未成年人案件审判监督，依法保护刑事案件未成年被害人的合法权益</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出庭意见采纳率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司法辅助</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保障办案安全；开展全县检察机关技术工作和物证检验、鉴定、审核等工作。</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控告和刑事申诉检察</w:t>
            </w:r>
          </w:p>
        </w:tc>
        <w:tc>
          <w:tcPr>
            <w:tcW w:w="92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18.13</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涉检信访办理</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构建依法有序信访秩序，及时依法解决群众诉求</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涉检信访案件办结率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举报管理、涉检国家赔偿和司法救助</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受理初核对国家工作人员职务犯罪的举报；统一办理人民检察院作为赔偿义务机关的刑事赔偿案件，对人民法院赔偿委员会判决、裁定进行监督，开展司法救助工作。</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加强和改进举报工作，保护申诉人合法权益，保护被赔偿人和被救助人合法权益</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息诉罢访率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5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检察事务管理</w:t>
            </w:r>
          </w:p>
        </w:tc>
        <w:tc>
          <w:tcPr>
            <w:tcW w:w="9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882.22</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综合业务管理</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提高执法水平和办案质量、提升检察机关法律监督能力</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各项检察综合业务管理工作完成率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综合事务管理</w:t>
            </w:r>
          </w:p>
        </w:tc>
        <w:tc>
          <w:tcPr>
            <w:tcW w:w="3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开展全县检察人员的教育培训工作和对外交流工作；进行检察装备建设及维护；配备制式检察服装及法警服装；进行基础设施建设和维护。</w:t>
            </w:r>
          </w:p>
        </w:tc>
        <w:tc>
          <w:tcPr>
            <w:tcW w:w="2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为检察工作顺利开展提供检务保障</w:t>
            </w:r>
          </w:p>
        </w:tc>
        <w:tc>
          <w:tcPr>
            <w:tcW w:w="6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各项检务保障工作完成率</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r>
    </w:tbl>
    <w:p>
      <w:pPr>
        <w:numPr>
          <w:ilvl w:val="0"/>
          <w:numId w:val="5"/>
        </w:numPr>
        <w:adjustRightInd w:val="0"/>
        <w:snapToGrid w:val="0"/>
        <w:spacing w:after="0" w:line="580" w:lineRule="exact"/>
        <w:ind w:left="-10" w:leftChars="0" w:firstLine="640" w:firstLineChars="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重点项目绩效评价结果</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我部门按照预算绩效管理改革要求，以绩效为导向，严格执行绩效预算管理。201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年，按照省市文件要求，我单位制定了部门职责、工作活动及绩效评价指标，对预算项目执行及工作活动进行了绩效评价，并将绩效评价结果应用到实际工作中，进一步提升了部门预算绩效管理工作水平。着重对装备购置县级配套进行绩效评价，经过评价公开评价效果为优秀。</w:t>
      </w:r>
    </w:p>
    <w:p>
      <w:pPr>
        <w:numPr>
          <w:ilvl w:val="0"/>
          <w:numId w:val="0"/>
        </w:numPr>
        <w:adjustRightInd w:val="0"/>
        <w:snapToGrid w:val="0"/>
        <w:spacing w:after="0" w:line="580" w:lineRule="exact"/>
        <w:ind w:left="630" w:leftChars="0"/>
        <w:rPr>
          <w:rFonts w:hint="eastAsia" w:ascii="仿宋_GB2312" w:eastAsia="仿宋_GB2312" w:cs="DengXian-Regular"/>
          <w:sz w:val="32"/>
          <w:szCs w:val="32"/>
          <w:lang w:eastAsia="zh-CN"/>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color w:val="000000"/>
        </w:rPr>
      </w:pPr>
      <w:r>
        <w:rPr>
          <w:rFonts w:hint="eastAsia" w:ascii="楷体_GB2312" w:eastAsia="楷体_GB2312" w:cs="DengXian-Bold"/>
          <w:color w:val="000000"/>
        </w:rPr>
        <w:t>（一）机关运行经费情况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本部门2018年度机关运行经费支出</w:t>
      </w:r>
      <w:r>
        <w:rPr>
          <w:rFonts w:hint="eastAsia" w:ascii="Times New Roman" w:hAnsi="Times New Roman" w:eastAsia="仿宋_GB2312" w:cs="Times New Roman"/>
          <w:sz w:val="32"/>
          <w:szCs w:val="32"/>
          <w:lang w:val="en-US" w:eastAsia="zh-CN"/>
        </w:rPr>
        <w:t>60.77</w:t>
      </w:r>
      <w:r>
        <w:rPr>
          <w:rFonts w:hint="eastAsia" w:ascii="Times New Roman" w:hAnsi="Times New Roman" w:eastAsia="仿宋_GB2312" w:cs="Times New Roman"/>
          <w:sz w:val="32"/>
          <w:szCs w:val="32"/>
          <w:lang w:eastAsia="zh-CN"/>
        </w:rPr>
        <w:t>万元，比年初预算数减少</w:t>
      </w:r>
      <w:r>
        <w:rPr>
          <w:rFonts w:hint="eastAsia" w:ascii="Times New Roman" w:hAnsi="Times New Roman" w:eastAsia="仿宋_GB2312" w:cs="Times New Roman"/>
          <w:sz w:val="32"/>
          <w:szCs w:val="32"/>
          <w:lang w:val="en-US" w:eastAsia="zh-CN"/>
        </w:rPr>
        <w:t>2.79</w:t>
      </w:r>
      <w:r>
        <w:rPr>
          <w:rFonts w:hint="eastAsia" w:ascii="Times New Roman" w:hAnsi="Times New Roman" w:eastAsia="仿宋_GB2312" w:cs="Times New Roman"/>
          <w:sz w:val="32"/>
          <w:szCs w:val="32"/>
          <w:lang w:eastAsia="zh-CN"/>
        </w:rPr>
        <w:t>万元，降低</w:t>
      </w:r>
      <w:r>
        <w:rPr>
          <w:rFonts w:hint="eastAsia" w:ascii="Times New Roman" w:hAnsi="Times New Roman" w:eastAsia="仿宋_GB2312" w:cs="Times New Roman"/>
          <w:sz w:val="32"/>
          <w:szCs w:val="32"/>
          <w:lang w:val="en-US" w:eastAsia="zh-CN"/>
        </w:rPr>
        <w:t>4.39</w:t>
      </w:r>
      <w:r>
        <w:rPr>
          <w:rFonts w:hint="eastAsia" w:ascii="Times New Roman" w:hAnsi="Times New Roman" w:eastAsia="仿宋_GB2312" w:cs="Times New Roman"/>
          <w:sz w:val="32"/>
          <w:szCs w:val="32"/>
          <w:lang w:eastAsia="zh-CN"/>
        </w:rPr>
        <w:t xml:space="preserve"> %。主要是我院开源节流，日常运行费用降低。较2017年度决算增加</w:t>
      </w:r>
      <w:r>
        <w:rPr>
          <w:rFonts w:hint="eastAsia" w:ascii="Times New Roman" w:hAnsi="Times New Roman" w:eastAsia="仿宋_GB2312" w:cs="Times New Roman"/>
          <w:sz w:val="32"/>
          <w:szCs w:val="32"/>
          <w:lang w:val="en-US" w:eastAsia="zh-CN"/>
        </w:rPr>
        <w:t>6.53</w:t>
      </w:r>
      <w:r>
        <w:rPr>
          <w:rFonts w:hint="eastAsia" w:ascii="Times New Roman" w:hAnsi="Times New Roman" w:eastAsia="仿宋_GB2312" w:cs="Times New Roman"/>
          <w:sz w:val="32"/>
          <w:szCs w:val="32"/>
          <w:lang w:eastAsia="zh-CN"/>
        </w:rPr>
        <w:t>万元，增长</w:t>
      </w:r>
      <w:r>
        <w:rPr>
          <w:rFonts w:hint="eastAsia" w:ascii="Times New Roman" w:hAnsi="Times New Roman" w:eastAsia="仿宋_GB2312" w:cs="Times New Roman"/>
          <w:sz w:val="32"/>
          <w:szCs w:val="32"/>
          <w:lang w:val="en-US" w:eastAsia="zh-CN"/>
        </w:rPr>
        <w:t>12.04</w:t>
      </w:r>
      <w:r>
        <w:rPr>
          <w:rFonts w:hint="eastAsia" w:ascii="Times New Roman" w:hAnsi="Times New Roman" w:eastAsia="仿宋_GB2312" w:cs="Times New Roman"/>
          <w:sz w:val="32"/>
          <w:szCs w:val="32"/>
          <w:lang w:eastAsia="zh-CN"/>
        </w:rPr>
        <w:t>%，主要是我院办案量增加，人员增加，日常所需费用增加。</w:t>
      </w:r>
    </w:p>
    <w:p>
      <w:pPr>
        <w:pStyle w:val="4"/>
        <w:spacing w:before="0" w:after="0" w:line="580" w:lineRule="exact"/>
        <w:ind w:firstLine="643" w:firstLineChars="200"/>
        <w:rPr>
          <w:rFonts w:ascii="楷体_GB2312" w:eastAsia="楷体_GB2312" w:cs="DengXian-Bold"/>
          <w:color w:val="000000"/>
        </w:rPr>
      </w:pPr>
      <w:r>
        <w:rPr>
          <w:rFonts w:hint="eastAsia" w:ascii="楷体_GB2312" w:eastAsia="楷体_GB2312" w:cs="DengXian-Bold"/>
          <w:color w:val="000000"/>
        </w:rPr>
        <w:t>（二）政府采购情况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本部门2018年度政府采购支出总额</w:t>
      </w:r>
      <w:r>
        <w:rPr>
          <w:rFonts w:hint="eastAsia" w:ascii="Times New Roman" w:hAnsi="Times New Roman" w:eastAsia="仿宋_GB2312" w:cs="Times New Roman"/>
          <w:sz w:val="32"/>
          <w:szCs w:val="32"/>
          <w:lang w:val="en-US" w:eastAsia="zh-CN"/>
        </w:rPr>
        <w:t>149.39</w:t>
      </w:r>
      <w:r>
        <w:rPr>
          <w:rFonts w:hint="eastAsia" w:ascii="Times New Roman" w:hAnsi="Times New Roman" w:eastAsia="仿宋_GB2312" w:cs="Times New Roman"/>
          <w:sz w:val="32"/>
          <w:szCs w:val="32"/>
          <w:lang w:eastAsia="zh-CN"/>
        </w:rPr>
        <w:t>万元，从采购类型来看，政府采购货物支出</w:t>
      </w:r>
      <w:r>
        <w:rPr>
          <w:rFonts w:hint="eastAsia" w:ascii="Times New Roman" w:hAnsi="Times New Roman" w:eastAsia="仿宋_GB2312" w:cs="Times New Roman"/>
          <w:sz w:val="32"/>
          <w:szCs w:val="32"/>
          <w:lang w:val="en-US" w:eastAsia="zh-CN"/>
        </w:rPr>
        <w:t>149.39</w:t>
      </w:r>
      <w:r>
        <w:rPr>
          <w:rFonts w:hint="eastAsia" w:ascii="Times New Roman" w:hAnsi="Times New Roman" w:eastAsia="仿宋_GB2312" w:cs="Times New Roman"/>
          <w:sz w:val="32"/>
          <w:szCs w:val="32"/>
          <w:lang w:eastAsia="zh-CN"/>
        </w:rPr>
        <w:t>万元、政府采购工程支出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 xml:space="preserve">万元、政府采购服务支出 </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w:t>
      </w:r>
      <w:r>
        <w:rPr>
          <w:rFonts w:hint="eastAsia" w:ascii="仿宋" w:hAnsi="仿宋" w:eastAsia="仿宋" w:cs="仿宋"/>
          <w:color w:val="000000"/>
          <w:kern w:val="0"/>
          <w:sz w:val="32"/>
          <w:szCs w:val="32"/>
        </w:rPr>
        <w:t>授予中小企业合同金</w:t>
      </w:r>
      <w:r>
        <w:rPr>
          <w:rFonts w:hint="eastAsia" w:ascii="仿宋" w:hAnsi="仿宋" w:eastAsia="仿宋" w:cs="仿宋"/>
          <w:color w:val="000000"/>
          <w:kern w:val="0"/>
          <w:sz w:val="32"/>
          <w:szCs w:val="32"/>
          <w:lang w:val="en-US" w:eastAsia="zh-CN"/>
        </w:rPr>
        <w:t>131.39</w:t>
      </w:r>
      <w:r>
        <w:rPr>
          <w:rFonts w:hint="eastAsia" w:ascii="仿宋" w:hAnsi="仿宋" w:eastAsia="仿宋" w:cs="仿宋"/>
          <w:color w:val="000000"/>
          <w:kern w:val="0"/>
          <w:sz w:val="32"/>
          <w:szCs w:val="32"/>
        </w:rPr>
        <w:t>万元，占政府采购支出总额的</w:t>
      </w:r>
      <w:r>
        <w:rPr>
          <w:rFonts w:hint="eastAsia" w:ascii="仿宋" w:hAnsi="仿宋" w:eastAsia="仿宋" w:cs="仿宋"/>
          <w:color w:val="000000"/>
          <w:kern w:val="0"/>
          <w:sz w:val="32"/>
          <w:szCs w:val="32"/>
          <w:lang w:val="en-US" w:eastAsia="zh-CN"/>
        </w:rPr>
        <w:t>87.95</w:t>
      </w:r>
      <w:r>
        <w:rPr>
          <w:rFonts w:hint="eastAsia" w:ascii="仿宋" w:hAnsi="仿宋" w:eastAsia="仿宋" w:cs="仿宋"/>
          <w:color w:val="000000"/>
          <w:kern w:val="0"/>
          <w:sz w:val="32"/>
          <w:szCs w:val="32"/>
        </w:rPr>
        <w:t>%，其中授予小微企业合同金额</w:t>
      </w:r>
      <w:r>
        <w:rPr>
          <w:rFonts w:hint="eastAsia" w:ascii="仿宋" w:hAnsi="仿宋" w:eastAsia="仿宋" w:cs="仿宋"/>
          <w:color w:val="000000"/>
          <w:kern w:val="0"/>
          <w:sz w:val="32"/>
          <w:szCs w:val="32"/>
          <w:lang w:val="en-US" w:eastAsia="zh-CN"/>
        </w:rPr>
        <w:t>18</w:t>
      </w:r>
      <w:r>
        <w:rPr>
          <w:rFonts w:hint="eastAsia" w:ascii="仿宋" w:hAnsi="仿宋" w:eastAsia="仿宋" w:cs="仿宋"/>
          <w:color w:val="000000"/>
          <w:kern w:val="0"/>
          <w:sz w:val="32"/>
          <w:szCs w:val="32"/>
        </w:rPr>
        <w:t xml:space="preserve">万元，占政府采购支出总额的 </w:t>
      </w:r>
      <w:r>
        <w:rPr>
          <w:rFonts w:hint="eastAsia" w:ascii="仿宋" w:hAnsi="仿宋" w:eastAsia="仿宋" w:cs="仿宋"/>
          <w:color w:val="000000"/>
          <w:kern w:val="0"/>
          <w:sz w:val="32"/>
          <w:szCs w:val="32"/>
          <w:lang w:val="en-US" w:eastAsia="zh-CN"/>
        </w:rPr>
        <w:t>12.05</w:t>
      </w:r>
      <w:r>
        <w:rPr>
          <w:rFonts w:hint="eastAsia" w:ascii="仿宋" w:hAnsi="仿宋" w:eastAsia="仿宋" w:cs="仿宋"/>
          <w:color w:val="000000"/>
          <w:kern w:val="0"/>
          <w:sz w:val="32"/>
          <w:szCs w:val="32"/>
        </w:rPr>
        <w:t>%。</w:t>
      </w:r>
    </w:p>
    <w:p>
      <w:pPr>
        <w:pStyle w:val="4"/>
        <w:spacing w:before="0" w:after="0" w:line="580" w:lineRule="exact"/>
        <w:ind w:firstLine="643" w:firstLineChars="200"/>
        <w:rPr>
          <w:rFonts w:ascii="楷体_GB2312" w:eastAsia="楷体_GB2312" w:cs="DengXian-Bold"/>
          <w:color w:val="000000"/>
        </w:rPr>
      </w:pPr>
      <w:r>
        <w:rPr>
          <w:rFonts w:hint="eastAsia" w:ascii="楷体_GB2312" w:eastAsia="楷体_GB2312" w:cs="DengXian-Bold"/>
          <w:color w:val="000000"/>
        </w:rPr>
        <w:t>（三）国有资产占用情况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截至2018年12月31日，本部门共有车辆</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lang w:eastAsia="zh-CN"/>
        </w:rPr>
        <w:t>辆，较上年无变化。其中，副部（省）级及以上领导用车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辆，主要领导干部用车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辆，机要通信用车</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辆，应急保障用车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辆，执法执勤用车</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辆，特种专业技术用车</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辆，离退休干部用车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辆，其他用车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辆；单位价值50万元以上通用设备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台（套），单位价值100万元以上专用设备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1、本部门2018年度结余及结转资金</w:t>
      </w:r>
      <w:r>
        <w:rPr>
          <w:rFonts w:hint="eastAsia" w:ascii="Times New Roman" w:hAnsi="Times New Roman" w:eastAsia="仿宋_GB2312" w:cs="Times New Roman"/>
          <w:sz w:val="32"/>
          <w:szCs w:val="32"/>
          <w:lang w:val="en-US" w:eastAsia="zh-CN"/>
        </w:rPr>
        <w:t>452.72万元</w:t>
      </w:r>
      <w:r>
        <w:rPr>
          <w:rFonts w:hint="eastAsia" w:ascii="Times New Roman" w:hAnsi="Times New Roman" w:eastAsia="仿宋_GB2312" w:cs="Times New Roman"/>
          <w:sz w:val="32"/>
          <w:szCs w:val="32"/>
          <w:lang w:eastAsia="zh-CN"/>
        </w:rPr>
        <w:t>，结转资金为人员增资补助及部分项目资金。</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hint="eastAsia" w:ascii="Times New Roman" w:hAnsi="Times New Roman" w:eastAsia="仿宋_GB2312" w:cs="Times New Roman"/>
          <w:sz w:val="32"/>
          <w:szCs w:val="32"/>
          <w:lang w:eastAsia="zh-CN"/>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hAns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A00002EF" w:usb1="4000004B"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41529"/>
    <w:multiLevelType w:val="singleLevel"/>
    <w:tmpl w:val="94E41529"/>
    <w:lvl w:ilvl="0" w:tentative="0">
      <w:start w:val="1"/>
      <w:numFmt w:val="chineseCounting"/>
      <w:suff w:val="nothing"/>
      <w:lvlText w:val="%1、"/>
      <w:lvlJc w:val="left"/>
      <w:rPr>
        <w:rFonts w:hint="eastAsia"/>
      </w:rPr>
    </w:lvl>
  </w:abstractNum>
  <w:abstractNum w:abstractNumId="1">
    <w:nsid w:val="D1BD7E08"/>
    <w:multiLevelType w:val="singleLevel"/>
    <w:tmpl w:val="D1BD7E08"/>
    <w:lvl w:ilvl="0" w:tentative="0">
      <w:start w:val="1"/>
      <w:numFmt w:val="chineseCounting"/>
      <w:suff w:val="nothing"/>
      <w:lvlText w:val="（%1）"/>
      <w:lvlJc w:val="left"/>
      <w:pPr>
        <w:ind w:left="-10"/>
      </w:pPr>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59F68476"/>
    <w:multiLevelType w:val="singleLevel"/>
    <w:tmpl w:val="59F68476"/>
    <w:lvl w:ilvl="0" w:tentative="0">
      <w:start w:val="1"/>
      <w:numFmt w:val="decimal"/>
      <w:lvlText w:val="%1."/>
      <w:lvlJc w:val="left"/>
      <w:pPr>
        <w:tabs>
          <w:tab w:val="left" w:pos="312"/>
        </w:tabs>
      </w:pPr>
    </w:lvl>
  </w:abstractNum>
  <w:abstractNum w:abstractNumId="4">
    <w:nsid w:val="59F68848"/>
    <w:multiLevelType w:val="singleLevel"/>
    <w:tmpl w:val="59F68848"/>
    <w:lvl w:ilvl="0" w:tentative="0">
      <w:start w:val="3"/>
      <w:numFmt w:val="decimal"/>
      <w:lvlText w:val="%1."/>
      <w:lvlJc w:val="left"/>
      <w:pPr>
        <w:tabs>
          <w:tab w:val="left" w:pos="312"/>
        </w:tabs>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F5BAE"/>
    <w:rsid w:val="02D6241A"/>
    <w:rsid w:val="0E485DD8"/>
    <w:rsid w:val="1BA83611"/>
    <w:rsid w:val="21856FE3"/>
    <w:rsid w:val="28633190"/>
    <w:rsid w:val="33F32121"/>
    <w:rsid w:val="375B249F"/>
    <w:rsid w:val="3A1E5FF0"/>
    <w:rsid w:val="3B207BCB"/>
    <w:rsid w:val="5A0F3D16"/>
    <w:rsid w:val="5BCF7E22"/>
    <w:rsid w:val="611F5BAE"/>
    <w:rsid w:val="6D150719"/>
    <w:rsid w:val="7780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NULL"/><Relationship Id="rId7" Type="http://schemas.openxmlformats.org/officeDocument/2006/relationships/chart" Target="charts/chart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1875"/>
          <c:y val="0.172916666666667"/>
          <c:w val="0.3625"/>
          <c:h val="0.604166666666667"/>
        </c:manualLayout>
      </c:layout>
      <c:pieChart>
        <c:varyColors val="1"/>
        <c:ser>
          <c:idx val="0"/>
          <c:order val="0"/>
          <c:tx>
            <c:strRef>
              <c:f>[Book2]Sheet1!$B$1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[Book2]Sheet1!$A$2:$A$5</c:f>
              <c:strCache>
                <c:ptCount val="4"/>
                <c:pt idx="0">
                  <c:v>公共安全（类）支出</c:v>
                </c:pt>
                <c:pt idx="1">
                  <c:v>社会保障和就业支出</c:v>
                </c:pt>
                <c:pt idx="2">
                  <c:v>医疗卫生与计划生育支出</c:v>
                </c:pt>
                <c:pt idx="3">
                  <c:v>其他支出</c:v>
                </c:pt>
              </c:strCache>
            </c:strRef>
          </c:cat>
          <c:val>
            <c:numRef>
              <c:f>[Book2]Sheet1!$B$2:$B$5</c:f>
              <c:numCache>
                <c:formatCode>0.00%</c:formatCode>
                <c:ptCount val="4"/>
                <c:pt idx="0">
                  <c:v>0.772</c:v>
                </c:pt>
                <c:pt idx="1">
                  <c:v>0.0397</c:v>
                </c:pt>
                <c:pt idx="2" c:formatCode="0%">
                  <c:v>0.02</c:v>
                </c:pt>
                <c:pt idx="3">
                  <c:v>0.1683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2021-05-19T06:31:00Z</dcterms:created>
  <dc:creator>徐倩是小可愛</dc:creator>
  <cp:lastModifiedBy>songyan</cp:lastModifiedBy>
  <dcterms:modified xsi:type="dcterms:W3CDTF">2021-05-27T06:20:41Z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1F9DE7FE36E043A4A8050E5E98AE250F</vt:lpwstr>
  </property>
</Properties>
</file>