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楷体" w:eastAsia="楷体" w:cs="楷体"/>
          <w:b/>
          <w:sz w:val="44"/>
          <w:szCs w:val="44"/>
        </w:rPr>
        <w:sectPr>
          <w:pgSz w:w="11906" w:h="16838"/>
          <w:pgMar w:top="2098" w:right="1474" w:bottom="1985" w:left="1588" w:header="851" w:footer="992" w:gutter="0"/>
          <w:cols w:space="720" w:num="1"/>
          <w:docGrid w:type="lines" w:linePitch="312" w:charSpace="0"/>
        </w:sectPr>
      </w:pPr>
      <w:r>
        <w:rPr>
          <w:rFonts w:hint="eastAsia" w:eastAsia="楷体"/>
          <w:b/>
          <w:sz w:val="44"/>
          <w:szCs w:val="44"/>
        </w:rPr>
        <w:t>中共大城县委机构编制委员会办公室</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w:t>
      </w:r>
      <w:r>
        <w:rPr>
          <w:rFonts w:hint="eastAsia" w:eastAsia="黑体"/>
          <w:sz w:val="32"/>
          <w:szCs w:val="32"/>
        </w:rPr>
        <w:t xml:space="preserve">  </w:t>
      </w:r>
      <w:r>
        <w:rPr>
          <w:rFonts w:eastAsia="黑体"/>
          <w:sz w:val="32"/>
          <w:szCs w:val="32"/>
        </w:rPr>
        <w:t>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 xml:space="preserve"> </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w:t>
      </w:r>
      <w:r>
        <w:rPr>
          <w:rFonts w:hint="eastAsia" w:eastAsia="黑体"/>
          <w:sz w:val="32"/>
          <w:szCs w:val="32"/>
        </w:rPr>
        <w:t xml:space="preserve">  </w:t>
      </w:r>
      <w:r>
        <w:rPr>
          <w:rFonts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sz w:val="96"/>
          <w:szCs w:val="96"/>
        </w:rPr>
      </w:pPr>
      <w:r>
        <w:rPr>
          <w:rFonts w:hint="eastAsia" w:ascii="黑体" w:eastAsia="黑体"/>
          <w:color w:val="000000"/>
          <w:sz w:val="96"/>
          <w:szCs w:val="96"/>
        </w:rPr>
        <w:t>第一部分  部门概况</w:t>
      </w:r>
    </w:p>
    <w:p/>
    <w:p/>
    <w:p/>
    <w:p/>
    <w:p/>
    <w:p/>
    <w:p/>
    <w:p/>
    <w:p>
      <w:pPr>
        <w:pStyle w:val="2"/>
        <w:spacing w:before="0" w:after="0" w:line="60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98" w:lineRule="atLeast"/>
        <w:ind w:firstLine="639"/>
        <w:rPr>
          <w:rFonts w:ascii="仿宋_GB2312" w:eastAsia="仿宋_GB2312"/>
          <w:sz w:val="32"/>
        </w:rPr>
      </w:pPr>
      <w:r>
        <w:rPr>
          <w:rFonts w:hint="eastAsia" w:ascii="仿宋_GB2312" w:eastAsia="仿宋_GB2312"/>
          <w:sz w:val="32"/>
        </w:rPr>
        <w:t>（一）贯彻落实党中央、国务院和省委、省政府关于行政管理体制和机构改革以及机构编制管理的政策法规，组织拟订全县行政管理体制和机构改革以及机构编制管理的政策、规定并监督实施；管理和指导全县各级党政机关，人大、政协、法院、检察院机关，各民主党派、人民团体机关的机构编制工作；管理和指导全县事业单位机构编制工作。</w:t>
      </w:r>
    </w:p>
    <w:p>
      <w:pPr>
        <w:spacing w:line="598" w:lineRule="atLeast"/>
        <w:ind w:firstLine="639"/>
        <w:rPr>
          <w:rFonts w:ascii="仿宋_GB2312" w:eastAsia="仿宋_GB2312"/>
          <w:sz w:val="32"/>
        </w:rPr>
      </w:pPr>
      <w:r>
        <w:rPr>
          <w:rFonts w:hint="eastAsia" w:ascii="仿宋_GB2312" w:eastAsia="仿宋_GB2312"/>
          <w:sz w:val="32"/>
        </w:rPr>
        <w:t>（二）组织拟订全县行政管理体制和机构改革总体方案并组织实施。拟订县委、县政府机构改革方案。审核县委、县政府各部门职能配置、机构设置、人员编制和领导职数。审核并管理全县各级各类人员编制总额。指导、协调县、乡镇行政管理体制和机构改革以及机构编制管理工作。研究推进机关后勤体制改革。</w:t>
      </w:r>
    </w:p>
    <w:p>
      <w:pPr>
        <w:spacing w:line="598" w:lineRule="atLeast"/>
        <w:ind w:firstLine="639"/>
        <w:rPr>
          <w:rFonts w:ascii="仿宋_GB2312" w:eastAsia="仿宋_GB2312"/>
          <w:sz w:val="32"/>
        </w:rPr>
      </w:pPr>
      <w:r>
        <w:rPr>
          <w:rFonts w:hint="eastAsia" w:ascii="仿宋_GB2312" w:eastAsia="仿宋_GB2312"/>
          <w:sz w:val="32"/>
        </w:rPr>
        <w:t>（三）协调县委、县政府各部门的职能配置及其调整。协调县委各部门之间、县政府各部门之间、县委各部门与县政府各部门之间以及县直各部门与乡镇之间的职责分工。研究提出参照公务员法管理事业单位的行政管理职能认定意见。</w:t>
      </w:r>
    </w:p>
    <w:p>
      <w:pPr>
        <w:spacing w:line="598" w:lineRule="atLeast"/>
        <w:ind w:firstLine="639"/>
        <w:rPr>
          <w:rFonts w:ascii="仿宋_GB2312" w:eastAsia="仿宋_GB2312"/>
          <w:sz w:val="32"/>
        </w:rPr>
      </w:pPr>
      <w:r>
        <w:rPr>
          <w:rFonts w:hint="eastAsia" w:ascii="仿宋_GB2312" w:eastAsia="仿宋_GB2312"/>
          <w:sz w:val="32"/>
        </w:rPr>
        <w:t>（四）审核或审批县委、县政府及各部门的派出机构的职能配置、机构设置、人员编制和领导职数。审核上报县委、县政府股级以上机构设置和调整事宜。审核县、乡镇机构编制分类。负责省垂直管理部门或双重管理部门需要承办的机构编制有关事宜。</w:t>
      </w:r>
    </w:p>
    <w:p>
      <w:pPr>
        <w:spacing w:line="598" w:lineRule="atLeast"/>
        <w:ind w:firstLine="639"/>
        <w:rPr>
          <w:rFonts w:ascii="仿宋_GB2312" w:eastAsia="仿宋_GB2312"/>
          <w:sz w:val="32"/>
        </w:rPr>
      </w:pPr>
      <w:r>
        <w:rPr>
          <w:rFonts w:hint="eastAsia" w:ascii="仿宋_GB2312" w:eastAsia="仿宋_GB2312"/>
          <w:sz w:val="32"/>
        </w:rPr>
        <w:t>（五）审核县人大、县政协、县人民法院、县人民检察院、县级人民团体机关的职能配置、机构设置、人员编制和领导职数。</w:t>
      </w:r>
    </w:p>
    <w:p>
      <w:pPr>
        <w:spacing w:line="598" w:lineRule="atLeast"/>
        <w:ind w:firstLine="639"/>
        <w:rPr>
          <w:rFonts w:ascii="仿宋_GB2312" w:eastAsia="仿宋_GB2312"/>
          <w:sz w:val="32"/>
        </w:rPr>
      </w:pPr>
      <w:r>
        <w:rPr>
          <w:rFonts w:hint="eastAsia" w:ascii="仿宋_GB2312" w:eastAsia="仿宋_GB2312"/>
          <w:sz w:val="32"/>
        </w:rPr>
        <w:t>（六）研究拟订全县事业单位管理体制和机构改革方案。贯彻执行各类事业单位人员编制标准和管理办法。负责县直事业单位机构改革方案的审核和机构编制管理工作；指导协调乡镇事业单位管理体制改革、机构改革和机构编制管理工作。审核县、乡镇正股级以下事业单位的机构设置和股级职数；审核县委、县政府及县直各部门联系的各种群众团体的机构编制事宜。负责全县事业单位法人登记管理和监督检查工作。</w:t>
      </w:r>
    </w:p>
    <w:p>
      <w:pPr>
        <w:spacing w:line="598" w:lineRule="atLeast"/>
        <w:ind w:firstLine="639"/>
        <w:rPr>
          <w:rFonts w:ascii="仿宋_GB2312" w:eastAsia="仿宋_GB2312"/>
          <w:sz w:val="32"/>
        </w:rPr>
      </w:pPr>
      <w:r>
        <w:rPr>
          <w:rFonts w:hint="eastAsia" w:ascii="仿宋_GB2312" w:eastAsia="仿宋_GB2312"/>
          <w:sz w:val="32"/>
        </w:rPr>
        <w:t>（七）指导全县园区行政管理体制改革工作，贯彻执行省级以上开发区（园区）机构编制管理办法。审核上报省级以上开发区（园区）职能配置、机构设置、人员编制和领导职数。</w:t>
      </w:r>
    </w:p>
    <w:p>
      <w:pPr>
        <w:spacing w:line="598" w:lineRule="atLeast"/>
        <w:ind w:firstLine="639"/>
        <w:rPr>
          <w:rFonts w:ascii="仿宋_GB2312" w:eastAsia="仿宋_GB2312"/>
          <w:sz w:val="32"/>
        </w:rPr>
      </w:pPr>
      <w:r>
        <w:rPr>
          <w:rFonts w:hint="eastAsia" w:ascii="仿宋_GB2312" w:eastAsia="仿宋_GB2312"/>
          <w:sz w:val="32"/>
        </w:rPr>
        <w:t>（八）负责机构编制日常管理。负责对全县机构编制的总量控制、动态管理和机构编制标准化工作。负责机构编制实名制管理，以及编制使用核准等工作。建立健全机构编制部门与有关部门的配合制约机制。负责机关事业单位增加人员实行“五口归一”制度的落实，严把机关事业单位进人关。</w:t>
      </w:r>
    </w:p>
    <w:p>
      <w:pPr>
        <w:spacing w:line="598" w:lineRule="atLeast"/>
        <w:ind w:firstLine="639"/>
        <w:rPr>
          <w:rFonts w:ascii="仿宋_GB2312" w:eastAsia="仿宋_GB2312"/>
          <w:sz w:val="32"/>
        </w:rPr>
      </w:pPr>
      <w:r>
        <w:rPr>
          <w:rFonts w:hint="eastAsia" w:ascii="仿宋_GB2312" w:eastAsia="仿宋_GB2312"/>
          <w:sz w:val="32"/>
        </w:rPr>
        <w:t>（九）负责对各级行政、事业单位管理体制和机构改革及机构编制执行情况的跟踪评估和监督检查。负责受理违反机构编制法规、纪律的检举、控告和投诉，对违反机构编制法规、纪律问题进行调查处理。</w:t>
      </w:r>
    </w:p>
    <w:p>
      <w:pPr>
        <w:spacing w:line="598" w:lineRule="atLeast"/>
        <w:ind w:firstLine="639"/>
        <w:rPr>
          <w:rFonts w:ascii="仿宋_GB2312" w:eastAsia="仿宋_GB2312"/>
          <w:sz w:val="32"/>
        </w:rPr>
      </w:pPr>
      <w:r>
        <w:rPr>
          <w:rFonts w:hint="eastAsia" w:ascii="仿宋_GB2312" w:eastAsia="仿宋_GB2312"/>
          <w:sz w:val="32"/>
        </w:rPr>
        <w:t>（十）负责全县机构编制信息化建设。负责全县机构编制统计工作。指导全县党政群机关、事业单位和其他非营利性单位网上名称管理工作。</w:t>
      </w:r>
    </w:p>
    <w:p>
      <w:pPr>
        <w:spacing w:line="598" w:lineRule="atLeast"/>
        <w:ind w:firstLine="639"/>
        <w:rPr>
          <w:rFonts w:ascii="仿宋_GB2312" w:eastAsia="仿宋_GB2312"/>
          <w:sz w:val="32"/>
        </w:rPr>
      </w:pPr>
      <w:r>
        <w:rPr>
          <w:rFonts w:hint="eastAsia" w:ascii="仿宋_GB2312" w:eastAsia="仿宋_GB2312"/>
          <w:sz w:val="32"/>
        </w:rPr>
        <w:t>（十一）承办县委、县政府和县机构编制委员会交办的其他事项。</w:t>
      </w:r>
    </w:p>
    <w:p>
      <w:pPr>
        <w:pStyle w:val="2"/>
        <w:spacing w:before="0" w:after="0" w:line="60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二、机构设置</w:t>
      </w:r>
    </w:p>
    <w:p>
      <w:pPr>
        <w:spacing w:after="0" w:line="56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从决算编报单位构成看，纳入2018 年度本部门决算汇编范围的独立核算单位（以下简称“单位”）共1个，具体情况如下：</w:t>
      </w:r>
    </w:p>
    <w:tbl>
      <w:tblPr>
        <w:tblStyle w:val="12"/>
        <w:tblpPr w:leftFromText="180" w:rightFromText="180" w:vertAnchor="text" w:horzAnchor="page" w:tblpXSpec="center" w:tblpY="10"/>
        <w:tblOverlap w:val="never"/>
        <w:tblW w:w="9580"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98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348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244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2665" w:type="dxa"/>
            <w:vAlign w:val="center"/>
          </w:tcPr>
          <w:p>
            <w:pPr>
              <w:spacing w:after="0"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985"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w:t>
            </w:r>
          </w:p>
        </w:tc>
        <w:tc>
          <w:tcPr>
            <w:tcW w:w="3485" w:type="dxa"/>
          </w:tcPr>
          <w:p>
            <w:pPr>
              <w:spacing w:after="0" w:line="560" w:lineRule="exact"/>
              <w:rPr>
                <w:rFonts w:ascii="仿宋_GB2312" w:eastAsia="仿宋_GB2312" w:cs="ArialUnicodeMS"/>
                <w:kern w:val="0"/>
                <w:sz w:val="28"/>
                <w:szCs w:val="28"/>
              </w:rPr>
            </w:pPr>
            <w:r>
              <w:rPr>
                <w:rFonts w:hint="eastAsia" w:ascii="仿宋_GB2312" w:eastAsia="仿宋_GB2312" w:cs="ArialUnicodeMS"/>
                <w:kern w:val="0"/>
                <w:sz w:val="28"/>
                <w:szCs w:val="28"/>
              </w:rPr>
              <w:t>中共大城县委机构编制委员会办公室</w:t>
            </w:r>
          </w:p>
        </w:tc>
        <w:tc>
          <w:tcPr>
            <w:tcW w:w="2445"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行政单位</w:t>
            </w:r>
          </w:p>
        </w:tc>
        <w:tc>
          <w:tcPr>
            <w:tcW w:w="2665" w:type="dxa"/>
          </w:tcPr>
          <w:p>
            <w:pPr>
              <w:spacing w:after="0"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kern w:val="0"/>
                <w:sz w:val="28"/>
                <w:szCs w:val="28"/>
              </w:rPr>
            </w:pPr>
          </w:p>
        </w:tc>
      </w:tr>
    </w:tbl>
    <w:p>
      <w:pPr>
        <w:widowControl/>
        <w:spacing w:line="560" w:lineRule="exact"/>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r>
        <w:rPr>
          <w:rFonts w:hint="eastAsia" w:ascii="黑体" w:eastAsia="黑体"/>
          <w:color w:val="000000"/>
          <w:sz w:val="72"/>
          <w:szCs w:val="96"/>
        </w:rPr>
        <w:t>第二部分</w:t>
      </w:r>
    </w:p>
    <w:p>
      <w:pPr>
        <w:widowControl/>
        <w:spacing w:line="1200" w:lineRule="exact"/>
        <w:jc w:val="center"/>
        <w:rPr>
          <w:color w:val="000000"/>
          <w:sz w:val="72"/>
          <w:szCs w:val="96"/>
        </w:rPr>
      </w:pPr>
      <w:r>
        <w:rPr>
          <w:rFonts w:hint="eastAsia" w:ascii="黑体" w:eastAsia="黑体"/>
          <w:color w:val="000000"/>
          <w:sz w:val="72"/>
          <w:szCs w:val="96"/>
        </w:rPr>
        <w:t>2018年度部门决算报表</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rPr>
          <w:rFonts w:ascii="宋体" w:cs="ArialUnicodeMS"/>
          <w:color w:val="000000"/>
          <w:kern w:val="0"/>
        </w:rPr>
      </w:pP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tbl>
      <w:tblPr>
        <w:tblStyle w:val="12"/>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eastAsia="黑体" w:cs="黑体"/>
                <w:color w:val="000000"/>
                <w:sz w:val="40"/>
                <w:szCs w:val="40"/>
              </w:rPr>
            </w:pPr>
            <w:r>
              <w:rPr>
                <w:rFonts w:hint="eastAsia" w:ascii="黑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cs="宋体"/>
                <w:color w:val="000000"/>
                <w:kern w:val="0"/>
                <w:sz w:val="20"/>
                <w:szCs w:val="20"/>
              </w:rPr>
              <w:t>公开01表</w:t>
            </w:r>
          </w:p>
        </w:tc>
      </w:tr>
      <w:tr>
        <w:tblPrEx>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left"/>
              <w:textAlignment w:val="center"/>
              <w:rPr>
                <w:rFonts w:ascii="宋体" w:cs="宋体"/>
                <w:color w:val="000000"/>
                <w:sz w:val="20"/>
                <w:szCs w:val="20"/>
              </w:rPr>
            </w:pPr>
            <w:r>
              <w:rPr>
                <w:rFonts w:hint="eastAsia" w:ascii="宋体" w:cs="宋体"/>
                <w:color w:val="000000"/>
                <w:kern w:val="0"/>
                <w:sz w:val="20"/>
                <w:szCs w:val="20"/>
              </w:rPr>
              <w:t>部门：</w:t>
            </w: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行次</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行次</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cs="宋体"/>
                <w:color w:val="000000"/>
                <w:kern w:val="0"/>
                <w:sz w:val="20"/>
                <w:szCs w:val="20"/>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524"/>
              </w:tabs>
              <w:spacing w:after="0" w:line="200" w:lineRule="exact"/>
              <w:rPr>
                <w:rFonts w:ascii="宋体" w:cs="宋体"/>
                <w:color w:val="000000"/>
                <w:sz w:val="20"/>
                <w:szCs w:val="20"/>
              </w:rPr>
            </w:pPr>
            <w:r>
              <w:rPr>
                <w:rFonts w:hint="eastAsia" w:ascii="宋体" w:cs="宋体"/>
                <w:color w:val="000000"/>
                <w:sz w:val="20"/>
                <w:szCs w:val="20"/>
              </w:rPr>
              <w:t>159.45</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123.63</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二、外交支出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三、事业收入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三、国防支出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四、经营收入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五、教育支出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六、其他收入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13.77</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6.53</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39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十六、金融支出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19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49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50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本年收入合计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18"/>
                <w:szCs w:val="18"/>
              </w:rPr>
            </w:pPr>
            <w:r>
              <w:rPr>
                <w:rFonts w:hint="eastAsia" w:ascii="宋体" w:cs="宋体"/>
                <w:color w:val="000000"/>
                <w:sz w:val="20"/>
                <w:szCs w:val="20"/>
              </w:rPr>
              <w:t>159.45</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本年支出合计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51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143.94</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结余分配</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52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53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15.51</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27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18"/>
                <w:szCs w:val="18"/>
              </w:rPr>
            </w:pPr>
            <w:r>
              <w:rPr>
                <w:rFonts w:hint="eastAsia" w:ascii="宋体" w:cs="宋体"/>
                <w:color w:val="000000"/>
                <w:sz w:val="20"/>
                <w:szCs w:val="20"/>
              </w:rPr>
              <w:t>159.45</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cs="宋体"/>
                <w:color w:val="000000"/>
                <w:kern w:val="0"/>
                <w:sz w:val="20"/>
                <w:szCs w:val="20"/>
              </w:rPr>
              <w:t>54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hint="eastAsia" w:ascii="宋体" w:cs="宋体"/>
                <w:color w:val="000000"/>
                <w:sz w:val="20"/>
                <w:szCs w:val="20"/>
              </w:rPr>
              <w:t>159.45</w:t>
            </w:r>
          </w:p>
        </w:tc>
      </w:tr>
      <w:tr>
        <w:tblPrEx>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9384" w:type="dxa"/>
        <w:jc w:val="center"/>
        <w:tblLayout w:type="fixed"/>
        <w:tblCellMar>
          <w:top w:w="0" w:type="dxa"/>
          <w:left w:w="0" w:type="dxa"/>
          <w:bottom w:w="0" w:type="dxa"/>
          <w:right w:w="0" w:type="dxa"/>
        </w:tblCellMar>
      </w:tblPr>
      <w:tblGrid>
        <w:gridCol w:w="335"/>
        <w:gridCol w:w="179"/>
        <w:gridCol w:w="520"/>
        <w:gridCol w:w="1318"/>
        <w:gridCol w:w="533"/>
        <w:gridCol w:w="260"/>
        <w:gridCol w:w="474"/>
        <w:gridCol w:w="341"/>
        <w:gridCol w:w="816"/>
        <w:gridCol w:w="815"/>
        <w:gridCol w:w="106"/>
        <w:gridCol w:w="709"/>
        <w:gridCol w:w="211"/>
        <w:gridCol w:w="921"/>
        <w:gridCol w:w="920"/>
        <w:gridCol w:w="342"/>
        <w:gridCol w:w="584"/>
      </w:tblGrid>
      <w:tr>
        <w:tblPrEx>
          <w:tblCellMar>
            <w:top w:w="0" w:type="dxa"/>
            <w:left w:w="0" w:type="dxa"/>
            <w:bottom w:w="0" w:type="dxa"/>
            <w:right w:w="0" w:type="dxa"/>
          </w:tblCellMar>
        </w:tblPrEx>
        <w:trPr>
          <w:gridAfter w:val="1"/>
          <w:wAfter w:w="584" w:type="dxa"/>
          <w:trHeight w:val="770" w:hRule="atLeast"/>
          <w:jc w:val="center"/>
        </w:trPr>
        <w:tc>
          <w:tcPr>
            <w:tcW w:w="8800" w:type="dxa"/>
            <w:gridSpan w:val="16"/>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eastAsia="黑体" w:cs="黑体"/>
                <w:color w:val="000000"/>
                <w:sz w:val="40"/>
                <w:szCs w:val="40"/>
              </w:rPr>
            </w:pPr>
            <w:r>
              <w:rPr>
                <w:rFonts w:hint="eastAsia" w:ascii="黑体" w:eastAsia="黑体" w:cs="黑体"/>
                <w:color w:val="000000"/>
                <w:kern w:val="0"/>
                <w:sz w:val="40"/>
                <w:szCs w:val="40"/>
              </w:rPr>
              <w:t>收入决算表</w:t>
            </w:r>
          </w:p>
        </w:tc>
      </w:tr>
      <w:tr>
        <w:tblPrEx>
          <w:tblCellMar>
            <w:top w:w="0" w:type="dxa"/>
            <w:left w:w="0" w:type="dxa"/>
            <w:bottom w:w="0" w:type="dxa"/>
            <w:right w:w="0" w:type="dxa"/>
          </w:tblCellMar>
        </w:tblPrEx>
        <w:trPr>
          <w:gridAfter w:val="1"/>
          <w:wAfter w:w="584" w:type="dxa"/>
          <w:trHeight w:val="362" w:hRule="atLeast"/>
          <w:jc w:val="center"/>
        </w:trPr>
        <w:tc>
          <w:tcPr>
            <w:tcW w:w="33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1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3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cs="宋体"/>
                <w:color w:val="000000"/>
                <w:kern w:val="0"/>
                <w:szCs w:val="21"/>
              </w:rPr>
              <w:t>公开02表</w:t>
            </w:r>
          </w:p>
        </w:tc>
      </w:tr>
      <w:tr>
        <w:tblPrEx>
          <w:tblCellMar>
            <w:top w:w="0" w:type="dxa"/>
            <w:left w:w="0" w:type="dxa"/>
            <w:bottom w:w="0" w:type="dxa"/>
            <w:right w:w="0" w:type="dxa"/>
          </w:tblCellMar>
        </w:tblPrEx>
        <w:trPr>
          <w:gridAfter w:val="1"/>
          <w:wAfter w:w="584" w:type="dxa"/>
          <w:trHeight w:val="362" w:hRule="atLeast"/>
          <w:jc w:val="center"/>
        </w:trPr>
        <w:tc>
          <w:tcPr>
            <w:tcW w:w="2885"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cs="宋体"/>
                <w:color w:val="000000"/>
                <w:kern w:val="0"/>
                <w:szCs w:val="21"/>
              </w:rPr>
              <w:t>部门：</w:t>
            </w: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cs="宋体"/>
                <w:color w:val="000000"/>
                <w:kern w:val="0"/>
                <w:szCs w:val="21"/>
              </w:rPr>
              <w:t>金额单位：万元</w:t>
            </w:r>
          </w:p>
        </w:tc>
      </w:tr>
      <w:tr>
        <w:tblPrEx>
          <w:tblCellMar>
            <w:top w:w="0" w:type="dxa"/>
            <w:left w:w="0" w:type="dxa"/>
            <w:bottom w:w="0" w:type="dxa"/>
            <w:right w:w="0" w:type="dxa"/>
          </w:tblCellMar>
        </w:tblPrEx>
        <w:trPr>
          <w:trHeight w:val="325" w:hRule="atLeast"/>
          <w:jc w:val="center"/>
        </w:trPr>
        <w:tc>
          <w:tcPr>
            <w:tcW w:w="2352"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cs="宋体"/>
                <w:color w:val="000000"/>
                <w:kern w:val="0"/>
                <w:sz w:val="20"/>
                <w:szCs w:val="20"/>
              </w:rPr>
              <w:t>项目</w:t>
            </w:r>
          </w:p>
        </w:tc>
        <w:tc>
          <w:tcPr>
            <w:tcW w:w="1267" w:type="dxa"/>
            <w:gridSpan w:val="3"/>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cs="宋体"/>
                <w:color w:val="000000"/>
                <w:kern w:val="0"/>
                <w:sz w:val="20"/>
                <w:szCs w:val="20"/>
              </w:rPr>
              <w:t>本年收入合计</w:t>
            </w:r>
          </w:p>
        </w:tc>
        <w:tc>
          <w:tcPr>
            <w:tcW w:w="1157"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cs="宋体"/>
                <w:color w:val="000000"/>
                <w:kern w:val="0"/>
                <w:sz w:val="20"/>
                <w:szCs w:val="20"/>
              </w:rPr>
              <w:t>财政拨款收入</w:t>
            </w:r>
          </w:p>
        </w:tc>
        <w:tc>
          <w:tcPr>
            <w:tcW w:w="921"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cs="宋体"/>
                <w:color w:val="000000"/>
                <w:kern w:val="0"/>
                <w:sz w:val="20"/>
                <w:szCs w:val="20"/>
              </w:rPr>
              <w:t>上级补助收入</w:t>
            </w:r>
          </w:p>
        </w:tc>
        <w:tc>
          <w:tcPr>
            <w:tcW w:w="92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cs="宋体"/>
                <w:color w:val="000000"/>
                <w:kern w:val="0"/>
                <w:sz w:val="20"/>
                <w:szCs w:val="20"/>
              </w:rPr>
              <w:t>事业收入</w:t>
            </w:r>
          </w:p>
        </w:tc>
        <w:tc>
          <w:tcPr>
            <w:tcW w:w="921"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cs="宋体"/>
                <w:color w:val="000000"/>
                <w:kern w:val="0"/>
                <w:sz w:val="20"/>
                <w:szCs w:val="20"/>
              </w:rPr>
              <w:t>附属单位上缴收入</w:t>
            </w:r>
          </w:p>
        </w:tc>
        <w:tc>
          <w:tcPr>
            <w:tcW w:w="926" w:type="dxa"/>
            <w:gridSpan w:val="2"/>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cs="宋体"/>
                <w:color w:val="000000"/>
                <w:kern w:val="0"/>
                <w:sz w:val="20"/>
                <w:szCs w:val="20"/>
              </w:rPr>
              <w:t>其他收入</w:t>
            </w:r>
          </w:p>
        </w:tc>
      </w:tr>
      <w:tr>
        <w:tblPrEx>
          <w:tblCellMar>
            <w:top w:w="0" w:type="dxa"/>
            <w:left w:w="0" w:type="dxa"/>
            <w:bottom w:w="0" w:type="dxa"/>
            <w:right w:w="0" w:type="dxa"/>
          </w:tblCellMar>
        </w:tblPrEx>
        <w:trPr>
          <w:trHeight w:val="626"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cs="宋体"/>
                <w:color w:val="000000"/>
                <w:kern w:val="0"/>
                <w:sz w:val="20"/>
                <w:szCs w:val="20"/>
              </w:rPr>
              <w:t>功能分类科目编码</w:t>
            </w:r>
          </w:p>
        </w:tc>
        <w:tc>
          <w:tcPr>
            <w:tcW w:w="1318"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cs="宋体"/>
                <w:color w:val="000000"/>
                <w:kern w:val="0"/>
                <w:sz w:val="20"/>
                <w:szCs w:val="20"/>
              </w:rPr>
              <w:t>科目名称</w:t>
            </w:r>
          </w:p>
        </w:tc>
        <w:tc>
          <w:tcPr>
            <w:tcW w:w="1267" w:type="dxa"/>
            <w:gridSpan w:val="3"/>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tc>
        <w:tc>
          <w:tcPr>
            <w:tcW w:w="1157"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21"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20"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21"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20"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926" w:type="dxa"/>
            <w:gridSpan w:val="2"/>
            <w:vMerge w:val="continue"/>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391" w:hRule="atLeast"/>
          <w:jc w:val="center"/>
        </w:trPr>
        <w:tc>
          <w:tcPr>
            <w:tcW w:w="235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栏次</w:t>
            </w:r>
          </w:p>
        </w:tc>
        <w:tc>
          <w:tcPr>
            <w:tcW w:w="126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w:t>
            </w:r>
          </w:p>
        </w:tc>
        <w:tc>
          <w:tcPr>
            <w:tcW w:w="11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w:t>
            </w:r>
          </w:p>
        </w:tc>
        <w:tc>
          <w:tcPr>
            <w:tcW w:w="9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w:t>
            </w:r>
          </w:p>
        </w:tc>
        <w:tc>
          <w:tcPr>
            <w:tcW w:w="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6</w:t>
            </w:r>
          </w:p>
        </w:tc>
        <w:tc>
          <w:tcPr>
            <w:tcW w:w="92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7</w:t>
            </w:r>
          </w:p>
        </w:tc>
      </w:tr>
      <w:tr>
        <w:tblPrEx>
          <w:tblCellMar>
            <w:top w:w="0" w:type="dxa"/>
            <w:left w:w="0" w:type="dxa"/>
            <w:bottom w:w="0" w:type="dxa"/>
            <w:right w:w="0" w:type="dxa"/>
          </w:tblCellMar>
        </w:tblPrEx>
        <w:trPr>
          <w:trHeight w:val="90" w:hRule="atLeast"/>
          <w:jc w:val="center"/>
        </w:trPr>
        <w:tc>
          <w:tcPr>
            <w:tcW w:w="235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合计</w:t>
            </w:r>
          </w:p>
        </w:tc>
        <w:tc>
          <w:tcPr>
            <w:tcW w:w="1267"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cs="宋体"/>
                <w:bCs/>
                <w:color w:val="000000"/>
                <w:sz w:val="18"/>
                <w:szCs w:val="18"/>
              </w:rPr>
            </w:pPr>
            <w:r>
              <w:rPr>
                <w:rFonts w:hint="eastAsia" w:ascii="宋体" w:cs="宋体"/>
                <w:bCs/>
                <w:color w:val="000000"/>
                <w:sz w:val="18"/>
                <w:szCs w:val="18"/>
              </w:rPr>
              <w:t>159.45</w:t>
            </w:r>
          </w:p>
        </w:tc>
        <w:tc>
          <w:tcPr>
            <w:tcW w:w="1157"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bCs/>
                <w:color w:val="000000"/>
                <w:sz w:val="18"/>
                <w:szCs w:val="18"/>
              </w:rPr>
            </w:pPr>
            <w:r>
              <w:rPr>
                <w:rFonts w:ascii="宋体" w:cs="宋体"/>
                <w:bCs/>
                <w:color w:val="000000"/>
                <w:sz w:val="18"/>
                <w:szCs w:val="18"/>
              </w:rPr>
              <w:fldChar w:fldCharType="begin"/>
            </w:r>
            <w:r>
              <w:rPr>
                <w:rFonts w:ascii="宋体" w:cs="宋体"/>
                <w:bCs/>
                <w:color w:val="000000"/>
                <w:sz w:val="18"/>
                <w:szCs w:val="18"/>
              </w:rPr>
              <w:instrText xml:space="preserve"> = sum(C8:C12) \* MERGEFORMAT </w:instrText>
            </w:r>
            <w:r>
              <w:rPr>
                <w:rFonts w:ascii="宋体" w:cs="宋体"/>
                <w:bCs/>
                <w:color w:val="000000"/>
                <w:sz w:val="18"/>
                <w:szCs w:val="18"/>
              </w:rPr>
              <w:fldChar w:fldCharType="separate"/>
            </w:r>
            <w:r>
              <w:rPr>
                <w:rFonts w:ascii="宋体" w:cs="宋体"/>
                <w:bCs/>
                <w:color w:val="000000"/>
                <w:sz w:val="18"/>
                <w:szCs w:val="18"/>
              </w:rPr>
              <w:t>159.45</w:t>
            </w:r>
            <w:r>
              <w:rPr>
                <w:rFonts w:ascii="宋体" w:cs="宋体"/>
                <w:bCs/>
                <w:color w:val="000000"/>
                <w:sz w:val="18"/>
                <w:szCs w:val="18"/>
              </w:rPr>
              <w:fldChar w:fldCharType="end"/>
            </w:r>
          </w:p>
        </w:tc>
        <w:tc>
          <w:tcPr>
            <w:tcW w:w="92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bCs/>
                <w:color w:val="000000"/>
                <w:sz w:val="18"/>
                <w:szCs w:val="18"/>
              </w:rPr>
            </w:pPr>
          </w:p>
        </w:tc>
        <w:tc>
          <w:tcPr>
            <w:tcW w:w="9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1"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6"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2011001</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 xml:space="preserve">  行政运行</w:t>
            </w:r>
          </w:p>
        </w:tc>
        <w:tc>
          <w:tcPr>
            <w:tcW w:w="126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117.55</w:t>
            </w:r>
          </w:p>
        </w:tc>
        <w:tc>
          <w:tcPr>
            <w:tcW w:w="11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117.55</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rPr>
                <w:rFonts w:ascii="宋体" w:cs="宋体"/>
                <w:color w:val="000000"/>
                <w:szCs w:val="21"/>
              </w:rPr>
            </w:pP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2011002</w:t>
            </w:r>
            <w:r>
              <w:rPr>
                <w:rFonts w:hint="eastAsia" w:ascii="宋体" w:cs="宋体"/>
                <w:color w:val="000000"/>
                <w:szCs w:val="21"/>
              </w:rPr>
              <w:tab/>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hint="eastAsia" w:ascii="宋体" w:cs="宋体"/>
                <w:color w:val="000000"/>
                <w:szCs w:val="21"/>
              </w:rPr>
              <w:t>一般行政管理事务</w:t>
            </w:r>
          </w:p>
        </w:tc>
        <w:tc>
          <w:tcPr>
            <w:tcW w:w="126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right="48" w:rightChars="23"/>
              <w:jc w:val="right"/>
              <w:rPr>
                <w:rFonts w:ascii="宋体" w:cs="宋体"/>
                <w:color w:val="000000"/>
                <w:szCs w:val="21"/>
              </w:rPr>
            </w:pPr>
            <w:r>
              <w:rPr>
                <w:rFonts w:hint="eastAsia" w:ascii="宋体" w:cs="宋体"/>
                <w:color w:val="000000"/>
                <w:szCs w:val="21"/>
              </w:rPr>
              <w:t>17.59</w:t>
            </w:r>
          </w:p>
        </w:tc>
        <w:tc>
          <w:tcPr>
            <w:tcW w:w="11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17.59</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2080505</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hint="eastAsia" w:ascii="宋体" w:cs="宋体"/>
                <w:color w:val="000000"/>
                <w:szCs w:val="21"/>
              </w:rPr>
              <w:t>机关事业单位基本养老保险缴费支出</w:t>
            </w:r>
          </w:p>
        </w:tc>
        <w:tc>
          <w:tcPr>
            <w:tcW w:w="126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16.3</w:t>
            </w:r>
          </w:p>
        </w:tc>
        <w:tc>
          <w:tcPr>
            <w:tcW w:w="11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16.3</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2101101</w:t>
            </w:r>
            <w:r>
              <w:rPr>
                <w:rFonts w:hint="eastAsia" w:ascii="宋体" w:cs="宋体"/>
                <w:color w:val="000000"/>
                <w:szCs w:val="21"/>
              </w:rPr>
              <w:tab/>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hint="eastAsia" w:ascii="宋体" w:cs="宋体"/>
                <w:color w:val="000000"/>
                <w:szCs w:val="21"/>
              </w:rPr>
              <w:t>行政单位医疗</w:t>
            </w:r>
          </w:p>
        </w:tc>
        <w:tc>
          <w:tcPr>
            <w:tcW w:w="126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7.01</w:t>
            </w:r>
          </w:p>
        </w:tc>
        <w:tc>
          <w:tcPr>
            <w:tcW w:w="11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7.01</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2150605</w:t>
            </w: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hint="eastAsia" w:ascii="宋体" w:cs="宋体"/>
                <w:color w:val="000000"/>
                <w:szCs w:val="21"/>
              </w:rPr>
              <w:t>安全监管监察专项</w:t>
            </w:r>
          </w:p>
        </w:tc>
        <w:tc>
          <w:tcPr>
            <w:tcW w:w="126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w:t>
            </w:r>
          </w:p>
        </w:tc>
        <w:tc>
          <w:tcPr>
            <w:tcW w:w="11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w:t>
            </w: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26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1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26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1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26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1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26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1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3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26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1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gridAfter w:val="1"/>
          <w:wAfter w:w="584" w:type="dxa"/>
          <w:trHeight w:val="481" w:hRule="atLeast"/>
          <w:jc w:val="center"/>
        </w:trPr>
        <w:tc>
          <w:tcPr>
            <w:tcW w:w="8800" w:type="dxa"/>
            <w:gridSpan w:val="1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9172" w:type="dxa"/>
        <w:tblInd w:w="0" w:type="dxa"/>
        <w:tblLayout w:type="fixed"/>
        <w:tblCellMar>
          <w:top w:w="0" w:type="dxa"/>
          <w:left w:w="0" w:type="dxa"/>
          <w:bottom w:w="0" w:type="dxa"/>
          <w:right w:w="0" w:type="dxa"/>
        </w:tblCellMar>
      </w:tblPr>
      <w:tblGrid>
        <w:gridCol w:w="290"/>
        <w:gridCol w:w="289"/>
        <w:gridCol w:w="803"/>
        <w:gridCol w:w="1117"/>
        <w:gridCol w:w="647"/>
        <w:gridCol w:w="492"/>
        <w:gridCol w:w="626"/>
        <w:gridCol w:w="574"/>
        <w:gridCol w:w="546"/>
        <w:gridCol w:w="537"/>
        <w:gridCol w:w="581"/>
        <w:gridCol w:w="503"/>
        <w:gridCol w:w="617"/>
        <w:gridCol w:w="466"/>
        <w:gridCol w:w="912"/>
        <w:gridCol w:w="172"/>
      </w:tblGrid>
      <w:tr>
        <w:tblPrEx>
          <w:tblCellMar>
            <w:top w:w="0" w:type="dxa"/>
            <w:left w:w="0" w:type="dxa"/>
            <w:bottom w:w="0" w:type="dxa"/>
            <w:right w:w="0" w:type="dxa"/>
          </w:tblCellMar>
        </w:tblPrEx>
        <w:trPr>
          <w:gridAfter w:val="1"/>
          <w:wAfter w:w="172" w:type="dxa"/>
          <w:trHeight w:val="798" w:hRule="atLeast"/>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eastAsia="黑体" w:cs="黑体"/>
                <w:color w:val="000000"/>
                <w:sz w:val="40"/>
                <w:szCs w:val="40"/>
              </w:rPr>
            </w:pPr>
            <w:r>
              <w:rPr>
                <w:rFonts w:hint="eastAsia" w:ascii="黑体" w:eastAsia="黑体" w:cs="黑体"/>
                <w:color w:val="000000"/>
                <w:kern w:val="0"/>
                <w:sz w:val="40"/>
                <w:szCs w:val="40"/>
              </w:rPr>
              <w:t>支出决算表</w:t>
            </w:r>
          </w:p>
        </w:tc>
      </w:tr>
      <w:tr>
        <w:tblPrEx>
          <w:tblCellMar>
            <w:top w:w="0" w:type="dxa"/>
            <w:left w:w="0" w:type="dxa"/>
            <w:bottom w:w="0" w:type="dxa"/>
            <w:right w:w="0" w:type="dxa"/>
          </w:tblCellMar>
        </w:tblPrEx>
        <w:trPr>
          <w:gridAfter w:val="1"/>
          <w:wAfter w:w="172" w:type="dxa"/>
          <w:trHeight w:val="404" w:hRule="atLeast"/>
        </w:trPr>
        <w:tc>
          <w:tcPr>
            <w:tcW w:w="2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cs="宋体"/>
                <w:color w:val="000000"/>
                <w:kern w:val="0"/>
                <w:szCs w:val="21"/>
              </w:rPr>
              <w:t>公开03表</w:t>
            </w:r>
          </w:p>
        </w:tc>
      </w:tr>
      <w:tr>
        <w:tblPrEx>
          <w:tblCellMar>
            <w:top w:w="0" w:type="dxa"/>
            <w:left w:w="0" w:type="dxa"/>
            <w:bottom w:w="0" w:type="dxa"/>
            <w:right w:w="0" w:type="dxa"/>
          </w:tblCellMar>
        </w:tblPrEx>
        <w:trPr>
          <w:gridAfter w:val="1"/>
          <w:wAfter w:w="172" w:type="dxa"/>
          <w:trHeight w:val="380" w:hRule="atLeast"/>
        </w:trPr>
        <w:tc>
          <w:tcPr>
            <w:tcW w:w="3146"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cs="宋体"/>
                <w:color w:val="000000"/>
                <w:kern w:val="0"/>
                <w:szCs w:val="21"/>
              </w:rPr>
              <w:t>部门：</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cs="宋体"/>
                <w:color w:val="000000"/>
                <w:kern w:val="0"/>
                <w:szCs w:val="21"/>
              </w:rPr>
              <w:t>金额单位：万元</w:t>
            </w:r>
          </w:p>
        </w:tc>
      </w:tr>
      <w:tr>
        <w:tblPrEx>
          <w:tblCellMar>
            <w:top w:w="0" w:type="dxa"/>
            <w:left w:w="0" w:type="dxa"/>
            <w:bottom w:w="0" w:type="dxa"/>
            <w:right w:w="0" w:type="dxa"/>
          </w:tblCellMar>
        </w:tblPrEx>
        <w:trPr>
          <w:trHeight w:val="837" w:hRule="atLeast"/>
        </w:trPr>
        <w:tc>
          <w:tcPr>
            <w:tcW w:w="249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项目</w:t>
            </w:r>
          </w:p>
        </w:tc>
        <w:tc>
          <w:tcPr>
            <w:tcW w:w="1139"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本年支出合计</w:t>
            </w:r>
          </w:p>
        </w:tc>
        <w:tc>
          <w:tcPr>
            <w:tcW w:w="1200"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基本支出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项目支出</w:t>
            </w:r>
          </w:p>
        </w:tc>
        <w:tc>
          <w:tcPr>
            <w:tcW w:w="108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上缴上级支出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经营支出</w:t>
            </w:r>
          </w:p>
        </w:tc>
        <w:tc>
          <w:tcPr>
            <w:tcW w:w="108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对附属单位补助支出</w:t>
            </w:r>
          </w:p>
        </w:tc>
      </w:tr>
      <w:tr>
        <w:tblPrEx>
          <w:tblCellMar>
            <w:top w:w="0" w:type="dxa"/>
            <w:left w:w="0" w:type="dxa"/>
            <w:bottom w:w="0" w:type="dxa"/>
            <w:right w:w="0" w:type="dxa"/>
          </w:tblCellMar>
        </w:tblPrEx>
        <w:trPr>
          <w:trHeight w:val="782"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功能分类科目编码</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科目名称</w:t>
            </w:r>
          </w:p>
        </w:tc>
        <w:tc>
          <w:tcPr>
            <w:tcW w:w="1139"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tc>
        <w:tc>
          <w:tcPr>
            <w:tcW w:w="1200"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tc>
        <w:tc>
          <w:tcPr>
            <w:tcW w:w="108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tc>
        <w:tc>
          <w:tcPr>
            <w:tcW w:w="108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395" w:hRule="atLeast"/>
        </w:trPr>
        <w:tc>
          <w:tcPr>
            <w:tcW w:w="249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栏次</w:t>
            </w:r>
          </w:p>
        </w:tc>
        <w:tc>
          <w:tcPr>
            <w:tcW w:w="113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1</w:t>
            </w:r>
          </w:p>
        </w:tc>
        <w:tc>
          <w:tcPr>
            <w:tcW w:w="120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2</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3</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4</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5</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6</w:t>
            </w:r>
          </w:p>
        </w:tc>
      </w:tr>
      <w:tr>
        <w:tblPrEx>
          <w:tblCellMar>
            <w:top w:w="0" w:type="dxa"/>
            <w:left w:w="0" w:type="dxa"/>
            <w:bottom w:w="0" w:type="dxa"/>
            <w:right w:w="0" w:type="dxa"/>
          </w:tblCellMar>
        </w:tblPrEx>
        <w:trPr>
          <w:trHeight w:val="440" w:hRule="atLeast"/>
        </w:trPr>
        <w:tc>
          <w:tcPr>
            <w:tcW w:w="249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合计</w:t>
            </w:r>
          </w:p>
        </w:tc>
        <w:tc>
          <w:tcPr>
            <w:tcW w:w="11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cs="宋体"/>
                <w:b/>
                <w:color w:val="000000"/>
                <w:szCs w:val="21"/>
              </w:rPr>
            </w:pPr>
            <w:r>
              <w:rPr>
                <w:rFonts w:hint="eastAsia" w:ascii="宋体" w:cs="宋体"/>
                <w:b/>
                <w:color w:val="000000"/>
                <w:szCs w:val="21"/>
              </w:rPr>
              <w:t>143.94</w:t>
            </w:r>
          </w:p>
        </w:tc>
        <w:tc>
          <w:tcPr>
            <w:tcW w:w="12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b/>
                <w:color w:val="000000"/>
                <w:szCs w:val="21"/>
              </w:rPr>
            </w:pPr>
            <w:r>
              <w:rPr>
                <w:rFonts w:hint="eastAsia" w:ascii="宋体" w:cs="宋体"/>
                <w:b/>
                <w:color w:val="000000"/>
                <w:szCs w:val="21"/>
              </w:rPr>
              <w:t>133.24</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b/>
                <w:bCs/>
                <w:color w:val="000000"/>
                <w:szCs w:val="21"/>
              </w:rPr>
            </w:pPr>
            <w:r>
              <w:rPr>
                <w:rFonts w:hint="eastAsia" w:ascii="宋体" w:cs="宋体"/>
                <w:b/>
                <w:bCs/>
                <w:color w:val="000000"/>
                <w:szCs w:val="21"/>
              </w:rPr>
              <w:t>10.7</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b/>
                <w:bCs/>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b/>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b/>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2011001</w:t>
            </w:r>
            <w:r>
              <w:rPr>
                <w:rFonts w:hint="eastAsia" w:ascii="宋体" w:cs="宋体"/>
                <w:color w:val="000000"/>
                <w:szCs w:val="21"/>
              </w:rPr>
              <w:tab/>
            </w:r>
            <w:r>
              <w:rPr>
                <w:rFonts w:hint="eastAsia" w:ascii="宋体" w:cs="宋体"/>
                <w:color w:val="000000"/>
                <w:szCs w:val="21"/>
              </w:rPr>
              <w:tab/>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 xml:space="preserve">  行政运行</w:t>
            </w:r>
          </w:p>
        </w:tc>
        <w:tc>
          <w:tcPr>
            <w:tcW w:w="11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hint="eastAsia" w:ascii="宋体" w:cs="宋体"/>
                <w:color w:val="000000"/>
                <w:szCs w:val="21"/>
              </w:rPr>
              <w:t>112.93</w:t>
            </w:r>
          </w:p>
        </w:tc>
        <w:tc>
          <w:tcPr>
            <w:tcW w:w="12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112.93</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b/>
                <w:bCs/>
                <w:color w:val="000000"/>
                <w:szCs w:val="21"/>
              </w:rPr>
            </w:pPr>
            <w:r>
              <w:rPr>
                <w:rFonts w:hint="eastAsia" w:ascii="宋体" w:cs="宋体"/>
                <w:color w:val="000000"/>
                <w:szCs w:val="21"/>
              </w:rPr>
              <w:t>2011002</w:t>
            </w:r>
            <w:r>
              <w:rPr>
                <w:rFonts w:hint="eastAsia" w:ascii="宋体" w:cs="宋体"/>
                <w:color w:val="000000"/>
                <w:szCs w:val="21"/>
              </w:rPr>
              <w:tab/>
            </w:r>
            <w:r>
              <w:rPr>
                <w:rFonts w:hint="eastAsia" w:ascii="宋体" w:cs="宋体"/>
                <w:color w:val="000000"/>
                <w:szCs w:val="21"/>
              </w:rPr>
              <w:tab/>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hint="eastAsia" w:ascii="宋体" w:cs="宋体"/>
                <w:color w:val="000000"/>
                <w:szCs w:val="21"/>
              </w:rPr>
              <w:t>一般行政管理事务</w:t>
            </w:r>
          </w:p>
        </w:tc>
        <w:tc>
          <w:tcPr>
            <w:tcW w:w="11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10.7</w:t>
            </w:r>
          </w:p>
        </w:tc>
        <w:tc>
          <w:tcPr>
            <w:tcW w:w="12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10.7</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2080505</w:t>
            </w:r>
            <w:r>
              <w:rPr>
                <w:rFonts w:hint="eastAsia" w:ascii="宋体" w:cs="宋体"/>
                <w:color w:val="000000"/>
                <w:szCs w:val="21"/>
              </w:rPr>
              <w:tab/>
            </w:r>
            <w:r>
              <w:rPr>
                <w:rFonts w:hint="eastAsia" w:ascii="宋体" w:cs="宋体"/>
                <w:color w:val="000000"/>
                <w:szCs w:val="21"/>
              </w:rPr>
              <w:tab/>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hint="eastAsia" w:ascii="宋体" w:cs="宋体"/>
                <w:color w:val="000000"/>
                <w:szCs w:val="21"/>
              </w:rPr>
              <w:t>机关事业单位基本养老保险缴费支出</w:t>
            </w:r>
          </w:p>
        </w:tc>
        <w:tc>
          <w:tcPr>
            <w:tcW w:w="11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13.77</w:t>
            </w:r>
          </w:p>
        </w:tc>
        <w:tc>
          <w:tcPr>
            <w:tcW w:w="12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13.77</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2101101</w:t>
            </w:r>
            <w:r>
              <w:rPr>
                <w:rFonts w:hint="eastAsia" w:ascii="宋体" w:cs="宋体"/>
                <w:color w:val="000000"/>
                <w:szCs w:val="21"/>
              </w:rPr>
              <w:tab/>
            </w:r>
            <w:r>
              <w:rPr>
                <w:rFonts w:hint="eastAsia" w:ascii="宋体" w:cs="宋体"/>
                <w:color w:val="000000"/>
                <w:szCs w:val="21"/>
              </w:rPr>
              <w:tab/>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hint="eastAsia" w:ascii="宋体" w:cs="宋体"/>
                <w:color w:val="000000"/>
                <w:szCs w:val="21"/>
              </w:rPr>
              <w:t>行政单位医疗</w:t>
            </w:r>
          </w:p>
        </w:tc>
        <w:tc>
          <w:tcPr>
            <w:tcW w:w="11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6.53</w:t>
            </w:r>
          </w:p>
        </w:tc>
        <w:tc>
          <w:tcPr>
            <w:tcW w:w="12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6.53</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1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2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13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20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gridAfter w:val="1"/>
          <w:wAfter w:w="172" w:type="dxa"/>
          <w:trHeight w:val="748" w:hRule="atLeast"/>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9273" w:type="dxa"/>
        <w:tblInd w:w="0" w:type="dxa"/>
        <w:tblLayout w:type="fixed"/>
        <w:tblCellMar>
          <w:top w:w="0" w:type="dxa"/>
          <w:left w:w="0" w:type="dxa"/>
          <w:bottom w:w="0" w:type="dxa"/>
          <w:right w:w="0" w:type="dxa"/>
        </w:tblCellMar>
      </w:tblPr>
      <w:tblGrid>
        <w:gridCol w:w="1717"/>
        <w:gridCol w:w="745"/>
        <w:gridCol w:w="325"/>
        <w:gridCol w:w="1001"/>
        <w:gridCol w:w="1973"/>
        <w:gridCol w:w="342"/>
        <w:gridCol w:w="209"/>
        <w:gridCol w:w="151"/>
        <w:gridCol w:w="499"/>
        <w:gridCol w:w="486"/>
        <w:gridCol w:w="339"/>
        <w:gridCol w:w="610"/>
        <w:gridCol w:w="876"/>
      </w:tblGrid>
      <w:tr>
        <w:tblPrEx>
          <w:tblCellMar>
            <w:top w:w="0" w:type="dxa"/>
            <w:left w:w="0" w:type="dxa"/>
            <w:bottom w:w="0" w:type="dxa"/>
            <w:right w:w="0" w:type="dxa"/>
          </w:tblCellMar>
        </w:tblPrEx>
        <w:trPr>
          <w:trHeight w:val="152" w:hRule="atLeast"/>
        </w:trPr>
        <w:tc>
          <w:tcPr>
            <w:tcW w:w="9273" w:type="dxa"/>
            <w:gridSpan w:val="1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黑体" w:eastAsia="黑体" w:cs="黑体"/>
                <w:color w:val="000000"/>
                <w:sz w:val="40"/>
                <w:szCs w:val="40"/>
              </w:rPr>
            </w:pPr>
            <w:r>
              <w:rPr>
                <w:rFonts w:hint="eastAsia" w:ascii="黑体" w:eastAsia="黑体" w:cs="黑体"/>
                <w:color w:val="000000"/>
                <w:kern w:val="0"/>
                <w:sz w:val="40"/>
                <w:szCs w:val="40"/>
              </w:rPr>
              <w:t>财政拨款收入支出决算总表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48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cs="宋体"/>
                <w:color w:val="000000"/>
                <w:kern w:val="0"/>
                <w:sz w:val="20"/>
                <w:szCs w:val="20"/>
              </w:rPr>
              <w:t>公开04表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20"/>
                <w:szCs w:val="20"/>
              </w:rPr>
            </w:pPr>
            <w:r>
              <w:rPr>
                <w:rFonts w:hint="eastAsia" w:ascii="宋体" w:cs="宋体"/>
                <w:color w:val="000000"/>
                <w:kern w:val="0"/>
                <w:sz w:val="20"/>
                <w:szCs w:val="20"/>
              </w:rPr>
              <w:t>部门：</w:t>
            </w:r>
          </w:p>
        </w:tc>
        <w:tc>
          <w:tcPr>
            <w:tcW w:w="65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311"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cs="宋体"/>
                <w:color w:val="000000"/>
                <w:kern w:val="0"/>
                <w:sz w:val="20"/>
                <w:szCs w:val="20"/>
              </w:rPr>
              <w:t>收     入</w:t>
            </w:r>
          </w:p>
        </w:tc>
        <w:tc>
          <w:tcPr>
            <w:tcW w:w="6486" w:type="dxa"/>
            <w:gridSpan w:val="10"/>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986"/>
                <w:tab w:val="center" w:pos="3288"/>
              </w:tabs>
              <w:spacing w:after="0" w:line="240" w:lineRule="atLeast"/>
              <w:jc w:val="left"/>
              <w:textAlignment w:val="center"/>
              <w:rPr>
                <w:rFonts w:ascii="宋体" w:cs="宋体"/>
                <w:color w:val="000000"/>
                <w:sz w:val="20"/>
                <w:szCs w:val="20"/>
              </w:rPr>
            </w:pPr>
            <w:r>
              <w:rPr>
                <w:rFonts w:hint="eastAsia" w:ascii="宋体" w:cs="宋体"/>
                <w:color w:val="000000"/>
                <w:kern w:val="0"/>
                <w:sz w:val="20"/>
                <w:szCs w:val="20"/>
              </w:rPr>
              <w:tab/>
            </w:r>
            <w:r>
              <w:rPr>
                <w:rFonts w:hint="eastAsia" w:ascii="宋体" w:cs="宋体"/>
                <w:color w:val="000000"/>
                <w:kern w:val="0"/>
                <w:sz w:val="20"/>
                <w:szCs w:val="20"/>
              </w:rPr>
              <w:tab/>
            </w:r>
            <w:r>
              <w:rPr>
                <w:rFonts w:hint="eastAsia" w:ascii="宋体" w:cs="宋体"/>
                <w:color w:val="000000"/>
                <w:kern w:val="0"/>
                <w:sz w:val="20"/>
                <w:szCs w:val="20"/>
              </w:rPr>
              <w:t>支     出</w:t>
            </w:r>
          </w:p>
        </w:tc>
      </w:tr>
      <w:tr>
        <w:tblPrEx>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行次</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项目</w:t>
            </w:r>
          </w:p>
        </w:tc>
        <w:tc>
          <w:tcPr>
            <w:tcW w:w="36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行次</w:t>
            </w: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合计</w:t>
            </w:r>
          </w:p>
        </w:tc>
        <w:tc>
          <w:tcPr>
            <w:tcW w:w="94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政府性基金预算财政拨款</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栏次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栏次</w:t>
            </w:r>
          </w:p>
        </w:tc>
        <w:tc>
          <w:tcPr>
            <w:tcW w:w="3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w:t>
            </w:r>
          </w:p>
        </w:tc>
        <w:tc>
          <w:tcPr>
            <w:tcW w:w="9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w:t>
            </w: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159.45</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一、一般公共服务支出</w:t>
            </w:r>
          </w:p>
        </w:tc>
        <w:tc>
          <w:tcPr>
            <w:tcW w:w="3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29</w:t>
            </w: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123.63</w:t>
            </w:r>
          </w:p>
        </w:tc>
        <w:tc>
          <w:tcPr>
            <w:tcW w:w="9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123.63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w:t>
            </w: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二、外交支出</w:t>
            </w:r>
          </w:p>
        </w:tc>
        <w:tc>
          <w:tcPr>
            <w:tcW w:w="3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30</w:t>
            </w: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9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w:t>
            </w: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三、国防支出</w:t>
            </w:r>
          </w:p>
        </w:tc>
        <w:tc>
          <w:tcPr>
            <w:tcW w:w="3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31</w:t>
            </w: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9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w:t>
            </w: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四、公共安全支出</w:t>
            </w:r>
          </w:p>
        </w:tc>
        <w:tc>
          <w:tcPr>
            <w:tcW w:w="3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32</w:t>
            </w: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9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5</w:t>
            </w: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五、教育支出</w:t>
            </w:r>
          </w:p>
        </w:tc>
        <w:tc>
          <w:tcPr>
            <w:tcW w:w="3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33</w:t>
            </w: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9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6</w:t>
            </w: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六、科学技术支出</w:t>
            </w:r>
          </w:p>
        </w:tc>
        <w:tc>
          <w:tcPr>
            <w:tcW w:w="3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34</w:t>
            </w: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9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7</w:t>
            </w: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七、文化体育与传媒支出</w:t>
            </w:r>
          </w:p>
        </w:tc>
        <w:tc>
          <w:tcPr>
            <w:tcW w:w="3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35</w:t>
            </w: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9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8</w:t>
            </w: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八、社会保障和就业支出</w:t>
            </w:r>
          </w:p>
        </w:tc>
        <w:tc>
          <w:tcPr>
            <w:tcW w:w="3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36</w:t>
            </w: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13.77</w:t>
            </w:r>
          </w:p>
        </w:tc>
        <w:tc>
          <w:tcPr>
            <w:tcW w:w="9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13.77</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9</w:t>
            </w: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6"/>
                <w:szCs w:val="16"/>
              </w:rPr>
              <w:t>九、医疗卫生与计划生育支出</w:t>
            </w:r>
          </w:p>
        </w:tc>
        <w:tc>
          <w:tcPr>
            <w:tcW w:w="3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37</w:t>
            </w: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6.53</w:t>
            </w:r>
          </w:p>
        </w:tc>
        <w:tc>
          <w:tcPr>
            <w:tcW w:w="9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6.53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10</w:t>
            </w: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十、节能环保支出</w:t>
            </w:r>
          </w:p>
        </w:tc>
        <w:tc>
          <w:tcPr>
            <w:tcW w:w="3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38</w:t>
            </w: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9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11</w:t>
            </w: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十一、城乡社区支出</w:t>
            </w:r>
          </w:p>
        </w:tc>
        <w:tc>
          <w:tcPr>
            <w:tcW w:w="3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39</w:t>
            </w: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9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12</w:t>
            </w: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十二、农林水支出</w:t>
            </w:r>
          </w:p>
        </w:tc>
        <w:tc>
          <w:tcPr>
            <w:tcW w:w="3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40</w:t>
            </w: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9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13</w:t>
            </w: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十三、交通运输支出</w:t>
            </w:r>
          </w:p>
        </w:tc>
        <w:tc>
          <w:tcPr>
            <w:tcW w:w="3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41</w:t>
            </w: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9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14</w:t>
            </w: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十四、资源勘探信息等支出</w:t>
            </w:r>
          </w:p>
        </w:tc>
        <w:tc>
          <w:tcPr>
            <w:tcW w:w="3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42</w:t>
            </w: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9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15</w:t>
            </w: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十五、商业服务业等支出</w:t>
            </w:r>
          </w:p>
        </w:tc>
        <w:tc>
          <w:tcPr>
            <w:tcW w:w="3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43</w:t>
            </w: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9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16</w:t>
            </w: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十六、金融支出</w:t>
            </w:r>
          </w:p>
        </w:tc>
        <w:tc>
          <w:tcPr>
            <w:tcW w:w="3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44</w:t>
            </w: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9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17</w:t>
            </w: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十七、援助其他地区支出</w:t>
            </w:r>
          </w:p>
        </w:tc>
        <w:tc>
          <w:tcPr>
            <w:tcW w:w="3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45</w:t>
            </w: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9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18</w:t>
            </w: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十八、国土海洋气象等支出</w:t>
            </w:r>
          </w:p>
        </w:tc>
        <w:tc>
          <w:tcPr>
            <w:tcW w:w="3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46</w:t>
            </w: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9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19</w:t>
            </w: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十九、住房保障支出</w:t>
            </w:r>
          </w:p>
        </w:tc>
        <w:tc>
          <w:tcPr>
            <w:tcW w:w="3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47</w:t>
            </w: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9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20</w:t>
            </w: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二十、粮油物资储备支出</w:t>
            </w:r>
          </w:p>
        </w:tc>
        <w:tc>
          <w:tcPr>
            <w:tcW w:w="3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48</w:t>
            </w: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9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21</w:t>
            </w: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二十一、其他支出</w:t>
            </w:r>
          </w:p>
        </w:tc>
        <w:tc>
          <w:tcPr>
            <w:tcW w:w="3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49</w:t>
            </w: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9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22</w:t>
            </w: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二十二、债务还本支出</w:t>
            </w:r>
          </w:p>
        </w:tc>
        <w:tc>
          <w:tcPr>
            <w:tcW w:w="3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50</w:t>
            </w: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9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23</w:t>
            </w: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二十三、债务付息支出</w:t>
            </w:r>
          </w:p>
        </w:tc>
        <w:tc>
          <w:tcPr>
            <w:tcW w:w="3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51</w:t>
            </w: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9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24</w:t>
            </w: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159.45</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cs="宋体"/>
                <w:b/>
                <w:color w:val="000000"/>
                <w:kern w:val="0"/>
                <w:sz w:val="18"/>
                <w:szCs w:val="18"/>
              </w:rPr>
              <w:t>本年支出合计</w:t>
            </w:r>
          </w:p>
        </w:tc>
        <w:tc>
          <w:tcPr>
            <w:tcW w:w="3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52</w:t>
            </w: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9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25</w:t>
            </w: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年末财政拨款结转和结余</w:t>
            </w:r>
          </w:p>
        </w:tc>
        <w:tc>
          <w:tcPr>
            <w:tcW w:w="3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53</w:t>
            </w: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15.51</w:t>
            </w:r>
          </w:p>
        </w:tc>
        <w:tc>
          <w:tcPr>
            <w:tcW w:w="9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15.51</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26</w:t>
            </w: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54</w:t>
            </w: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9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27</w:t>
            </w: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55</w:t>
            </w: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9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cs="宋体"/>
                <w:b/>
                <w:color w:val="000000"/>
                <w:kern w:val="0"/>
                <w:sz w:val="18"/>
                <w:szCs w:val="18"/>
              </w:rPr>
              <w:t>总计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28</w:t>
            </w: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hint="eastAsia" w:ascii="宋体" w:cs="宋体"/>
                <w:color w:val="000000"/>
                <w:sz w:val="18"/>
                <w:szCs w:val="18"/>
              </w:rPr>
              <w:t>159.45</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cs="宋体"/>
                <w:b/>
                <w:color w:val="000000"/>
                <w:kern w:val="0"/>
                <w:sz w:val="18"/>
                <w:szCs w:val="18"/>
              </w:rPr>
              <w:t>总计</w:t>
            </w:r>
          </w:p>
        </w:tc>
        <w:tc>
          <w:tcPr>
            <w:tcW w:w="3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cs="宋体"/>
                <w:color w:val="000000"/>
                <w:kern w:val="0"/>
                <w:sz w:val="18"/>
                <w:szCs w:val="18"/>
              </w:rPr>
              <w:t>56</w:t>
            </w:r>
          </w:p>
        </w:tc>
        <w:tc>
          <w:tcPr>
            <w:tcW w:w="9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fldChar w:fldCharType="begin"/>
            </w:r>
            <w:r>
              <w:rPr>
                <w:rFonts w:ascii="宋体" w:cs="宋体"/>
                <w:color w:val="000000"/>
                <w:sz w:val="18"/>
                <w:szCs w:val="18"/>
              </w:rPr>
              <w:instrText xml:space="preserve"> = sum(F7:F33) \* MERGEFORMAT </w:instrText>
            </w:r>
            <w:r>
              <w:rPr>
                <w:rFonts w:ascii="宋体" w:cs="宋体"/>
                <w:color w:val="000000"/>
                <w:sz w:val="18"/>
                <w:szCs w:val="18"/>
              </w:rPr>
              <w:fldChar w:fldCharType="separate"/>
            </w:r>
            <w:r>
              <w:rPr>
                <w:rFonts w:ascii="宋体" w:cs="宋体"/>
                <w:color w:val="000000"/>
                <w:sz w:val="18"/>
                <w:szCs w:val="18"/>
              </w:rPr>
              <w:t>159.</w:t>
            </w:r>
            <w:r>
              <w:rPr>
                <w:rFonts w:hint="eastAsia" w:ascii="宋体" w:cs="宋体"/>
                <w:color w:val="000000"/>
                <w:sz w:val="18"/>
                <w:szCs w:val="18"/>
              </w:rPr>
              <w:t>4</w:t>
            </w:r>
            <w:r>
              <w:rPr>
                <w:rFonts w:ascii="宋体" w:cs="宋体"/>
                <w:color w:val="000000"/>
                <w:sz w:val="18"/>
                <w:szCs w:val="18"/>
              </w:rPr>
              <w:fldChar w:fldCharType="end"/>
            </w:r>
            <w:r>
              <w:rPr>
                <w:rFonts w:hint="eastAsia" w:ascii="宋体" w:cs="宋体"/>
                <w:color w:val="000000"/>
                <w:sz w:val="18"/>
                <w:szCs w:val="18"/>
              </w:rPr>
              <w:t>5</w:t>
            </w:r>
          </w:p>
        </w:tc>
        <w:tc>
          <w:tcPr>
            <w:tcW w:w="9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fldChar w:fldCharType="begin"/>
            </w:r>
            <w:r>
              <w:rPr>
                <w:rFonts w:ascii="宋体" w:cs="宋体"/>
                <w:color w:val="000000"/>
                <w:sz w:val="18"/>
                <w:szCs w:val="18"/>
              </w:rPr>
              <w:instrText xml:space="preserve"> = sum(F7:F33) \* MERGEFORMAT </w:instrText>
            </w:r>
            <w:r>
              <w:rPr>
                <w:rFonts w:ascii="宋体" w:cs="宋体"/>
                <w:color w:val="000000"/>
                <w:sz w:val="18"/>
                <w:szCs w:val="18"/>
              </w:rPr>
              <w:fldChar w:fldCharType="separate"/>
            </w:r>
            <w:r>
              <w:rPr>
                <w:rFonts w:ascii="宋体" w:cs="宋体"/>
                <w:color w:val="000000"/>
                <w:sz w:val="18"/>
                <w:szCs w:val="18"/>
              </w:rPr>
              <w:t>159.</w:t>
            </w:r>
            <w:r>
              <w:rPr>
                <w:rFonts w:hint="eastAsia" w:ascii="宋体" w:cs="宋体"/>
                <w:color w:val="000000"/>
                <w:sz w:val="18"/>
                <w:szCs w:val="18"/>
              </w:rPr>
              <w:t>4</w:t>
            </w:r>
            <w:r>
              <w:rPr>
                <w:rFonts w:ascii="宋体" w:cs="宋体"/>
                <w:color w:val="000000"/>
                <w:sz w:val="18"/>
                <w:szCs w:val="18"/>
              </w:rPr>
              <w:fldChar w:fldCharType="end"/>
            </w:r>
            <w:r>
              <w:rPr>
                <w:rFonts w:hint="eastAsia" w:ascii="宋体" w:cs="宋体"/>
                <w:color w:val="000000"/>
                <w:sz w:val="18"/>
                <w:szCs w:val="18"/>
              </w:rPr>
              <w:t>5</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55" w:hRule="atLeast"/>
        </w:trPr>
        <w:tc>
          <w:tcPr>
            <w:tcW w:w="9273" w:type="dxa"/>
            <w:gridSpan w:val="1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pPr>
              <w:widowControl/>
              <w:spacing w:after="0" w:line="240" w:lineRule="auto"/>
              <w:jc w:val="center"/>
              <w:textAlignment w:val="bottom"/>
              <w:rPr>
                <w:rFonts w:ascii="黑体" w:eastAsia="黑体" w:cs="黑体"/>
                <w:color w:val="000000"/>
                <w:sz w:val="40"/>
                <w:szCs w:val="40"/>
              </w:rPr>
            </w:pPr>
            <w:r>
              <w:rPr>
                <w:rFonts w:hint="eastAsia" w:ascii="黑体" w:eastAsia="黑体" w:cs="黑体"/>
                <w:color w:val="000000"/>
                <w:kern w:val="0"/>
                <w:sz w:val="40"/>
                <w:szCs w:val="40"/>
              </w:rPr>
              <w:t>一般公共预算财政拨款支出决算表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cs="宋体"/>
                <w:color w:val="000000"/>
                <w:kern w:val="0"/>
                <w:szCs w:val="21"/>
              </w:rPr>
              <w:t>公开05表</w:t>
            </w:r>
          </w:p>
        </w:tc>
      </w:tr>
      <w:tr>
        <w:tblPrEx>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cs="宋体"/>
                <w:color w:val="000000"/>
                <w:kern w:val="0"/>
                <w:szCs w:val="21"/>
              </w:rPr>
              <w:t>部门：</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cs="宋体"/>
                <w:color w:val="000000"/>
                <w:kern w:val="0"/>
                <w:szCs w:val="21"/>
              </w:rPr>
              <w:t>金额单位：万元</w:t>
            </w:r>
          </w:p>
        </w:tc>
      </w:tr>
      <w:tr>
        <w:tblPrEx>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项目支出</w:t>
            </w:r>
          </w:p>
        </w:tc>
      </w:tr>
      <w:tr>
        <w:tblPrEx>
          <w:tblCellMar>
            <w:top w:w="0" w:type="dxa"/>
            <w:left w:w="0" w:type="dxa"/>
            <w:bottom w:w="0" w:type="dxa"/>
            <w:right w:w="0" w:type="dxa"/>
          </w:tblCellMar>
        </w:tblPrEx>
        <w:trPr>
          <w:trHeight w:val="78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78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栏次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3</w:t>
            </w: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cs="宋体"/>
                <w:color w:val="000000"/>
                <w:kern w:val="0"/>
                <w:szCs w:val="21"/>
              </w:rPr>
              <w:t>合计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cs="宋体"/>
                <w:b/>
                <w:color w:val="000000"/>
                <w:szCs w:val="21"/>
              </w:rPr>
            </w:pPr>
            <w:r>
              <w:rPr>
                <w:rFonts w:hint="eastAsia" w:ascii="宋体" w:cs="宋体"/>
                <w:b/>
                <w:color w:val="000000"/>
                <w:szCs w:val="21"/>
              </w:rPr>
              <w:t>143.94</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b/>
                <w:color w:val="000000"/>
                <w:szCs w:val="21"/>
              </w:rPr>
            </w:pPr>
            <w:r>
              <w:rPr>
                <w:rFonts w:hint="eastAsia" w:ascii="宋体" w:cs="宋体"/>
                <w:b/>
                <w:color w:val="000000"/>
                <w:szCs w:val="21"/>
              </w:rPr>
              <w:t>133.24</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b/>
                <w:bCs/>
                <w:color w:val="000000"/>
                <w:szCs w:val="21"/>
              </w:rPr>
            </w:pPr>
            <w:r>
              <w:rPr>
                <w:rFonts w:hint="eastAsia" w:ascii="宋体" w:cs="宋体"/>
                <w:b/>
                <w:bCs/>
                <w:color w:val="000000"/>
                <w:szCs w:val="21"/>
              </w:rPr>
              <w:t>10.7</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2011001</w:t>
            </w:r>
            <w:r>
              <w:rPr>
                <w:rFonts w:hint="eastAsia" w:ascii="宋体" w:cs="宋体"/>
                <w:color w:val="000000"/>
                <w:szCs w:val="21"/>
              </w:rPr>
              <w:tab/>
            </w:r>
            <w:r>
              <w:rPr>
                <w:rFonts w:hint="eastAsia" w:ascii="宋体" w:cs="宋体"/>
                <w:color w:val="000000"/>
                <w:szCs w:val="21"/>
              </w:rPr>
              <w:tab/>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 xml:space="preserve">  行政运行</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hint="eastAsia" w:ascii="宋体" w:cs="宋体"/>
                <w:color w:val="000000"/>
                <w:szCs w:val="21"/>
              </w:rPr>
              <w:t>112.93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112.93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b/>
                <w:bCs/>
                <w:color w:val="000000"/>
                <w:szCs w:val="21"/>
              </w:rPr>
            </w:pPr>
            <w:r>
              <w:rPr>
                <w:rFonts w:hint="eastAsia" w:ascii="宋体" w:cs="宋体"/>
                <w:color w:val="000000"/>
                <w:szCs w:val="21"/>
              </w:rPr>
              <w:t>2011002</w:t>
            </w:r>
            <w:r>
              <w:rPr>
                <w:rFonts w:hint="eastAsia" w:ascii="宋体" w:cs="宋体"/>
                <w:color w:val="000000"/>
                <w:szCs w:val="21"/>
              </w:rPr>
              <w:tab/>
            </w:r>
            <w:r>
              <w:rPr>
                <w:rFonts w:hint="eastAsia" w:ascii="宋体" w:cs="宋体"/>
                <w:color w:val="000000"/>
                <w:szCs w:val="21"/>
              </w:rPr>
              <w:tab/>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hint="eastAsia" w:ascii="宋体" w:cs="宋体"/>
                <w:color w:val="000000"/>
                <w:szCs w:val="21"/>
              </w:rPr>
              <w:t>一般行政管理事务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10.7</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10.7</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2080505</w:t>
            </w:r>
            <w:r>
              <w:rPr>
                <w:rFonts w:hint="eastAsia" w:ascii="宋体" w:cs="宋体"/>
                <w:color w:val="000000"/>
                <w:szCs w:val="21"/>
              </w:rPr>
              <w:tab/>
            </w:r>
            <w:r>
              <w:rPr>
                <w:rFonts w:hint="eastAsia" w:ascii="宋体" w:cs="宋体"/>
                <w:color w:val="000000"/>
                <w:szCs w:val="21"/>
              </w:rPr>
              <w:tab/>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hint="eastAsia" w:ascii="宋体" w:cs="宋体"/>
                <w:color w:val="000000"/>
                <w:szCs w:val="21"/>
              </w:rPr>
              <w:t>机关事业单位基本养老保险缴费支出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13.77</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13.77</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2101101</w:t>
            </w:r>
            <w:r>
              <w:rPr>
                <w:rFonts w:hint="eastAsia" w:ascii="宋体" w:cs="宋体"/>
                <w:color w:val="000000"/>
                <w:szCs w:val="21"/>
              </w:rPr>
              <w:tab/>
            </w:r>
            <w:r>
              <w:rPr>
                <w:rFonts w:hint="eastAsia" w:ascii="宋体" w:cs="宋体"/>
                <w:color w:val="000000"/>
                <w:szCs w:val="21"/>
              </w:rPr>
              <w:tab/>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hint="eastAsia" w:ascii="宋体" w:cs="宋体"/>
                <w:color w:val="000000"/>
                <w:szCs w:val="21"/>
              </w:rPr>
              <w:t>行政单位医疗</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6.53</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hint="eastAsia" w:ascii="宋体" w:cs="宋体"/>
                <w:color w:val="000000"/>
                <w:szCs w:val="21"/>
              </w:rPr>
              <w:t>6.53</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cs="宋体"/>
                <w:color w:val="000000"/>
                <w:kern w:val="0"/>
                <w:szCs w:val="21"/>
              </w:rPr>
              <w:t xml:space="preserve"> </w:t>
            </w:r>
            <w:r>
              <w:rPr>
                <w:rFonts w:hint="eastAsia" w:ascii="宋体" w:hAnsi="宋体" w:cs="宋体"/>
                <w:color w:val="000000"/>
                <w:kern w:val="0"/>
                <w:szCs w:val="21"/>
              </w:rPr>
              <w:t xml:space="preserve">注：本表反映部门本年度一般公共预算财政拨款收入及支出情况。  </w:t>
            </w:r>
            <w:r>
              <w:rPr>
                <w:rFonts w:hint="eastAsia" w:ascii="宋体" w:cs="宋体"/>
                <w:color w:val="000000"/>
                <w:kern w:val="0"/>
                <w:szCs w:val="21"/>
              </w:rPr>
              <w:t xml:space="preserve">     </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9246" w:type="dxa"/>
        <w:jc w:val="center"/>
        <w:tblLayout w:type="fixed"/>
        <w:tblCellMar>
          <w:top w:w="0" w:type="dxa"/>
          <w:left w:w="0" w:type="dxa"/>
          <w:bottom w:w="0" w:type="dxa"/>
          <w:right w:w="0" w:type="dxa"/>
        </w:tblCellMar>
      </w:tblPr>
      <w:tblGrid>
        <w:gridCol w:w="558"/>
        <w:gridCol w:w="1597"/>
        <w:gridCol w:w="840"/>
        <w:gridCol w:w="477"/>
        <w:gridCol w:w="1763"/>
        <w:gridCol w:w="806"/>
        <w:gridCol w:w="560"/>
        <w:gridCol w:w="1788"/>
        <w:gridCol w:w="857"/>
      </w:tblGrid>
      <w:tr>
        <w:tblPrEx>
          <w:tblCellMar>
            <w:top w:w="0" w:type="dxa"/>
            <w:left w:w="0" w:type="dxa"/>
            <w:bottom w:w="0" w:type="dxa"/>
            <w:right w:w="0" w:type="dxa"/>
          </w:tblCellMar>
        </w:tblPrEx>
        <w:trPr>
          <w:trHeight w:val="526" w:hRule="atLeast"/>
          <w:jc w:val="center"/>
        </w:trPr>
        <w:tc>
          <w:tcPr>
            <w:tcW w:w="9246"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eastAsia="黑体" w:cs="黑体"/>
                <w:color w:val="000000"/>
                <w:sz w:val="40"/>
                <w:szCs w:val="40"/>
              </w:rPr>
            </w:pPr>
            <w:r>
              <w:rPr>
                <w:rFonts w:hint="eastAsia" w:ascii="黑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0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cs="宋体"/>
                <w:color w:val="000000"/>
                <w:kern w:val="0"/>
                <w:sz w:val="22"/>
                <w:szCs w:val="22"/>
              </w:rPr>
              <w:t>公开06表</w:t>
            </w:r>
          </w:p>
        </w:tc>
      </w:tr>
      <w:tr>
        <w:tblPrEx>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cs="宋体"/>
                <w:color w:val="000000"/>
                <w:kern w:val="0"/>
                <w:sz w:val="22"/>
                <w:szCs w:val="22"/>
              </w:rPr>
              <w:t>部门：</w:t>
            </w:r>
          </w:p>
        </w:tc>
        <w:tc>
          <w:tcPr>
            <w:tcW w:w="80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人员经费</w:t>
            </w:r>
          </w:p>
        </w:tc>
        <w:tc>
          <w:tcPr>
            <w:tcW w:w="625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科目名称</w:t>
            </w:r>
          </w:p>
        </w:tc>
        <w:tc>
          <w:tcPr>
            <w:tcW w:w="80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决算数</w:t>
            </w:r>
          </w:p>
        </w:tc>
        <w:tc>
          <w:tcPr>
            <w:tcW w:w="5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cs="宋体"/>
                <w:color w:val="000000"/>
                <w:kern w:val="0"/>
                <w:szCs w:val="21"/>
              </w:rPr>
              <w:t>决算数</w:t>
            </w:r>
          </w:p>
        </w:tc>
      </w:tr>
      <w:tr>
        <w:tblPrEx>
          <w:tblCellMar>
            <w:top w:w="0" w:type="dxa"/>
            <w:left w:w="0" w:type="dxa"/>
            <w:bottom w:w="0" w:type="dxa"/>
            <w:right w:w="0" w:type="dxa"/>
          </w:tblCellMar>
        </w:tblPrEx>
        <w:trPr>
          <w:trHeight w:val="784" w:hRule="atLeast"/>
          <w:jc w:val="center"/>
        </w:trPr>
        <w:tc>
          <w:tcPr>
            <w:tcW w:w="55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5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80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5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115.52</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商品和服务支出</w:t>
            </w:r>
          </w:p>
        </w:tc>
        <w:tc>
          <w:tcPr>
            <w:tcW w:w="8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25.23</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79.86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办公费</w:t>
            </w:r>
          </w:p>
        </w:tc>
        <w:tc>
          <w:tcPr>
            <w:tcW w:w="8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12.14</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印刷费</w:t>
            </w:r>
          </w:p>
        </w:tc>
        <w:tc>
          <w:tcPr>
            <w:tcW w:w="8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0.24</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15.36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咨询费</w:t>
            </w:r>
          </w:p>
        </w:tc>
        <w:tc>
          <w:tcPr>
            <w:tcW w:w="8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手续费</w:t>
            </w:r>
          </w:p>
        </w:tc>
        <w:tc>
          <w:tcPr>
            <w:tcW w:w="8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水费</w:t>
            </w:r>
          </w:p>
        </w:tc>
        <w:tc>
          <w:tcPr>
            <w:tcW w:w="8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13.77</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电费</w:t>
            </w:r>
          </w:p>
        </w:tc>
        <w:tc>
          <w:tcPr>
            <w:tcW w:w="8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0.65</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邮电费</w:t>
            </w:r>
          </w:p>
        </w:tc>
        <w:tc>
          <w:tcPr>
            <w:tcW w:w="8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1.78</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6.53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取暖费</w:t>
            </w:r>
          </w:p>
        </w:tc>
        <w:tc>
          <w:tcPr>
            <w:tcW w:w="8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30111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物业管理费</w:t>
            </w:r>
          </w:p>
        </w:tc>
        <w:tc>
          <w:tcPr>
            <w:tcW w:w="8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30112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差旅费</w:t>
            </w:r>
          </w:p>
        </w:tc>
        <w:tc>
          <w:tcPr>
            <w:tcW w:w="8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1.37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30113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因公出国（境）费用</w:t>
            </w:r>
          </w:p>
        </w:tc>
        <w:tc>
          <w:tcPr>
            <w:tcW w:w="8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30114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维修（护）费</w:t>
            </w:r>
          </w:p>
        </w:tc>
        <w:tc>
          <w:tcPr>
            <w:tcW w:w="8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0.58</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30199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租赁费</w:t>
            </w:r>
          </w:p>
        </w:tc>
        <w:tc>
          <w:tcPr>
            <w:tcW w:w="8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会议费</w:t>
            </w:r>
          </w:p>
        </w:tc>
        <w:tc>
          <w:tcPr>
            <w:tcW w:w="8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培训费</w:t>
            </w:r>
          </w:p>
        </w:tc>
        <w:tc>
          <w:tcPr>
            <w:tcW w:w="8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公务接待费</w:t>
            </w:r>
          </w:p>
        </w:tc>
        <w:tc>
          <w:tcPr>
            <w:tcW w:w="8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专用材料费</w:t>
            </w:r>
          </w:p>
        </w:tc>
        <w:tc>
          <w:tcPr>
            <w:tcW w:w="8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30304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被装购置费</w:t>
            </w:r>
          </w:p>
        </w:tc>
        <w:tc>
          <w:tcPr>
            <w:tcW w:w="8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30305</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专用燃料费</w:t>
            </w:r>
          </w:p>
        </w:tc>
        <w:tc>
          <w:tcPr>
            <w:tcW w:w="8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劳务费</w:t>
            </w:r>
          </w:p>
        </w:tc>
        <w:tc>
          <w:tcPr>
            <w:tcW w:w="8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委托业务费</w:t>
            </w:r>
          </w:p>
        </w:tc>
        <w:tc>
          <w:tcPr>
            <w:tcW w:w="8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工会经费</w:t>
            </w:r>
          </w:p>
        </w:tc>
        <w:tc>
          <w:tcPr>
            <w:tcW w:w="8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福利费</w:t>
            </w:r>
          </w:p>
        </w:tc>
        <w:tc>
          <w:tcPr>
            <w:tcW w:w="8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公务用车运行维护费</w:t>
            </w:r>
          </w:p>
        </w:tc>
        <w:tc>
          <w:tcPr>
            <w:tcW w:w="8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3.49</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30399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其他交通费用</w:t>
            </w:r>
          </w:p>
        </w:tc>
        <w:tc>
          <w:tcPr>
            <w:tcW w:w="8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4.92</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税金及附加费用</w:t>
            </w:r>
          </w:p>
        </w:tc>
        <w:tc>
          <w:tcPr>
            <w:tcW w:w="8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cs="宋体"/>
                <w:color w:val="000000"/>
                <w:kern w:val="0"/>
                <w:sz w:val="16"/>
                <w:szCs w:val="16"/>
              </w:rPr>
              <w:t xml:space="preserve">  其他商品和服务支出</w:t>
            </w:r>
          </w:p>
        </w:tc>
        <w:tc>
          <w:tcPr>
            <w:tcW w:w="80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0.053</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cs="宋体"/>
                <w:color w:val="000000"/>
                <w:kern w:val="0"/>
                <w:sz w:val="16"/>
                <w:szCs w:val="16"/>
              </w:rPr>
              <w:t>人员经费合计</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115.52</w:t>
            </w:r>
          </w:p>
        </w:tc>
        <w:tc>
          <w:tcPr>
            <w:tcW w:w="5394"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cs="宋体"/>
                <w:color w:val="000000"/>
                <w:kern w:val="0"/>
                <w:sz w:val="16"/>
                <w:szCs w:val="16"/>
              </w:rPr>
              <w:t>公用经费合计</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rPr>
              <w:t>25.23</w:t>
            </w:r>
          </w:p>
        </w:tc>
      </w:tr>
      <w:tr>
        <w:tblPrEx>
          <w:tblCellMar>
            <w:top w:w="0" w:type="dxa"/>
            <w:left w:w="0" w:type="dxa"/>
            <w:bottom w:w="0" w:type="dxa"/>
            <w:right w:w="0" w:type="dxa"/>
          </w:tblCellMar>
        </w:tblPrEx>
        <w:trPr>
          <w:trHeight w:val="369" w:hRule="atLeast"/>
          <w:jc w:val="center"/>
        </w:trPr>
        <w:tc>
          <w:tcPr>
            <w:tcW w:w="9246"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cs="宋体"/>
                <w:color w:val="000000"/>
                <w:kern w:val="0"/>
                <w:sz w:val="20"/>
                <w:szCs w:val="20"/>
              </w:rPr>
              <w:t xml:space="preserve">       </w:t>
            </w: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eastAsia="黑体" w:cs="黑体"/>
                <w:color w:val="000000"/>
                <w:sz w:val="40"/>
                <w:szCs w:val="40"/>
              </w:rPr>
            </w:pPr>
            <w:r>
              <w:rPr>
                <w:rFonts w:hint="eastAsia" w:ascii="黑体" w:eastAsia="黑体" w:cs="黑体"/>
                <w:color w:val="000000"/>
                <w:kern w:val="0"/>
                <w:sz w:val="40"/>
                <w:szCs w:val="40"/>
              </w:rPr>
              <w:t>一般公共预算财政拨款“三公”经费支出决算表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cs="宋体"/>
                <w:color w:val="000000"/>
                <w:kern w:val="0"/>
                <w:sz w:val="20"/>
                <w:szCs w:val="20"/>
              </w:rPr>
              <w:t>公开07表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 w:val="20"/>
                <w:szCs w:val="20"/>
              </w:rPr>
            </w:pPr>
            <w:r>
              <w:rPr>
                <w:rFonts w:hint="eastAsia" w:ascii="宋体" w:cs="宋体"/>
                <w:color w:val="000000"/>
                <w:kern w:val="0"/>
                <w:sz w:val="20"/>
                <w:szCs w:val="20"/>
              </w:rPr>
              <w:t>部门：</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3.8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 w:val="16"/>
                <w:szCs w:val="16"/>
              </w:rPr>
              <w:t>3.5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0.3</w:t>
            </w: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 w:val="16"/>
                <w:szCs w:val="16"/>
              </w:rPr>
              <w:t>3.49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 w:val="16"/>
                <w:szCs w:val="16"/>
              </w:rPr>
              <w:t>3.49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cs="宋体"/>
                <w:color w:val="000000"/>
                <w:kern w:val="0"/>
                <w:szCs w:val="21"/>
              </w:rPr>
              <w:t xml:space="preserve">  </w:t>
            </w:r>
            <w:r>
              <w:rPr>
                <w:rFonts w:hint="eastAsia" w:ascii="宋体" w:hAnsi="宋体" w:cs="宋体"/>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hint="eastAsia" w:ascii="宋体" w:cs="宋体"/>
                <w:color w:val="000000"/>
                <w:kern w:val="0"/>
                <w:szCs w:val="21"/>
              </w:rPr>
              <w:t xml:space="preserve">        </w:t>
            </w:r>
          </w:p>
        </w:tc>
      </w:tr>
    </w:tbl>
    <w:p>
      <w:pPr>
        <w:widowControl/>
        <w:spacing w:after="0" w:line="560" w:lineRule="exact"/>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296"/>
        <w:gridCol w:w="146"/>
        <w:gridCol w:w="45"/>
        <w:gridCol w:w="163"/>
        <w:gridCol w:w="316"/>
        <w:gridCol w:w="188"/>
        <w:gridCol w:w="274"/>
        <w:gridCol w:w="207"/>
        <w:gridCol w:w="266"/>
        <w:gridCol w:w="110"/>
        <w:gridCol w:w="311"/>
        <w:gridCol w:w="782"/>
        <w:gridCol w:w="1"/>
        <w:gridCol w:w="72"/>
        <w:gridCol w:w="180"/>
        <w:gridCol w:w="537"/>
        <w:gridCol w:w="123"/>
        <w:gridCol w:w="239"/>
        <w:gridCol w:w="747"/>
        <w:gridCol w:w="164"/>
        <w:gridCol w:w="41"/>
        <w:gridCol w:w="154"/>
        <w:gridCol w:w="46"/>
        <w:gridCol w:w="992"/>
        <w:gridCol w:w="40"/>
        <w:gridCol w:w="120"/>
        <w:gridCol w:w="341"/>
        <w:gridCol w:w="691"/>
        <w:gridCol w:w="122"/>
        <w:gridCol w:w="1086"/>
        <w:gridCol w:w="60"/>
        <w:gridCol w:w="80"/>
      </w:tblGrid>
      <w:tr>
        <w:tblPrEx>
          <w:tblCellMar>
            <w:top w:w="0" w:type="dxa"/>
            <w:left w:w="0" w:type="dxa"/>
            <w:bottom w:w="0" w:type="dxa"/>
            <w:right w:w="0" w:type="dxa"/>
          </w:tblCellMar>
        </w:tblPrEx>
        <w:trPr>
          <w:gridAfter w:val="1"/>
          <w:wAfter w:w="80" w:type="dxa"/>
          <w:trHeight w:val="707" w:hRule="atLeast"/>
        </w:trPr>
        <w:tc>
          <w:tcPr>
            <w:tcW w:w="8860" w:type="dxa"/>
            <w:gridSpan w:val="3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eastAsia="黑体" w:cs="黑体"/>
                <w:color w:val="000000"/>
                <w:sz w:val="36"/>
                <w:szCs w:val="36"/>
              </w:rPr>
            </w:pPr>
            <w:r>
              <w:rPr>
                <w:rFonts w:hint="eastAsia" w:ascii="黑体" w:eastAsia="黑体" w:cs="黑体"/>
                <w:color w:val="000000"/>
                <w:kern w:val="0"/>
                <w:sz w:val="36"/>
                <w:szCs w:val="36"/>
              </w:rPr>
              <w:t>政府性基金预算财政拨款收入支出决算表</w:t>
            </w:r>
          </w:p>
        </w:tc>
      </w:tr>
      <w:tr>
        <w:tblPrEx>
          <w:tblCellMar>
            <w:top w:w="0" w:type="dxa"/>
            <w:left w:w="0" w:type="dxa"/>
            <w:bottom w:w="0" w:type="dxa"/>
            <w:right w:w="0" w:type="dxa"/>
          </w:tblCellMar>
        </w:tblPrEx>
        <w:trPr>
          <w:gridAfter w:val="1"/>
          <w:wAfter w:w="80" w:type="dxa"/>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gridSpan w:val="4"/>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gridSpan w:val="4"/>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cs="宋体"/>
                <w:color w:val="000000"/>
                <w:kern w:val="0"/>
                <w:szCs w:val="21"/>
              </w:rPr>
              <w:t>公开08表</w:t>
            </w:r>
          </w:p>
        </w:tc>
      </w:tr>
      <w:tr>
        <w:tblPrEx>
          <w:tblCellMar>
            <w:top w:w="0" w:type="dxa"/>
            <w:left w:w="0" w:type="dxa"/>
            <w:bottom w:w="0" w:type="dxa"/>
            <w:right w:w="0" w:type="dxa"/>
          </w:tblCellMar>
        </w:tblPrEx>
        <w:trPr>
          <w:gridAfter w:val="1"/>
          <w:wAfter w:w="80" w:type="dxa"/>
          <w:trHeight w:val="411" w:hRule="atLeast"/>
        </w:trPr>
        <w:tc>
          <w:tcPr>
            <w:tcW w:w="3177" w:type="dxa"/>
            <w:gridSpan w:val="14"/>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cs="宋体"/>
                <w:color w:val="000000"/>
                <w:kern w:val="0"/>
                <w:szCs w:val="21"/>
              </w:rPr>
              <w:t>部门：</w:t>
            </w:r>
          </w:p>
        </w:tc>
        <w:tc>
          <w:tcPr>
            <w:tcW w:w="84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gridSpan w:val="4"/>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7"/>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cs="宋体"/>
                <w:color w:val="000000"/>
                <w:kern w:val="0"/>
                <w:szCs w:val="21"/>
              </w:rPr>
              <w:t>金额单位：万元</w:t>
            </w:r>
          </w:p>
        </w:tc>
      </w:tr>
      <w:tr>
        <w:tblPrEx>
          <w:tblCellMar>
            <w:top w:w="0" w:type="dxa"/>
            <w:left w:w="0" w:type="dxa"/>
            <w:bottom w:w="0" w:type="dxa"/>
            <w:right w:w="0" w:type="dxa"/>
          </w:tblCellMar>
        </w:tblPrEx>
        <w:trPr>
          <w:gridAfter w:val="1"/>
          <w:wAfter w:w="80" w:type="dxa"/>
          <w:trHeight w:val="324" w:hRule="atLeast"/>
        </w:trPr>
        <w:tc>
          <w:tcPr>
            <w:tcW w:w="2011"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项目</w:t>
            </w:r>
          </w:p>
        </w:tc>
        <w:tc>
          <w:tcPr>
            <w:tcW w:w="1166" w:type="dxa"/>
            <w:gridSpan w:val="4"/>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年初结转和结余</w:t>
            </w:r>
          </w:p>
        </w:tc>
        <w:tc>
          <w:tcPr>
            <w:tcW w:w="840" w:type="dxa"/>
            <w:gridSpan w:val="3"/>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本年收入</w:t>
            </w:r>
          </w:p>
        </w:tc>
        <w:tc>
          <w:tcPr>
            <w:tcW w:w="3575" w:type="dxa"/>
            <w:gridSpan w:val="11"/>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本年支出</w:t>
            </w:r>
          </w:p>
        </w:tc>
        <w:tc>
          <w:tcPr>
            <w:tcW w:w="1268" w:type="dxa"/>
            <w:gridSpan w:val="3"/>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年末结转和结余</w:t>
            </w:r>
          </w:p>
        </w:tc>
      </w:tr>
      <w:tr>
        <w:tblPrEx>
          <w:tblCellMar>
            <w:top w:w="0" w:type="dxa"/>
            <w:left w:w="0" w:type="dxa"/>
            <w:bottom w:w="0" w:type="dxa"/>
            <w:right w:w="0" w:type="dxa"/>
          </w:tblCellMar>
        </w:tblPrEx>
        <w:trPr>
          <w:gridAfter w:val="1"/>
          <w:wAfter w:w="80" w:type="dxa"/>
          <w:trHeight w:val="324" w:hRule="atLeast"/>
        </w:trPr>
        <w:tc>
          <w:tcPr>
            <w:tcW w:w="966" w:type="dxa"/>
            <w:gridSpan w:val="5"/>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功能分类科目编码</w:t>
            </w:r>
          </w:p>
        </w:tc>
        <w:tc>
          <w:tcPr>
            <w:tcW w:w="1045" w:type="dxa"/>
            <w:gridSpan w:val="5"/>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科目名称</w:t>
            </w:r>
          </w:p>
        </w:tc>
        <w:tc>
          <w:tcPr>
            <w:tcW w:w="1166" w:type="dxa"/>
            <w:gridSpan w:val="4"/>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840" w:type="dxa"/>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91" w:type="dxa"/>
            <w:gridSpan w:val="4"/>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小计</w:t>
            </w:r>
          </w:p>
        </w:tc>
        <w:tc>
          <w:tcPr>
            <w:tcW w:w="1192" w:type="dxa"/>
            <w:gridSpan w:val="3"/>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基本支出</w:t>
            </w:r>
          </w:p>
        </w:tc>
        <w:tc>
          <w:tcPr>
            <w:tcW w:w="1192" w:type="dxa"/>
            <w:gridSpan w:val="4"/>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项目支出</w:t>
            </w:r>
          </w:p>
        </w:tc>
        <w:tc>
          <w:tcPr>
            <w:tcW w:w="1268" w:type="dxa"/>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gridAfter w:val="1"/>
          <w:wAfter w:w="80" w:type="dxa"/>
          <w:trHeight w:val="784" w:hRule="atLeast"/>
        </w:trPr>
        <w:tc>
          <w:tcPr>
            <w:tcW w:w="966"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045" w:type="dxa"/>
            <w:gridSpan w:val="5"/>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1166" w:type="dxa"/>
            <w:gridSpan w:val="4"/>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840" w:type="dxa"/>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91" w:type="dxa"/>
            <w:gridSpan w:val="4"/>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92"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92" w:type="dxa"/>
            <w:gridSpan w:val="4"/>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268" w:type="dxa"/>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gridAfter w:val="1"/>
          <w:wAfter w:w="80" w:type="dxa"/>
          <w:trHeight w:val="784" w:hRule="atLeast"/>
        </w:trPr>
        <w:tc>
          <w:tcPr>
            <w:tcW w:w="966"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tc>
        <w:tc>
          <w:tcPr>
            <w:tcW w:w="1045" w:type="dxa"/>
            <w:gridSpan w:val="5"/>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1166" w:type="dxa"/>
            <w:gridSpan w:val="4"/>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840" w:type="dxa"/>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c>
          <w:tcPr>
            <w:tcW w:w="1191" w:type="dxa"/>
            <w:gridSpan w:val="4"/>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92"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192" w:type="dxa"/>
            <w:gridSpan w:val="4"/>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tc>
        <w:tc>
          <w:tcPr>
            <w:tcW w:w="1268" w:type="dxa"/>
            <w:gridSpan w:val="3"/>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tc>
      </w:tr>
      <w:tr>
        <w:tblPrEx>
          <w:tblCellMar>
            <w:top w:w="0" w:type="dxa"/>
            <w:left w:w="0" w:type="dxa"/>
            <w:bottom w:w="0" w:type="dxa"/>
            <w:right w:w="0" w:type="dxa"/>
          </w:tblCellMar>
        </w:tblPrEx>
        <w:trPr>
          <w:gridAfter w:val="1"/>
          <w:wAfter w:w="80" w:type="dxa"/>
          <w:trHeight w:val="324" w:hRule="atLeast"/>
        </w:trPr>
        <w:tc>
          <w:tcPr>
            <w:tcW w:w="2011" w:type="dxa"/>
            <w:gridSpan w:val="10"/>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栏次</w:t>
            </w:r>
          </w:p>
        </w:tc>
        <w:tc>
          <w:tcPr>
            <w:tcW w:w="116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1</w:t>
            </w:r>
          </w:p>
        </w:tc>
        <w:tc>
          <w:tcPr>
            <w:tcW w:w="8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2</w:t>
            </w:r>
          </w:p>
        </w:tc>
        <w:tc>
          <w:tcPr>
            <w:tcW w:w="119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3</w:t>
            </w:r>
          </w:p>
        </w:tc>
        <w:tc>
          <w:tcPr>
            <w:tcW w:w="11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4</w:t>
            </w:r>
          </w:p>
        </w:tc>
        <w:tc>
          <w:tcPr>
            <w:tcW w:w="11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5</w:t>
            </w:r>
          </w:p>
        </w:tc>
        <w:tc>
          <w:tcPr>
            <w:tcW w:w="12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6</w:t>
            </w:r>
          </w:p>
        </w:tc>
      </w:tr>
      <w:tr>
        <w:tblPrEx>
          <w:tblCellMar>
            <w:top w:w="0" w:type="dxa"/>
            <w:left w:w="0" w:type="dxa"/>
            <w:bottom w:w="0" w:type="dxa"/>
            <w:right w:w="0" w:type="dxa"/>
          </w:tblCellMar>
        </w:tblPrEx>
        <w:trPr>
          <w:gridAfter w:val="1"/>
          <w:wAfter w:w="80" w:type="dxa"/>
          <w:trHeight w:val="324" w:hRule="atLeast"/>
        </w:trPr>
        <w:tc>
          <w:tcPr>
            <w:tcW w:w="2011" w:type="dxa"/>
            <w:gridSpan w:val="10"/>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cs="宋体"/>
                <w:color w:val="000000"/>
                <w:kern w:val="0"/>
                <w:szCs w:val="21"/>
              </w:rPr>
              <w:t>合计</w:t>
            </w:r>
          </w:p>
        </w:tc>
        <w:tc>
          <w:tcPr>
            <w:tcW w:w="116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8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2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r>
      <w:tr>
        <w:tblPrEx>
          <w:tblCellMar>
            <w:top w:w="0" w:type="dxa"/>
            <w:left w:w="0" w:type="dxa"/>
            <w:bottom w:w="0" w:type="dxa"/>
            <w:right w:w="0" w:type="dxa"/>
          </w:tblCellMar>
        </w:tblPrEx>
        <w:trPr>
          <w:gridAfter w:val="1"/>
          <w:wAfter w:w="80" w:type="dxa"/>
          <w:trHeight w:val="324" w:hRule="atLeast"/>
        </w:trPr>
        <w:tc>
          <w:tcPr>
            <w:tcW w:w="9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gridAfter w:val="1"/>
          <w:wAfter w:w="80" w:type="dxa"/>
          <w:trHeight w:val="324" w:hRule="atLeast"/>
        </w:trPr>
        <w:tc>
          <w:tcPr>
            <w:tcW w:w="9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gridAfter w:val="1"/>
          <w:wAfter w:w="80" w:type="dxa"/>
          <w:trHeight w:val="324" w:hRule="atLeast"/>
        </w:trPr>
        <w:tc>
          <w:tcPr>
            <w:tcW w:w="9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gridAfter w:val="1"/>
          <w:wAfter w:w="80" w:type="dxa"/>
          <w:trHeight w:val="324" w:hRule="atLeast"/>
        </w:trPr>
        <w:tc>
          <w:tcPr>
            <w:tcW w:w="9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gridAfter w:val="1"/>
          <w:wAfter w:w="80" w:type="dxa"/>
          <w:trHeight w:val="324" w:hRule="atLeast"/>
        </w:trPr>
        <w:tc>
          <w:tcPr>
            <w:tcW w:w="9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gridAfter w:val="1"/>
          <w:wAfter w:w="80" w:type="dxa"/>
          <w:trHeight w:val="324" w:hRule="atLeast"/>
        </w:trPr>
        <w:tc>
          <w:tcPr>
            <w:tcW w:w="9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gridAfter w:val="1"/>
          <w:wAfter w:w="80" w:type="dxa"/>
          <w:trHeight w:val="324" w:hRule="atLeast"/>
        </w:trPr>
        <w:tc>
          <w:tcPr>
            <w:tcW w:w="9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gridAfter w:val="1"/>
          <w:wAfter w:w="80" w:type="dxa"/>
          <w:trHeight w:val="324" w:hRule="atLeast"/>
        </w:trPr>
        <w:tc>
          <w:tcPr>
            <w:tcW w:w="9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gridAfter w:val="1"/>
          <w:wAfter w:w="80" w:type="dxa"/>
          <w:trHeight w:val="324" w:hRule="atLeast"/>
        </w:trPr>
        <w:tc>
          <w:tcPr>
            <w:tcW w:w="9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gridAfter w:val="1"/>
          <w:wAfter w:w="80" w:type="dxa"/>
          <w:trHeight w:val="324" w:hRule="atLeast"/>
        </w:trPr>
        <w:tc>
          <w:tcPr>
            <w:tcW w:w="966"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gridAfter w:val="1"/>
          <w:wAfter w:w="80" w:type="dxa"/>
          <w:trHeight w:val="324" w:hRule="atLeast"/>
        </w:trPr>
        <w:tc>
          <w:tcPr>
            <w:tcW w:w="8860" w:type="dxa"/>
            <w:gridSpan w:val="3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cs="宋体"/>
                <w:color w:val="000000"/>
                <w:kern w:val="0"/>
                <w:szCs w:val="21"/>
              </w:rPr>
              <w:t xml:space="preserve">       </w:t>
            </w:r>
            <w:r>
              <w:rPr>
                <w:rFonts w:hint="eastAsia" w:ascii="宋体" w:hAnsi="宋体" w:cs="宋体"/>
                <w:color w:val="000000"/>
                <w:kern w:val="0"/>
                <w:szCs w:val="21"/>
              </w:rPr>
              <w:t xml:space="preserve">注：本表反映部门本年度政府性基金预算财政拨款收入、支出及结转和结余情况。 </w:t>
            </w:r>
          </w:p>
        </w:tc>
      </w:tr>
      <w:tr>
        <w:tblPrEx>
          <w:tblCellMar>
            <w:top w:w="0" w:type="dxa"/>
            <w:left w:w="0" w:type="dxa"/>
            <w:bottom w:w="0" w:type="dxa"/>
            <w:right w:w="0" w:type="dxa"/>
          </w:tblCellMar>
        </w:tblPrEx>
        <w:trPr>
          <w:gridAfter w:val="2"/>
          <w:wAfter w:w="140" w:type="dxa"/>
          <w:trHeight w:val="656" w:hRule="atLeast"/>
        </w:trPr>
        <w:tc>
          <w:tcPr>
            <w:tcW w:w="8800" w:type="dxa"/>
            <w:gridSpan w:val="30"/>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hint="eastAsia" w:ascii="黑体" w:eastAsia="黑体" w:cs="黑体"/>
                <w:color w:val="000000"/>
                <w:kern w:val="0"/>
                <w:sz w:val="40"/>
                <w:szCs w:val="40"/>
              </w:rPr>
            </w:pPr>
          </w:p>
          <w:p>
            <w:pPr>
              <w:widowControl/>
              <w:spacing w:after="0" w:line="240" w:lineRule="auto"/>
              <w:jc w:val="center"/>
              <w:textAlignment w:val="center"/>
              <w:rPr>
                <w:rFonts w:hint="eastAsia" w:ascii="黑体" w:eastAsia="黑体" w:cs="黑体"/>
                <w:color w:val="000000"/>
                <w:kern w:val="0"/>
                <w:sz w:val="40"/>
                <w:szCs w:val="40"/>
              </w:rPr>
            </w:pPr>
          </w:p>
          <w:p>
            <w:pPr>
              <w:widowControl/>
              <w:spacing w:after="0" w:line="240" w:lineRule="auto"/>
              <w:jc w:val="center"/>
              <w:textAlignment w:val="center"/>
              <w:rPr>
                <w:rFonts w:hint="eastAsia" w:ascii="黑体" w:eastAsia="黑体" w:cs="黑体"/>
                <w:color w:val="000000"/>
                <w:kern w:val="0"/>
                <w:sz w:val="40"/>
                <w:szCs w:val="40"/>
              </w:rPr>
            </w:pPr>
          </w:p>
          <w:p>
            <w:pPr>
              <w:widowControl/>
              <w:spacing w:after="0" w:line="240" w:lineRule="auto"/>
              <w:jc w:val="center"/>
              <w:textAlignment w:val="center"/>
              <w:rPr>
                <w:rFonts w:hint="eastAsia" w:ascii="黑体" w:eastAsia="黑体" w:cs="黑体"/>
                <w:color w:val="000000"/>
                <w:kern w:val="0"/>
                <w:sz w:val="40"/>
                <w:szCs w:val="40"/>
              </w:rPr>
            </w:pPr>
          </w:p>
          <w:p>
            <w:pPr>
              <w:widowControl/>
              <w:spacing w:after="0" w:line="240" w:lineRule="auto"/>
              <w:jc w:val="center"/>
              <w:textAlignment w:val="center"/>
              <w:rPr>
                <w:rFonts w:hint="eastAsia" w:ascii="黑体" w:eastAsia="黑体" w:cs="黑体"/>
                <w:color w:val="000000"/>
                <w:kern w:val="0"/>
                <w:sz w:val="40"/>
                <w:szCs w:val="40"/>
              </w:rPr>
            </w:pPr>
          </w:p>
          <w:p>
            <w:pPr>
              <w:widowControl/>
              <w:spacing w:after="0" w:line="240" w:lineRule="auto"/>
              <w:jc w:val="center"/>
              <w:textAlignment w:val="center"/>
              <w:rPr>
                <w:rFonts w:hint="eastAsia" w:ascii="黑体" w:eastAsia="黑体" w:cs="黑体"/>
                <w:color w:val="000000"/>
                <w:kern w:val="0"/>
                <w:sz w:val="40"/>
                <w:szCs w:val="40"/>
              </w:rPr>
            </w:pPr>
          </w:p>
          <w:p>
            <w:pPr>
              <w:widowControl/>
              <w:spacing w:after="0" w:line="240" w:lineRule="auto"/>
              <w:jc w:val="center"/>
              <w:textAlignment w:val="center"/>
              <w:rPr>
                <w:rFonts w:hint="eastAsia" w:ascii="黑体" w:eastAsia="黑体" w:cs="黑体"/>
                <w:color w:val="000000"/>
                <w:kern w:val="0"/>
                <w:sz w:val="40"/>
                <w:szCs w:val="40"/>
              </w:rPr>
            </w:pPr>
          </w:p>
          <w:p>
            <w:pPr>
              <w:widowControl/>
              <w:spacing w:after="0" w:line="240" w:lineRule="auto"/>
              <w:jc w:val="center"/>
              <w:textAlignment w:val="center"/>
              <w:rPr>
                <w:rFonts w:ascii="黑体" w:eastAsia="黑体" w:cs="黑体"/>
                <w:color w:val="000000"/>
                <w:sz w:val="40"/>
                <w:szCs w:val="40"/>
              </w:rPr>
            </w:pPr>
            <w:r>
              <w:rPr>
                <w:rFonts w:hint="eastAsia" w:ascii="黑体" w:eastAsia="黑体" w:cs="黑体"/>
                <w:color w:val="000000"/>
                <w:kern w:val="0"/>
                <w:sz w:val="40"/>
                <w:szCs w:val="40"/>
              </w:rPr>
              <w:t>国有资本经营预算财政拨款支出决算表</w:t>
            </w:r>
          </w:p>
        </w:tc>
      </w:tr>
      <w:tr>
        <w:tblPrEx>
          <w:tblCellMar>
            <w:top w:w="0" w:type="dxa"/>
            <w:left w:w="0" w:type="dxa"/>
            <w:bottom w:w="0" w:type="dxa"/>
            <w:right w:w="0" w:type="dxa"/>
          </w:tblCellMar>
        </w:tblPrEx>
        <w:trPr>
          <w:gridAfter w:val="2"/>
          <w:wAfter w:w="140" w:type="dxa"/>
          <w:trHeight w:val="335" w:hRule="atLeast"/>
        </w:trPr>
        <w:tc>
          <w:tcPr>
            <w:tcW w:w="44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8"/>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cs="宋体"/>
                <w:color w:val="000000"/>
                <w:kern w:val="0"/>
                <w:sz w:val="22"/>
                <w:szCs w:val="22"/>
              </w:rPr>
              <w:t>公开09表</w:t>
            </w:r>
          </w:p>
        </w:tc>
      </w:tr>
      <w:tr>
        <w:tblPrEx>
          <w:tblCellMar>
            <w:top w:w="0" w:type="dxa"/>
            <w:left w:w="0" w:type="dxa"/>
            <w:bottom w:w="0" w:type="dxa"/>
            <w:right w:w="0" w:type="dxa"/>
          </w:tblCellMar>
        </w:tblPrEx>
        <w:trPr>
          <w:gridAfter w:val="2"/>
          <w:wAfter w:w="140" w:type="dxa"/>
          <w:trHeight w:val="335" w:hRule="atLeast"/>
        </w:trPr>
        <w:tc>
          <w:tcPr>
            <w:tcW w:w="3357" w:type="dxa"/>
            <w:gridSpan w:val="1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cs="宋体"/>
                <w:color w:val="000000"/>
                <w:kern w:val="0"/>
                <w:sz w:val="22"/>
                <w:szCs w:val="22"/>
              </w:rPr>
              <w:t>编制单位：</w:t>
            </w:r>
          </w:p>
        </w:tc>
        <w:tc>
          <w:tcPr>
            <w:tcW w:w="2005"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8"/>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cs="宋体"/>
                <w:color w:val="000000"/>
                <w:kern w:val="0"/>
                <w:sz w:val="22"/>
                <w:szCs w:val="22"/>
              </w:rPr>
              <w:t>金额单位：万元</w:t>
            </w:r>
          </w:p>
        </w:tc>
      </w:tr>
      <w:tr>
        <w:tblPrEx>
          <w:tblCellMar>
            <w:top w:w="0" w:type="dxa"/>
            <w:left w:w="0" w:type="dxa"/>
            <w:bottom w:w="0" w:type="dxa"/>
            <w:right w:w="0" w:type="dxa"/>
          </w:tblCellMar>
        </w:tblPrEx>
        <w:trPr>
          <w:gridAfter w:val="2"/>
          <w:wAfter w:w="140" w:type="dxa"/>
          <w:trHeight w:val="358" w:hRule="atLeast"/>
        </w:trPr>
        <w:tc>
          <w:tcPr>
            <w:tcW w:w="3105" w:type="dxa"/>
            <w:gridSpan w:val="1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科目</w:t>
            </w:r>
          </w:p>
        </w:tc>
        <w:tc>
          <w:tcPr>
            <w:tcW w:w="5695" w:type="dxa"/>
            <w:gridSpan w:val="17"/>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本年支出</w:t>
            </w:r>
          </w:p>
        </w:tc>
      </w:tr>
      <w:tr>
        <w:tblPrEx>
          <w:tblCellMar>
            <w:top w:w="0" w:type="dxa"/>
            <w:left w:w="0" w:type="dxa"/>
            <w:bottom w:w="0" w:type="dxa"/>
            <w:right w:w="0" w:type="dxa"/>
          </w:tblCellMar>
        </w:tblPrEx>
        <w:trPr>
          <w:gridAfter w:val="2"/>
          <w:wAfter w:w="140" w:type="dxa"/>
          <w:trHeight w:val="826" w:hRule="atLeast"/>
        </w:trPr>
        <w:tc>
          <w:tcPr>
            <w:tcW w:w="1428" w:type="dxa"/>
            <w:gridSpan w:val="7"/>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功能分类科目编码</w:t>
            </w:r>
          </w:p>
        </w:tc>
        <w:tc>
          <w:tcPr>
            <w:tcW w:w="16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科目名称</w:t>
            </w:r>
          </w:p>
        </w:tc>
        <w:tc>
          <w:tcPr>
            <w:tcW w:w="189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小计</w:t>
            </w:r>
          </w:p>
        </w:tc>
        <w:tc>
          <w:tcPr>
            <w:tcW w:w="1898"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基本支出</w:t>
            </w:r>
          </w:p>
        </w:tc>
        <w:tc>
          <w:tcPr>
            <w:tcW w:w="189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项目支出</w:t>
            </w:r>
          </w:p>
        </w:tc>
      </w:tr>
      <w:tr>
        <w:tblPrEx>
          <w:tblCellMar>
            <w:top w:w="0" w:type="dxa"/>
            <w:left w:w="0" w:type="dxa"/>
            <w:bottom w:w="0" w:type="dxa"/>
            <w:right w:w="0" w:type="dxa"/>
          </w:tblCellMar>
        </w:tblPrEx>
        <w:trPr>
          <w:gridAfter w:val="2"/>
          <w:wAfter w:w="140" w:type="dxa"/>
          <w:trHeight w:val="358" w:hRule="atLeast"/>
        </w:trPr>
        <w:tc>
          <w:tcPr>
            <w:tcW w:w="3105" w:type="dxa"/>
            <w:gridSpan w:val="1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栏次</w:t>
            </w:r>
          </w:p>
        </w:tc>
        <w:tc>
          <w:tcPr>
            <w:tcW w:w="189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1</w:t>
            </w:r>
          </w:p>
        </w:tc>
        <w:tc>
          <w:tcPr>
            <w:tcW w:w="1898"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2</w:t>
            </w:r>
          </w:p>
        </w:tc>
        <w:tc>
          <w:tcPr>
            <w:tcW w:w="189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3</w:t>
            </w:r>
          </w:p>
        </w:tc>
      </w:tr>
      <w:tr>
        <w:tblPrEx>
          <w:tblCellMar>
            <w:top w:w="0" w:type="dxa"/>
            <w:left w:w="0" w:type="dxa"/>
            <w:bottom w:w="0" w:type="dxa"/>
            <w:right w:w="0" w:type="dxa"/>
          </w:tblCellMar>
        </w:tblPrEx>
        <w:trPr>
          <w:gridAfter w:val="2"/>
          <w:wAfter w:w="140" w:type="dxa"/>
          <w:trHeight w:val="358" w:hRule="atLeast"/>
        </w:trPr>
        <w:tc>
          <w:tcPr>
            <w:tcW w:w="3105" w:type="dxa"/>
            <w:gridSpan w:val="1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cs="宋体"/>
                <w:color w:val="000000"/>
                <w:kern w:val="0"/>
                <w:sz w:val="22"/>
                <w:szCs w:val="22"/>
              </w:rPr>
              <w:t>合计</w:t>
            </w:r>
          </w:p>
        </w:tc>
        <w:tc>
          <w:tcPr>
            <w:tcW w:w="189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gridAfter w:val="2"/>
          <w:wAfter w:w="140" w:type="dxa"/>
          <w:trHeight w:val="346" w:hRule="atLeast"/>
        </w:trPr>
        <w:tc>
          <w:tcPr>
            <w:tcW w:w="1428"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gridAfter w:val="2"/>
          <w:wAfter w:w="140" w:type="dxa"/>
          <w:trHeight w:val="346" w:hRule="atLeast"/>
        </w:trPr>
        <w:tc>
          <w:tcPr>
            <w:tcW w:w="1428"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gridAfter w:val="2"/>
          <w:wAfter w:w="140" w:type="dxa"/>
          <w:trHeight w:val="346" w:hRule="atLeast"/>
        </w:trPr>
        <w:tc>
          <w:tcPr>
            <w:tcW w:w="1428"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gridAfter w:val="2"/>
          <w:wAfter w:w="140" w:type="dxa"/>
          <w:trHeight w:val="346" w:hRule="atLeast"/>
        </w:trPr>
        <w:tc>
          <w:tcPr>
            <w:tcW w:w="1428"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gridAfter w:val="2"/>
          <w:wAfter w:w="140" w:type="dxa"/>
          <w:trHeight w:val="346" w:hRule="atLeast"/>
        </w:trPr>
        <w:tc>
          <w:tcPr>
            <w:tcW w:w="1428"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gridAfter w:val="2"/>
          <w:wAfter w:w="140" w:type="dxa"/>
          <w:trHeight w:val="346" w:hRule="atLeast"/>
        </w:trPr>
        <w:tc>
          <w:tcPr>
            <w:tcW w:w="1428"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8"/>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gridAfter w:val="2"/>
          <w:wAfter w:w="140" w:type="dxa"/>
          <w:trHeight w:val="358" w:hRule="atLeast"/>
        </w:trPr>
        <w:tc>
          <w:tcPr>
            <w:tcW w:w="8800" w:type="dxa"/>
            <w:gridSpan w:val="30"/>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注：本表反映部门本年度国有资本经营预算财政拨款支出情况。</w:t>
            </w:r>
          </w:p>
        </w:tc>
      </w:tr>
      <w:tr>
        <w:tblPrEx>
          <w:tblCellMar>
            <w:top w:w="0" w:type="dxa"/>
            <w:left w:w="0" w:type="dxa"/>
            <w:bottom w:w="0" w:type="dxa"/>
            <w:right w:w="0" w:type="dxa"/>
          </w:tblCellMar>
        </w:tblPrEx>
        <w:trPr>
          <w:trHeight w:val="635" w:hRule="atLeast"/>
        </w:trPr>
        <w:tc>
          <w:tcPr>
            <w:tcW w:w="8940" w:type="dxa"/>
            <w:gridSpan w:val="3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hint="eastAsia" w:ascii="黑体" w:eastAsia="黑体" w:cs="黑体"/>
                <w:color w:val="000000"/>
                <w:kern w:val="0"/>
                <w:sz w:val="40"/>
                <w:szCs w:val="40"/>
              </w:rPr>
            </w:pPr>
          </w:p>
          <w:p>
            <w:pPr>
              <w:widowControl/>
              <w:adjustRightInd w:val="0"/>
              <w:snapToGrid w:val="0"/>
              <w:spacing w:after="0" w:line="240" w:lineRule="auto"/>
              <w:jc w:val="center"/>
              <w:textAlignment w:val="center"/>
              <w:rPr>
                <w:rFonts w:hint="eastAsia" w:ascii="黑体" w:eastAsia="黑体" w:cs="黑体"/>
                <w:color w:val="000000"/>
                <w:kern w:val="0"/>
                <w:sz w:val="40"/>
                <w:szCs w:val="40"/>
              </w:rPr>
            </w:pPr>
          </w:p>
          <w:p>
            <w:pPr>
              <w:widowControl/>
              <w:adjustRightInd w:val="0"/>
              <w:snapToGrid w:val="0"/>
              <w:spacing w:after="0" w:line="240" w:lineRule="auto"/>
              <w:jc w:val="center"/>
              <w:textAlignment w:val="center"/>
              <w:rPr>
                <w:rFonts w:hint="eastAsia" w:ascii="黑体" w:eastAsia="黑体" w:cs="黑体"/>
                <w:color w:val="000000"/>
                <w:kern w:val="0"/>
                <w:sz w:val="40"/>
                <w:szCs w:val="40"/>
              </w:rPr>
            </w:pPr>
          </w:p>
          <w:p>
            <w:pPr>
              <w:widowControl/>
              <w:adjustRightInd w:val="0"/>
              <w:snapToGrid w:val="0"/>
              <w:spacing w:after="0" w:line="240" w:lineRule="auto"/>
              <w:jc w:val="center"/>
              <w:textAlignment w:val="center"/>
              <w:rPr>
                <w:rFonts w:hint="eastAsia" w:ascii="黑体" w:eastAsia="黑体" w:cs="黑体"/>
                <w:color w:val="000000"/>
                <w:kern w:val="0"/>
                <w:sz w:val="40"/>
                <w:szCs w:val="40"/>
              </w:rPr>
            </w:pPr>
          </w:p>
          <w:p>
            <w:pPr>
              <w:widowControl/>
              <w:adjustRightInd w:val="0"/>
              <w:snapToGrid w:val="0"/>
              <w:spacing w:after="0" w:line="240" w:lineRule="auto"/>
              <w:jc w:val="center"/>
              <w:textAlignment w:val="center"/>
              <w:rPr>
                <w:rFonts w:hint="eastAsia" w:ascii="黑体" w:eastAsia="黑体" w:cs="黑体"/>
                <w:color w:val="000000"/>
                <w:kern w:val="0"/>
                <w:sz w:val="40"/>
                <w:szCs w:val="40"/>
              </w:rPr>
            </w:pPr>
          </w:p>
          <w:p>
            <w:pPr>
              <w:widowControl/>
              <w:adjustRightInd w:val="0"/>
              <w:snapToGrid w:val="0"/>
              <w:spacing w:after="0" w:line="240" w:lineRule="auto"/>
              <w:jc w:val="center"/>
              <w:textAlignment w:val="center"/>
              <w:rPr>
                <w:rFonts w:hint="eastAsia" w:ascii="黑体" w:eastAsia="黑体" w:cs="黑体"/>
                <w:color w:val="000000"/>
                <w:kern w:val="0"/>
                <w:sz w:val="40"/>
                <w:szCs w:val="40"/>
              </w:rPr>
            </w:pPr>
          </w:p>
          <w:p>
            <w:pPr>
              <w:widowControl/>
              <w:adjustRightInd w:val="0"/>
              <w:snapToGrid w:val="0"/>
              <w:spacing w:after="0" w:line="240" w:lineRule="auto"/>
              <w:jc w:val="center"/>
              <w:textAlignment w:val="center"/>
              <w:rPr>
                <w:rFonts w:hint="eastAsia" w:ascii="黑体" w:eastAsia="黑体" w:cs="黑体"/>
                <w:color w:val="000000"/>
                <w:kern w:val="0"/>
                <w:sz w:val="40"/>
                <w:szCs w:val="40"/>
              </w:rPr>
            </w:pPr>
          </w:p>
          <w:p>
            <w:pPr>
              <w:widowControl/>
              <w:adjustRightInd w:val="0"/>
              <w:snapToGrid w:val="0"/>
              <w:spacing w:after="0" w:line="240" w:lineRule="auto"/>
              <w:jc w:val="center"/>
              <w:textAlignment w:val="center"/>
              <w:rPr>
                <w:rFonts w:hint="eastAsia" w:ascii="黑体" w:eastAsia="黑体" w:cs="黑体"/>
                <w:color w:val="000000"/>
                <w:kern w:val="0"/>
                <w:sz w:val="40"/>
                <w:szCs w:val="40"/>
              </w:rPr>
            </w:pPr>
          </w:p>
          <w:p>
            <w:pPr>
              <w:widowControl/>
              <w:adjustRightInd w:val="0"/>
              <w:snapToGrid w:val="0"/>
              <w:spacing w:after="0" w:line="240" w:lineRule="auto"/>
              <w:jc w:val="center"/>
              <w:textAlignment w:val="center"/>
              <w:rPr>
                <w:rFonts w:hint="eastAsia" w:ascii="黑体" w:eastAsia="黑体" w:cs="黑体"/>
                <w:color w:val="000000"/>
                <w:kern w:val="0"/>
                <w:sz w:val="40"/>
                <w:szCs w:val="40"/>
              </w:rPr>
            </w:pPr>
          </w:p>
          <w:p>
            <w:pPr>
              <w:widowControl/>
              <w:adjustRightInd w:val="0"/>
              <w:snapToGrid w:val="0"/>
              <w:spacing w:after="0" w:line="240" w:lineRule="auto"/>
              <w:jc w:val="center"/>
              <w:textAlignment w:val="center"/>
              <w:rPr>
                <w:rFonts w:hint="eastAsia" w:ascii="黑体" w:eastAsia="黑体" w:cs="黑体"/>
                <w:color w:val="000000"/>
                <w:kern w:val="0"/>
                <w:sz w:val="40"/>
                <w:szCs w:val="40"/>
              </w:rPr>
            </w:pPr>
          </w:p>
          <w:p>
            <w:pPr>
              <w:widowControl/>
              <w:adjustRightInd w:val="0"/>
              <w:snapToGrid w:val="0"/>
              <w:spacing w:after="0" w:line="240" w:lineRule="auto"/>
              <w:jc w:val="center"/>
              <w:textAlignment w:val="center"/>
              <w:rPr>
                <w:rFonts w:hint="eastAsia" w:ascii="黑体" w:eastAsia="黑体" w:cs="黑体"/>
                <w:color w:val="000000"/>
                <w:kern w:val="0"/>
                <w:sz w:val="40"/>
                <w:szCs w:val="40"/>
              </w:rPr>
            </w:pPr>
          </w:p>
          <w:p>
            <w:pPr>
              <w:widowControl/>
              <w:adjustRightInd w:val="0"/>
              <w:snapToGrid w:val="0"/>
              <w:spacing w:after="0" w:line="240" w:lineRule="auto"/>
              <w:jc w:val="center"/>
              <w:textAlignment w:val="center"/>
              <w:rPr>
                <w:rFonts w:hint="eastAsia" w:ascii="黑体" w:eastAsia="黑体" w:cs="黑体"/>
                <w:color w:val="000000"/>
                <w:kern w:val="0"/>
                <w:sz w:val="40"/>
                <w:szCs w:val="40"/>
              </w:rPr>
            </w:pPr>
          </w:p>
          <w:p>
            <w:pPr>
              <w:widowControl/>
              <w:adjustRightInd w:val="0"/>
              <w:snapToGrid w:val="0"/>
              <w:spacing w:after="0" w:line="240" w:lineRule="auto"/>
              <w:jc w:val="center"/>
              <w:textAlignment w:val="center"/>
              <w:rPr>
                <w:rFonts w:hint="eastAsia" w:ascii="黑体" w:eastAsia="黑体" w:cs="黑体"/>
                <w:color w:val="000000"/>
                <w:kern w:val="0"/>
                <w:sz w:val="40"/>
                <w:szCs w:val="40"/>
              </w:rPr>
            </w:pPr>
          </w:p>
          <w:p>
            <w:pPr>
              <w:widowControl/>
              <w:adjustRightInd w:val="0"/>
              <w:snapToGrid w:val="0"/>
              <w:spacing w:after="0" w:line="240" w:lineRule="auto"/>
              <w:jc w:val="center"/>
              <w:textAlignment w:val="center"/>
              <w:rPr>
                <w:rFonts w:ascii="黑体" w:eastAsia="黑体" w:cs="黑体"/>
                <w:color w:val="000000"/>
                <w:sz w:val="40"/>
                <w:szCs w:val="40"/>
              </w:rPr>
            </w:pPr>
            <w:r>
              <w:rPr>
                <w:rFonts w:hint="eastAsia" w:ascii="黑体" w:eastAsia="黑体" w:cs="黑体"/>
                <w:color w:val="000000"/>
                <w:kern w:val="0"/>
                <w:sz w:val="40"/>
                <w:szCs w:val="40"/>
              </w:rPr>
              <w:t>政府采购情况表</w:t>
            </w:r>
          </w:p>
        </w:tc>
      </w:tr>
      <w:tr>
        <w:tblPrEx>
          <w:tblCellMar>
            <w:top w:w="0" w:type="dxa"/>
            <w:left w:w="0" w:type="dxa"/>
            <w:bottom w:w="0" w:type="dxa"/>
            <w:right w:w="0" w:type="dxa"/>
          </w:tblCellMar>
        </w:tblPrEx>
        <w:trPr>
          <w:trHeight w:val="326" w:hRule="atLeast"/>
        </w:trPr>
        <w:tc>
          <w:tcPr>
            <w:tcW w:w="1901" w:type="dxa"/>
            <w:gridSpan w:val="9"/>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gridSpan w:val="4"/>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4"/>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7"/>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cs="宋体"/>
                <w:color w:val="000000"/>
                <w:kern w:val="0"/>
                <w:szCs w:val="21"/>
              </w:rPr>
              <w:t>公开10表</w:t>
            </w:r>
          </w:p>
        </w:tc>
      </w:tr>
      <w:tr>
        <w:tblPrEx>
          <w:tblCellMar>
            <w:top w:w="0" w:type="dxa"/>
            <w:left w:w="0" w:type="dxa"/>
            <w:bottom w:w="0" w:type="dxa"/>
            <w:right w:w="0" w:type="dxa"/>
          </w:tblCellMar>
        </w:tblPrEx>
        <w:trPr>
          <w:trHeight w:val="360" w:hRule="atLeast"/>
        </w:trPr>
        <w:tc>
          <w:tcPr>
            <w:tcW w:w="6440" w:type="dxa"/>
            <w:gridSpan w:val="2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cs="宋体"/>
                <w:color w:val="000000"/>
                <w:kern w:val="0"/>
                <w:szCs w:val="21"/>
              </w:rPr>
              <w:t>编制单位：</w:t>
            </w:r>
          </w:p>
        </w:tc>
        <w:tc>
          <w:tcPr>
            <w:tcW w:w="2500" w:type="dxa"/>
            <w:gridSpan w:val="7"/>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gridSpan w:val="9"/>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项目</w:t>
            </w:r>
          </w:p>
        </w:tc>
        <w:tc>
          <w:tcPr>
            <w:tcW w:w="7039" w:type="dxa"/>
            <w:gridSpan w:val="2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901"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tc>
        <w:tc>
          <w:tcPr>
            <w:tcW w:w="1203" w:type="dxa"/>
            <w:gridSpan w:val="3"/>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总计</w:t>
            </w:r>
          </w:p>
        </w:tc>
        <w:tc>
          <w:tcPr>
            <w:tcW w:w="4610" w:type="dxa"/>
            <w:gridSpan w:val="1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采购预算（财政性资金）</w:t>
            </w:r>
          </w:p>
        </w:tc>
        <w:tc>
          <w:tcPr>
            <w:tcW w:w="1226" w:type="dxa"/>
            <w:gridSpan w:val="3"/>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901"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tc>
        <w:tc>
          <w:tcPr>
            <w:tcW w:w="1203"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1152"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合计</w:t>
            </w:r>
          </w:p>
        </w:tc>
        <w:tc>
          <w:tcPr>
            <w:tcW w:w="1152"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一般公共预算</w:t>
            </w:r>
          </w:p>
        </w:tc>
        <w:tc>
          <w:tcPr>
            <w:tcW w:w="1152"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政府性基金预算</w:t>
            </w:r>
          </w:p>
        </w:tc>
        <w:tc>
          <w:tcPr>
            <w:tcW w:w="1154"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其他资金</w:t>
            </w:r>
          </w:p>
        </w:tc>
        <w:tc>
          <w:tcPr>
            <w:tcW w:w="1226"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r>
      <w:tr>
        <w:tblPrEx>
          <w:tblCellMar>
            <w:top w:w="0" w:type="dxa"/>
            <w:left w:w="0" w:type="dxa"/>
            <w:bottom w:w="0" w:type="dxa"/>
            <w:right w:w="0" w:type="dxa"/>
          </w:tblCellMar>
        </w:tblPrEx>
        <w:trPr>
          <w:trHeight w:val="335" w:hRule="atLeast"/>
        </w:trPr>
        <w:tc>
          <w:tcPr>
            <w:tcW w:w="1901"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栏次</w:t>
            </w:r>
          </w:p>
        </w:tc>
        <w:tc>
          <w:tcPr>
            <w:tcW w:w="12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1</w:t>
            </w:r>
          </w:p>
        </w:tc>
        <w:tc>
          <w:tcPr>
            <w:tcW w:w="1152"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2</w:t>
            </w:r>
          </w:p>
        </w:tc>
        <w:tc>
          <w:tcPr>
            <w:tcW w:w="1152"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3</w:t>
            </w:r>
          </w:p>
        </w:tc>
        <w:tc>
          <w:tcPr>
            <w:tcW w:w="115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4</w:t>
            </w:r>
          </w:p>
        </w:tc>
        <w:tc>
          <w:tcPr>
            <w:tcW w:w="11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5</w:t>
            </w:r>
          </w:p>
        </w:tc>
        <w:tc>
          <w:tcPr>
            <w:tcW w:w="122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6</w:t>
            </w:r>
          </w:p>
        </w:tc>
      </w:tr>
      <w:tr>
        <w:tblPrEx>
          <w:tblCellMar>
            <w:top w:w="0" w:type="dxa"/>
            <w:left w:w="0" w:type="dxa"/>
            <w:bottom w:w="0" w:type="dxa"/>
            <w:right w:w="0" w:type="dxa"/>
          </w:tblCellMar>
        </w:tblPrEx>
        <w:trPr>
          <w:trHeight w:val="350" w:hRule="atLeast"/>
        </w:trPr>
        <w:tc>
          <w:tcPr>
            <w:tcW w:w="1901"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合       计</w:t>
            </w:r>
          </w:p>
        </w:tc>
        <w:tc>
          <w:tcPr>
            <w:tcW w:w="12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1.76</w:t>
            </w:r>
          </w:p>
        </w:tc>
        <w:tc>
          <w:tcPr>
            <w:tcW w:w="1152"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1.76</w:t>
            </w:r>
          </w:p>
        </w:tc>
        <w:tc>
          <w:tcPr>
            <w:tcW w:w="1152"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1.76</w:t>
            </w:r>
          </w:p>
        </w:tc>
        <w:tc>
          <w:tcPr>
            <w:tcW w:w="115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货物</w:t>
            </w:r>
          </w:p>
        </w:tc>
        <w:tc>
          <w:tcPr>
            <w:tcW w:w="12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工程</w:t>
            </w:r>
          </w:p>
        </w:tc>
        <w:tc>
          <w:tcPr>
            <w:tcW w:w="12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服务</w:t>
            </w:r>
          </w:p>
        </w:tc>
        <w:tc>
          <w:tcPr>
            <w:tcW w:w="12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09" w:hRule="atLeast"/>
        </w:trPr>
        <w:tc>
          <w:tcPr>
            <w:tcW w:w="1901" w:type="dxa"/>
            <w:gridSpan w:val="9"/>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项目</w:t>
            </w:r>
          </w:p>
        </w:tc>
        <w:tc>
          <w:tcPr>
            <w:tcW w:w="7039" w:type="dxa"/>
            <w:gridSpan w:val="2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901" w:type="dxa"/>
            <w:gridSpan w:val="9"/>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tc>
        <w:tc>
          <w:tcPr>
            <w:tcW w:w="1203" w:type="dxa"/>
            <w:gridSpan w:val="3"/>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总计</w:t>
            </w:r>
          </w:p>
        </w:tc>
        <w:tc>
          <w:tcPr>
            <w:tcW w:w="4610" w:type="dxa"/>
            <w:gridSpan w:val="1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采购预算（财政性资金）</w:t>
            </w:r>
          </w:p>
        </w:tc>
        <w:tc>
          <w:tcPr>
            <w:tcW w:w="1226" w:type="dxa"/>
            <w:gridSpan w:val="3"/>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901" w:type="dxa"/>
            <w:gridSpan w:val="9"/>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tc>
        <w:tc>
          <w:tcPr>
            <w:tcW w:w="1203"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c>
          <w:tcPr>
            <w:tcW w:w="1152"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合计</w:t>
            </w:r>
          </w:p>
        </w:tc>
        <w:tc>
          <w:tcPr>
            <w:tcW w:w="1152"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一般公共预算</w:t>
            </w:r>
          </w:p>
        </w:tc>
        <w:tc>
          <w:tcPr>
            <w:tcW w:w="1152"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政府性基金预算</w:t>
            </w:r>
          </w:p>
        </w:tc>
        <w:tc>
          <w:tcPr>
            <w:tcW w:w="1154"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其他资金</w:t>
            </w:r>
          </w:p>
        </w:tc>
        <w:tc>
          <w:tcPr>
            <w:tcW w:w="1226"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tc>
      </w:tr>
      <w:tr>
        <w:tblPrEx>
          <w:tblCellMar>
            <w:top w:w="0" w:type="dxa"/>
            <w:left w:w="0" w:type="dxa"/>
            <w:bottom w:w="0" w:type="dxa"/>
            <w:right w:w="0" w:type="dxa"/>
          </w:tblCellMar>
        </w:tblPrEx>
        <w:trPr>
          <w:trHeight w:val="309" w:hRule="atLeast"/>
        </w:trPr>
        <w:tc>
          <w:tcPr>
            <w:tcW w:w="1901"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栏次</w:t>
            </w:r>
          </w:p>
        </w:tc>
        <w:tc>
          <w:tcPr>
            <w:tcW w:w="12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1</w:t>
            </w:r>
          </w:p>
        </w:tc>
        <w:tc>
          <w:tcPr>
            <w:tcW w:w="1152"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2</w:t>
            </w:r>
          </w:p>
        </w:tc>
        <w:tc>
          <w:tcPr>
            <w:tcW w:w="1152"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3</w:t>
            </w:r>
          </w:p>
        </w:tc>
        <w:tc>
          <w:tcPr>
            <w:tcW w:w="115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4</w:t>
            </w:r>
          </w:p>
        </w:tc>
        <w:tc>
          <w:tcPr>
            <w:tcW w:w="11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5</w:t>
            </w:r>
          </w:p>
        </w:tc>
        <w:tc>
          <w:tcPr>
            <w:tcW w:w="122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6</w:t>
            </w:r>
          </w:p>
        </w:tc>
      </w:tr>
      <w:tr>
        <w:tblPrEx>
          <w:tblCellMar>
            <w:top w:w="0" w:type="dxa"/>
            <w:left w:w="0" w:type="dxa"/>
            <w:bottom w:w="0" w:type="dxa"/>
            <w:right w:w="0" w:type="dxa"/>
          </w:tblCellMar>
        </w:tblPrEx>
        <w:trPr>
          <w:trHeight w:val="335" w:hRule="atLeast"/>
        </w:trPr>
        <w:tc>
          <w:tcPr>
            <w:tcW w:w="1901"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合       计</w:t>
            </w:r>
          </w:p>
        </w:tc>
        <w:tc>
          <w:tcPr>
            <w:tcW w:w="12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3.18</w:t>
            </w:r>
          </w:p>
        </w:tc>
        <w:tc>
          <w:tcPr>
            <w:tcW w:w="1152"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3.18</w:t>
            </w:r>
          </w:p>
        </w:tc>
        <w:tc>
          <w:tcPr>
            <w:tcW w:w="1152"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hint="eastAsia" w:ascii="宋体" w:cs="宋体"/>
                <w:color w:val="000000"/>
                <w:szCs w:val="21"/>
              </w:rPr>
              <w:t>3.18</w:t>
            </w:r>
          </w:p>
        </w:tc>
        <w:tc>
          <w:tcPr>
            <w:tcW w:w="115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货物</w:t>
            </w:r>
          </w:p>
        </w:tc>
        <w:tc>
          <w:tcPr>
            <w:tcW w:w="12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工程</w:t>
            </w:r>
          </w:p>
        </w:tc>
        <w:tc>
          <w:tcPr>
            <w:tcW w:w="12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gridSpan w:val="9"/>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cs="宋体"/>
                <w:color w:val="000000"/>
                <w:kern w:val="0"/>
                <w:szCs w:val="21"/>
              </w:rPr>
              <w:t>服务</w:t>
            </w:r>
          </w:p>
        </w:tc>
        <w:tc>
          <w:tcPr>
            <w:tcW w:w="1203"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3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cs="宋体"/>
                <w:color w:val="000000"/>
                <w:kern w:val="0"/>
                <w:szCs w:val="21"/>
              </w:rPr>
              <w:t xml:space="preserve">  </w:t>
            </w:r>
            <w:r>
              <w:rPr>
                <w:rFonts w:hint="eastAsia" w:ascii="宋体" w:hAnsi="宋体" w:cs="宋体"/>
                <w:color w:val="000000"/>
                <w:kern w:val="0"/>
                <w:szCs w:val="21"/>
              </w:rPr>
              <w:t xml:space="preserve">注：本表反映部门本年度纳入部门预算范围的政府采购预算及支出情况。 </w:t>
            </w:r>
          </w:p>
        </w:tc>
      </w:tr>
    </w:tbl>
    <w:p>
      <w:pPr>
        <w:widowControl/>
        <w:spacing w:after="0" w:line="560" w:lineRule="exact"/>
        <w:jc w:val="left"/>
        <w:rPr>
          <w:rFonts w:ascii="仿宋_GB2312" w:eastAsia="仿宋_GB2312"/>
          <w:b/>
          <w:sz w:val="28"/>
          <w:szCs w:val="28"/>
          <w:highlight w:val="yellow"/>
        </w:rPr>
      </w:pPr>
    </w:p>
    <w:p/>
    <w:p/>
    <w:p/>
    <w:p/>
    <w:p>
      <w:pPr>
        <w:tabs>
          <w:tab w:val="left" w:pos="1086"/>
        </w:tabs>
        <w:jc w:val="left"/>
        <w:rPr>
          <w:rFonts w:ascii="仿宋_GB2312" w:eastAsia="仿宋_GB2312"/>
          <w:b/>
          <w:sz w:val="28"/>
          <w:szCs w:val="28"/>
          <w:highlight w:val="yellow"/>
        </w:rPr>
        <w:sectPr>
          <w:pgSz w:w="11906" w:h="16838"/>
          <w:pgMar w:top="2098" w:right="1474" w:bottom="1984" w:left="1588" w:header="851" w:footer="992" w:gutter="0"/>
          <w:cols w:space="720" w:num="1"/>
          <w:docGrid w:type="lines" w:linePitch="312" w:charSpace="0"/>
        </w:sectPr>
      </w:pPr>
      <w:r>
        <w:rPr>
          <w:rFonts w:hint="eastAsia"/>
        </w:rPr>
        <w:tab/>
      </w: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第三部分</w:t>
      </w:r>
    </w:p>
    <w:p>
      <w:pPr>
        <w:widowControl/>
        <w:spacing w:line="1200" w:lineRule="exact"/>
        <w:jc w:val="center"/>
        <w:rPr>
          <w:color w:val="000000"/>
          <w:sz w:val="96"/>
          <w:szCs w:val="96"/>
        </w:rPr>
      </w:pPr>
      <w:r>
        <w:rPr>
          <w:rFonts w:hint="eastAsia" w:ascii="黑体" w:eastAsia="黑体"/>
          <w:color w:val="000000"/>
          <w:sz w:val="96"/>
          <w:szCs w:val="96"/>
        </w:rPr>
        <w:t>部门决算情况说明</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本部门2018年度收入总计（含结转和结余）159.45万元支出总计143.94万元。与2017年度决算相比，收入增加13.69万元，增长9.4%，主要是公务员车补增加；支出减少1.82万元，减少1.25%，主要是人员经费减少。</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line="584" w:lineRule="exact"/>
        <w:ind w:firstLine="640" w:firstLineChars="200"/>
        <w:jc w:val="left"/>
        <w:rPr>
          <w:rFonts w:hint="eastAsia" w:ascii="仿宋_GB2312" w:eastAsia="仿宋_GB2312" w:cs="DengXian-Regular"/>
          <w:sz w:val="32"/>
          <w:szCs w:val="32"/>
          <w:lang w:eastAsia="zh-CN"/>
        </w:rPr>
      </w:pP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159.45</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159.45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r>
        <w:rPr>
          <w:rFonts w:hint="eastAsia" w:ascii="仿宋_GB2312" w:eastAsia="仿宋_GB2312" w:cs="DengXian-Regular"/>
          <w:sz w:val="32"/>
          <w:szCs w:val="32"/>
          <w:lang w:eastAsia="zh-CN"/>
        </w:rPr>
        <w:t>如图所示：</w:t>
      </w:r>
    </w:p>
    <w:p>
      <w:pPr>
        <w:adjustRightInd w:val="0"/>
        <w:snapToGrid w:val="0"/>
        <w:spacing w:line="584" w:lineRule="exact"/>
        <w:jc w:val="center"/>
        <w:rPr>
          <w:rFonts w:ascii="黑体" w:eastAsia="黑体"/>
        </w:rPr>
      </w:pPr>
      <w:r>
        <w:rPr>
          <w:rFonts w:eastAsia="仿宋_GB2312"/>
          <w:sz w:val="32"/>
          <w:szCs w:val="32"/>
        </w:rPr>
        <w:t>图1：收入决算结构饼状图</w:t>
      </w:r>
    </w:p>
    <w:p>
      <w:pPr>
        <w:adjustRightInd w:val="0"/>
        <w:snapToGrid w:val="0"/>
        <w:spacing w:line="584"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drawing>
          <wp:anchor distT="0" distB="0" distL="114300" distR="114300" simplePos="0" relativeHeight="251659264" behindDoc="0" locked="0" layoutInCell="1" allowOverlap="1">
            <wp:simplePos x="0" y="0"/>
            <wp:positionH relativeFrom="column">
              <wp:posOffset>220345</wp:posOffset>
            </wp:positionH>
            <wp:positionV relativeFrom="paragraph">
              <wp:posOffset>164465</wp:posOffset>
            </wp:positionV>
            <wp:extent cx="4841875" cy="2771775"/>
            <wp:effectExtent l="0" t="0" r="0" b="0"/>
            <wp:wrapSquare wrapText="bothSides"/>
            <wp:docPr id="1" name="图表 3"/>
            <wp:cNvGraphicFramePr/>
            <a:graphic xmlns:a="http://schemas.openxmlformats.org/drawingml/2006/main">
              <a:graphicData uri="http://schemas.openxmlformats.org/drawingml/2006/picture">
                <pic:pic xmlns:pic="http://schemas.openxmlformats.org/drawingml/2006/picture">
                  <pic:nvPicPr>
                    <pic:cNvPr id="1" name="图表 3"/>
                    <pic:cNvPicPr/>
                  </pic:nvPicPr>
                  <pic:blipFill>
                    <a:blip r:embed="rId6" cstate="print"/>
                    <a:stretch>
                      <a:fillRect/>
                    </a:stretch>
                  </pic:blipFill>
                  <pic:spPr>
                    <a:xfrm>
                      <a:off x="0" y="0"/>
                      <a:ext cx="4841874" cy="2771775"/>
                    </a:xfrm>
                    <a:prstGeom prst="rect">
                      <a:avLst/>
                    </a:prstGeom>
                    <a:ln w="9525" cap="flat" cmpd="sng">
                      <a:solidFill>
                        <a:srgbClr val="000000"/>
                      </a:solidFill>
                      <a:prstDash val="solid"/>
                      <a:miter/>
                    </a:ln>
                  </pic:spPr>
                </pic:pic>
              </a:graphicData>
            </a:graphic>
          </wp:anchor>
        </w:drawing>
      </w:r>
    </w:p>
    <w:p>
      <w:pPr>
        <w:adjustRightInd w:val="0"/>
        <w:snapToGrid w:val="0"/>
        <w:spacing w:line="584" w:lineRule="exact"/>
        <w:ind w:firstLine="640" w:firstLineChars="200"/>
        <w:jc w:val="left"/>
        <w:rPr>
          <w:rFonts w:ascii="仿宋_GB2312" w:eastAsia="仿宋_GB2312" w:cs="DengXian-Regular"/>
          <w:sz w:val="32"/>
          <w:szCs w:val="32"/>
        </w:rPr>
      </w:pPr>
    </w:p>
    <w:p>
      <w:pPr>
        <w:adjustRightInd w:val="0"/>
        <w:snapToGrid w:val="0"/>
        <w:spacing w:line="584" w:lineRule="exact"/>
        <w:ind w:firstLine="640" w:firstLineChars="200"/>
        <w:jc w:val="left"/>
        <w:rPr>
          <w:rFonts w:ascii="仿宋_GB2312" w:eastAsia="仿宋_GB2312" w:cs="DengXian-Regular"/>
          <w:sz w:val="32"/>
          <w:szCs w:val="32"/>
        </w:rPr>
      </w:pPr>
    </w:p>
    <w:p>
      <w:pPr>
        <w:adjustRightInd w:val="0"/>
        <w:snapToGrid w:val="0"/>
        <w:spacing w:line="584" w:lineRule="exact"/>
        <w:ind w:firstLine="640" w:firstLineChars="200"/>
        <w:jc w:val="left"/>
        <w:rPr>
          <w:rFonts w:ascii="仿宋_GB2312" w:eastAsia="仿宋_GB2312" w:cs="DengXian-Regular"/>
          <w:sz w:val="32"/>
          <w:szCs w:val="32"/>
        </w:rPr>
      </w:pPr>
    </w:p>
    <w:p>
      <w:pPr>
        <w:adjustRightInd w:val="0"/>
        <w:snapToGrid w:val="0"/>
        <w:spacing w:line="584" w:lineRule="exact"/>
        <w:ind w:firstLine="640" w:firstLineChars="200"/>
        <w:jc w:val="left"/>
        <w:rPr>
          <w:rFonts w:ascii="仿宋_GB2312" w:eastAsia="仿宋_GB2312" w:cs="DengXian-Regular"/>
          <w:sz w:val="32"/>
          <w:szCs w:val="32"/>
        </w:rPr>
      </w:pPr>
    </w:p>
    <w:p>
      <w:pPr>
        <w:adjustRightInd w:val="0"/>
        <w:snapToGrid w:val="0"/>
        <w:spacing w:line="584" w:lineRule="exact"/>
        <w:ind w:firstLine="640" w:firstLineChars="200"/>
        <w:jc w:val="left"/>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仿宋_GB2312" w:eastAsia="仿宋_GB2312" w:cs="DengXian-Regular"/>
          <w:sz w:val="32"/>
          <w:szCs w:val="32"/>
          <w:lang w:val="en-US" w:eastAsia="zh-CN"/>
        </w:rPr>
        <w:t>143.94</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133.24</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92.6</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10.7</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7.4</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after="0" w:line="580" w:lineRule="exact"/>
        <w:jc w:val="center"/>
        <w:rPr>
          <w:rFonts w:ascii="仿宋_GB2312" w:eastAsia="仿宋_GB2312" w:cs="DengXian-Regular"/>
          <w:sz w:val="32"/>
          <w:szCs w:val="32"/>
        </w:rPr>
      </w:pPr>
      <w:r>
        <w:rPr>
          <w:rFonts w:eastAsia="仿宋_GB2312"/>
          <w:sz w:val="32"/>
          <w:szCs w:val="32"/>
        </w:rPr>
        <w:t>图2：支出决算结构饼状图</w:t>
      </w:r>
    </w:p>
    <w:p>
      <w:pPr>
        <w:adjustRightInd w:val="0"/>
        <w:snapToGrid w:val="0"/>
        <w:spacing w:after="0" w:line="580" w:lineRule="exact"/>
        <w:ind w:firstLine="420" w:firstLineChars="200"/>
        <w:rPr>
          <w:rFonts w:ascii="仿宋_GB2312" w:eastAsia="仿宋_GB2312" w:cs="DengXian-Regular"/>
          <w:sz w:val="32"/>
          <w:szCs w:val="32"/>
        </w:rPr>
      </w:pPr>
      <w:r>
        <w:rPr>
          <w:rFonts w:hint="eastAsia" w:ascii="黑体" w:eastAsia="黑体"/>
          <w:b w:val="0"/>
          <w:bCs w:val="0"/>
        </w:rPr>
        <w:drawing>
          <wp:anchor distT="0" distB="0" distL="114300" distR="114300" simplePos="0" relativeHeight="251659264" behindDoc="0" locked="0" layoutInCell="1" allowOverlap="1">
            <wp:simplePos x="0" y="0"/>
            <wp:positionH relativeFrom="column">
              <wp:posOffset>824230</wp:posOffset>
            </wp:positionH>
            <wp:positionV relativeFrom="paragraph">
              <wp:posOffset>283845</wp:posOffset>
            </wp:positionV>
            <wp:extent cx="3765550" cy="2934335"/>
            <wp:effectExtent l="0" t="0" r="0" b="0"/>
            <wp:wrapSquare wrapText="bothSides"/>
            <wp:docPr id="4" name="图表 2"/>
            <wp:cNvGraphicFramePr/>
            <a:graphic xmlns:a="http://schemas.openxmlformats.org/drawingml/2006/main">
              <a:graphicData uri="http://schemas.openxmlformats.org/drawingml/2006/picture">
                <pic:pic xmlns:pic="http://schemas.openxmlformats.org/drawingml/2006/picture">
                  <pic:nvPicPr>
                    <pic:cNvPr id="4" name="图表 2"/>
                    <pic:cNvPicPr/>
                  </pic:nvPicPr>
                  <pic:blipFill>
                    <a:blip r:embed="rId7" cstate="print"/>
                    <a:stretch>
                      <a:fillRect/>
                    </a:stretch>
                  </pic:blipFill>
                  <pic:spPr>
                    <a:xfrm>
                      <a:off x="0" y="0"/>
                      <a:ext cx="3765550" cy="2934335"/>
                    </a:xfrm>
                    <a:prstGeom prst="rect">
                      <a:avLst/>
                    </a:prstGeom>
                    <a:ln w="9525" cap="flat" cmpd="sng">
                      <a:solidFill>
                        <a:srgbClr val="000000"/>
                      </a:solidFill>
                      <a:prstDash val="solid"/>
                      <a:miter/>
                    </a:ln>
                  </pic:spPr>
                </pic:pic>
              </a:graphicData>
            </a:graphic>
          </wp:anchor>
        </w:drawing>
      </w:r>
    </w:p>
    <w:p>
      <w:pPr>
        <w:pStyle w:val="3"/>
        <w:spacing w:before="0" w:after="0" w:line="580" w:lineRule="exact"/>
        <w:ind w:firstLine="640" w:firstLineChars="200"/>
        <w:rPr>
          <w:rFonts w:ascii="黑体" w:eastAsia="黑体"/>
          <w:b w:val="0"/>
          <w:bCs w:val="0"/>
        </w:rPr>
      </w:pPr>
    </w:p>
    <w:p>
      <w:pPr>
        <w:pStyle w:val="3"/>
        <w:spacing w:before="0" w:after="0" w:line="580" w:lineRule="exact"/>
        <w:ind w:firstLine="640" w:firstLineChars="200"/>
        <w:rPr>
          <w:rFonts w:ascii="黑体" w:eastAsia="黑体"/>
          <w:b w:val="0"/>
          <w:bCs w:val="0"/>
        </w:rPr>
      </w:pPr>
    </w:p>
    <w:p>
      <w:pPr>
        <w:pStyle w:val="3"/>
        <w:spacing w:before="0" w:after="0" w:line="580" w:lineRule="exact"/>
        <w:ind w:firstLine="640" w:firstLineChars="200"/>
        <w:rPr>
          <w:rFonts w:ascii="黑体" w:eastAsia="黑体"/>
          <w:b w:val="0"/>
          <w:bCs w:val="0"/>
        </w:rPr>
      </w:pPr>
    </w:p>
    <w:p>
      <w:pPr>
        <w:pStyle w:val="3"/>
        <w:spacing w:before="0" w:after="0" w:line="580" w:lineRule="exact"/>
        <w:ind w:firstLine="640" w:firstLineChars="200"/>
        <w:rPr>
          <w:rFonts w:ascii="黑体" w:eastAsia="黑体"/>
          <w:b w:val="0"/>
          <w:bCs w:val="0"/>
        </w:rPr>
      </w:pPr>
    </w:p>
    <w:p>
      <w:pPr>
        <w:pStyle w:val="3"/>
        <w:spacing w:before="0" w:after="0" w:line="580" w:lineRule="exact"/>
        <w:ind w:firstLine="640" w:firstLineChars="200"/>
        <w:rPr>
          <w:rFonts w:ascii="黑体" w:eastAsia="黑体"/>
          <w:b w:val="0"/>
          <w:bCs w:val="0"/>
        </w:rPr>
      </w:pPr>
    </w:p>
    <w:p>
      <w:pPr>
        <w:pStyle w:val="3"/>
        <w:spacing w:before="0" w:after="0" w:line="580" w:lineRule="exact"/>
        <w:ind w:firstLine="640" w:firstLineChars="200"/>
        <w:rPr>
          <w:rFonts w:ascii="黑体" w:eastAsia="黑体"/>
          <w:b w:val="0"/>
          <w:bCs w:val="0"/>
        </w:rPr>
      </w:pPr>
    </w:p>
    <w:p>
      <w:pPr>
        <w:pStyle w:val="3"/>
        <w:spacing w:before="0" w:after="0" w:line="580" w:lineRule="exact"/>
        <w:ind w:firstLine="640" w:firstLineChars="200"/>
        <w:rPr>
          <w:rFonts w:ascii="黑体" w:eastAsia="黑体"/>
          <w:b w:val="0"/>
          <w:bCs w:val="0"/>
        </w:rPr>
      </w:pPr>
    </w:p>
    <w:p>
      <w:pPr>
        <w:pStyle w:val="3"/>
        <w:spacing w:before="0" w:after="0" w:line="580" w:lineRule="exact"/>
        <w:rPr>
          <w:rFonts w:ascii="黑体" w:eastAsia="黑体"/>
          <w:b w:val="0"/>
          <w:bCs w:val="0"/>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jc w:val="left"/>
        <w:rPr>
          <w:rFonts w:hint="eastAsia"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159.45万元,比2017年度增加13.69万元，增长9.4%，主要是增加公务员车补；本年支出143.94万元，减少1.82万元，降低1.25%，主要是人员经费减少。如图所示：</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3：财政拨款收支情况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drawing>
          <wp:anchor distT="0" distB="0" distL="114300" distR="114300" simplePos="0" relativeHeight="251659264" behindDoc="0" locked="0" layoutInCell="1" allowOverlap="1">
            <wp:simplePos x="0" y="0"/>
            <wp:positionH relativeFrom="column">
              <wp:posOffset>1058545</wp:posOffset>
            </wp:positionH>
            <wp:positionV relativeFrom="paragraph">
              <wp:posOffset>158750</wp:posOffset>
            </wp:positionV>
            <wp:extent cx="3529330" cy="1923415"/>
            <wp:effectExtent l="9525" t="9525" r="23495" b="10160"/>
            <wp:wrapSquare wrapText="bothSides"/>
            <wp:docPr id="7" name="图表 4"/>
            <wp:cNvGraphicFramePr/>
            <a:graphic xmlns:a="http://schemas.openxmlformats.org/drawingml/2006/main">
              <a:graphicData uri="http://schemas.openxmlformats.org/drawingml/2006/picture">
                <pic:pic xmlns:pic="http://schemas.openxmlformats.org/drawingml/2006/picture">
                  <pic:nvPicPr>
                    <pic:cNvPr id="7" name="图表 4"/>
                    <pic:cNvPicPr/>
                  </pic:nvPicPr>
                  <pic:blipFill>
                    <a:blip r:embed="rId8" cstate="print"/>
                    <a:stretch>
                      <a:fillRect/>
                    </a:stretch>
                  </pic:blipFill>
                  <pic:spPr>
                    <a:xfrm>
                      <a:off x="0" y="0"/>
                      <a:ext cx="3529330" cy="1923415"/>
                    </a:xfrm>
                    <a:prstGeom prst="rect">
                      <a:avLst/>
                    </a:prstGeom>
                    <a:ln w="9525" cap="flat" cmpd="sng">
                      <a:solidFill>
                        <a:srgbClr val="000000"/>
                      </a:solidFill>
                      <a:prstDash val="solid"/>
                      <a:miter/>
                    </a:ln>
                  </pic:spPr>
                </pic:pic>
              </a:graphicData>
            </a:graphic>
          </wp:anchor>
        </w:drawing>
      </w:r>
    </w:p>
    <w:p>
      <w:pPr>
        <w:adjustRightInd w:val="0"/>
        <w:snapToGrid w:val="0"/>
        <w:spacing w:after="0" w:line="580" w:lineRule="exact"/>
        <w:ind w:firstLine="640" w:firstLineChars="200"/>
        <w:rPr>
          <w:rFonts w:ascii="仿宋_GB2312" w:eastAsia="仿宋_GB2312" w:cs="DengXian-Regular"/>
          <w:sz w:val="32"/>
          <w:szCs w:val="32"/>
        </w:rPr>
      </w:pPr>
    </w:p>
    <w:p>
      <w:pPr>
        <w:spacing w:after="0" w:line="580" w:lineRule="exact"/>
        <w:rPr>
          <w:rFonts w:hint="eastAsia" w:ascii="楷体_GB2312" w:eastAsia="楷体_GB2312" w:cs="DengXian-Bold"/>
          <w:b/>
          <w:bCs/>
          <w:sz w:val="32"/>
          <w:szCs w:val="32"/>
          <w:lang w:val="en-US" w:eastAsia="zh-CN"/>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一般公共预算财政拨款收入159.45万元，完成年初预算的109.7%,比年初预算增加14.07万元，决算数大于预算数主要是追加精神文明奖等；本年支出143.94万元，完成年初预算的99%,比年初预算减少1.448万元，决算数小于预算数主要是人员经费减少。如图所示：</w:t>
      </w:r>
    </w:p>
    <w:p>
      <w:pPr>
        <w:adjustRightInd w:val="0"/>
        <w:snapToGrid w:val="0"/>
        <w:spacing w:after="0" w:line="580" w:lineRule="exact"/>
        <w:jc w:val="center"/>
        <w:rPr>
          <w:rFonts w:ascii="仿宋_GB2312" w:eastAsia="仿宋_GB2312" w:cs="DengXian-Regular"/>
          <w:sz w:val="24"/>
        </w:rPr>
      </w:pPr>
      <w:r>
        <w:rPr>
          <w:rFonts w:hint="eastAsia" w:eastAsia="仿宋_GB2312"/>
          <w:sz w:val="32"/>
          <w:szCs w:val="32"/>
        </w:rPr>
        <w:t>图4：财政拨款收支预决算对比情况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drawing>
          <wp:anchor distT="0" distB="0" distL="114300" distR="114300" simplePos="0" relativeHeight="251659264" behindDoc="0" locked="0" layoutInCell="1" allowOverlap="1">
            <wp:simplePos x="0" y="0"/>
            <wp:positionH relativeFrom="column">
              <wp:posOffset>763270</wp:posOffset>
            </wp:positionH>
            <wp:positionV relativeFrom="paragraph">
              <wp:posOffset>15240</wp:posOffset>
            </wp:positionV>
            <wp:extent cx="3965575" cy="1933575"/>
            <wp:effectExtent l="0" t="0" r="0" b="0"/>
            <wp:wrapSquare wrapText="bothSides"/>
            <wp:docPr id="10" name="图表 5"/>
            <wp:cNvGraphicFramePr/>
            <a:graphic xmlns:a="http://schemas.openxmlformats.org/drawingml/2006/main">
              <a:graphicData uri="http://schemas.openxmlformats.org/drawingml/2006/picture">
                <pic:pic xmlns:pic="http://schemas.openxmlformats.org/drawingml/2006/picture">
                  <pic:nvPicPr>
                    <pic:cNvPr id="10" name="图表 5"/>
                    <pic:cNvPicPr/>
                  </pic:nvPicPr>
                  <pic:blipFill>
                    <a:blip r:embed="rId9" cstate="print"/>
                    <a:stretch>
                      <a:fillRect/>
                    </a:stretch>
                  </pic:blipFill>
                  <pic:spPr>
                    <a:xfrm>
                      <a:off x="0" y="0"/>
                      <a:ext cx="3965574" cy="1933575"/>
                    </a:xfrm>
                    <a:prstGeom prst="rect">
                      <a:avLst/>
                    </a:prstGeom>
                    <a:ln w="9525" cap="flat" cmpd="sng">
                      <a:solidFill>
                        <a:srgbClr val="000000"/>
                      </a:solidFill>
                      <a:prstDash val="solid"/>
                      <a:miter/>
                    </a:ln>
                  </pic:spPr>
                </pic:pic>
              </a:graphicData>
            </a:graphic>
          </wp:anchor>
        </w:drawing>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rPr>
        <w:t>2018 年度财政拨款支出143.94万元，主要用于以下方面一般公共服务（类）支出123.63万元，占85.9%；社会保障和就业（类）支出13.77万元，占9.5%；医疗卫生与计划生育支出（类）支出6.532万元，占4.6%。</w:t>
      </w:r>
      <w:r>
        <w:rPr>
          <w:rFonts w:hint="eastAsia" w:ascii="仿宋_GB2312" w:eastAsia="仿宋_GB2312" w:cs="DengXian-Regular"/>
          <w:sz w:val="32"/>
          <w:szCs w:val="32"/>
          <w:lang w:eastAsia="zh-CN"/>
        </w:rPr>
        <w:t>如图所示：</w:t>
      </w: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图5：财政拨款支出决算结构（按功能分类）</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drawing>
          <wp:anchor distT="0" distB="0" distL="114300" distR="114300" simplePos="0" relativeHeight="251659264" behindDoc="0" locked="0" layoutInCell="1" allowOverlap="1">
            <wp:simplePos x="0" y="0"/>
            <wp:positionH relativeFrom="column">
              <wp:posOffset>439420</wp:posOffset>
            </wp:positionH>
            <wp:positionV relativeFrom="paragraph">
              <wp:posOffset>226060</wp:posOffset>
            </wp:positionV>
            <wp:extent cx="4499610" cy="2590800"/>
            <wp:effectExtent l="0" t="0" r="0" b="0"/>
            <wp:wrapSquare wrapText="bothSides"/>
            <wp:docPr id="13" name="图表 6"/>
            <wp:cNvGraphicFramePr/>
            <a:graphic xmlns:a="http://schemas.openxmlformats.org/drawingml/2006/main">
              <a:graphicData uri="http://schemas.openxmlformats.org/drawingml/2006/picture">
                <pic:pic xmlns:pic="http://schemas.openxmlformats.org/drawingml/2006/picture">
                  <pic:nvPicPr>
                    <pic:cNvPr id="13" name="图表 6"/>
                    <pic:cNvPicPr/>
                  </pic:nvPicPr>
                  <pic:blipFill>
                    <a:blip r:embed="rId10" cstate="print"/>
                    <a:stretch>
                      <a:fillRect/>
                    </a:stretch>
                  </pic:blipFill>
                  <pic:spPr>
                    <a:xfrm>
                      <a:off x="0" y="0"/>
                      <a:ext cx="4499609" cy="2590800"/>
                    </a:xfrm>
                    <a:prstGeom prst="rect">
                      <a:avLst/>
                    </a:prstGeom>
                    <a:ln w="9525" cap="flat" cmpd="sng">
                      <a:solidFill>
                        <a:srgbClr val="000000"/>
                      </a:solidFill>
                      <a:prstDash val="solid"/>
                      <a:miter/>
                    </a:ln>
                  </pic:spPr>
                </pic:pic>
              </a:graphicData>
            </a:graphic>
          </wp:anchor>
        </w:drawing>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123.63万元，其中：人员经费95.22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28.41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rPr>
        <w:t>3.49</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rPr>
        <w:t>0.31</w:t>
      </w:r>
      <w:r>
        <w:rPr>
          <w:rFonts w:eastAsia="仿宋_GB2312"/>
          <w:sz w:val="32"/>
          <w:szCs w:val="32"/>
        </w:rPr>
        <w:t>万元，降低</w:t>
      </w:r>
      <w:r>
        <w:rPr>
          <w:rFonts w:hint="eastAsia" w:eastAsia="仿宋_GB2312"/>
          <w:sz w:val="32"/>
          <w:szCs w:val="32"/>
        </w:rPr>
        <w:t>8.1</w:t>
      </w:r>
      <w:r>
        <w:rPr>
          <w:rFonts w:eastAsia="仿宋_GB2312"/>
          <w:sz w:val="32"/>
          <w:szCs w:val="32"/>
        </w:rPr>
        <w:t>%，</w:t>
      </w:r>
      <w:r>
        <w:rPr>
          <w:rFonts w:hint="eastAsia" w:eastAsia="仿宋_GB2312"/>
          <w:sz w:val="32"/>
          <w:szCs w:val="32"/>
        </w:rPr>
        <w:t>主要原因是</w:t>
      </w:r>
      <w:r>
        <w:rPr>
          <w:rFonts w:hint="eastAsia" w:eastAsia="仿宋_GB2312"/>
          <w:sz w:val="32"/>
          <w:szCs w:val="32"/>
          <w:lang w:eastAsia="zh-CN"/>
        </w:rPr>
        <w:t>勤俭节约</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rPr>
        <w:t>0.01</w:t>
      </w:r>
      <w:r>
        <w:rPr>
          <w:rFonts w:eastAsia="仿宋_GB2312"/>
          <w:sz w:val="32"/>
          <w:szCs w:val="32"/>
        </w:rPr>
        <w:t>万元，降低</w:t>
      </w:r>
      <w:r>
        <w:rPr>
          <w:rFonts w:hint="eastAsia" w:eastAsia="仿宋_GB2312"/>
          <w:sz w:val="32"/>
          <w:szCs w:val="32"/>
        </w:rPr>
        <w:t>0.18</w:t>
      </w:r>
      <w:r>
        <w:rPr>
          <w:rFonts w:eastAsia="仿宋_GB2312"/>
          <w:sz w:val="32"/>
          <w:szCs w:val="32"/>
        </w:rPr>
        <w:t>%</w:t>
      </w:r>
      <w:r>
        <w:rPr>
          <w:rFonts w:hint="eastAsia" w:eastAsia="仿宋_GB2312"/>
          <w:sz w:val="32"/>
          <w:szCs w:val="32"/>
          <w:lang w:eastAsia="zh-CN"/>
        </w:rPr>
        <w:t>，主要原因是勤俭节约</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w:t>
      </w:r>
      <w:r>
        <w:rPr>
          <w:rFonts w:hint="eastAsia" w:eastAsia="仿宋_GB2312"/>
          <w:sz w:val="32"/>
          <w:szCs w:val="32"/>
          <w:lang w:eastAsia="zh-CN"/>
        </w:rPr>
        <w:t>无增减变化</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无增加变化</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（二）公务用车购置及运行维护费支出</w:t>
      </w:r>
      <w:r>
        <w:rPr>
          <w:rFonts w:hint="eastAsia" w:eastAsia="楷体_GB2312"/>
          <w:b/>
          <w:bCs/>
          <w:sz w:val="32"/>
          <w:szCs w:val="32"/>
        </w:rPr>
        <w:t>3.49</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eastAsia="仿宋_GB2312"/>
          <w:sz w:val="32"/>
          <w:szCs w:val="32"/>
        </w:rPr>
        <w:t>减少</w:t>
      </w:r>
      <w:r>
        <w:rPr>
          <w:rFonts w:hint="eastAsia" w:eastAsia="仿宋_GB2312"/>
          <w:sz w:val="32"/>
          <w:szCs w:val="32"/>
        </w:rPr>
        <w:t>0.01</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降低</w:t>
      </w:r>
      <w:r>
        <w:rPr>
          <w:rFonts w:hint="eastAsia" w:eastAsia="仿宋_GB2312"/>
          <w:sz w:val="32"/>
          <w:szCs w:val="32"/>
        </w:rPr>
        <w:t>0.18</w:t>
      </w:r>
      <w:r>
        <w:rPr>
          <w:rFonts w:eastAsia="仿宋_GB2312"/>
          <w:sz w:val="32"/>
          <w:szCs w:val="32"/>
        </w:rPr>
        <w:t>%</w:t>
      </w:r>
      <w:r>
        <w:rPr>
          <w:rFonts w:hint="eastAsia" w:eastAsia="仿宋_GB2312"/>
          <w:sz w:val="32"/>
          <w:szCs w:val="32"/>
          <w:lang w:eastAsia="zh-CN"/>
        </w:rPr>
        <w:t>，主要原因是勤俭节约</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rPr>
        <w:t>0.01</w:t>
      </w:r>
      <w:r>
        <w:rPr>
          <w:rFonts w:eastAsia="仿宋_GB2312"/>
          <w:sz w:val="32"/>
          <w:szCs w:val="32"/>
        </w:rPr>
        <w:t>万元，降低</w:t>
      </w:r>
      <w:r>
        <w:rPr>
          <w:rFonts w:hint="eastAsia" w:eastAsia="仿宋_GB2312"/>
          <w:sz w:val="32"/>
          <w:szCs w:val="32"/>
        </w:rPr>
        <w:t>0.18</w:t>
      </w:r>
      <w:r>
        <w:rPr>
          <w:rFonts w:eastAsia="仿宋_GB2312"/>
          <w:sz w:val="32"/>
          <w:szCs w:val="32"/>
        </w:rPr>
        <w:t>%</w:t>
      </w:r>
      <w:r>
        <w:rPr>
          <w:rFonts w:hint="eastAsia" w:eastAsia="仿宋_GB2312"/>
          <w:sz w:val="32"/>
          <w:szCs w:val="32"/>
          <w:lang w:eastAsia="zh-CN"/>
        </w:rPr>
        <w:t>，主要原因是勤俭节约</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bCs/>
          <w:sz w:val="32"/>
          <w:szCs w:val="32"/>
          <w:highlight w:val="yellow"/>
        </w:rPr>
      </w:pPr>
      <w:r>
        <w:rPr>
          <w:rFonts w:eastAsia="仿宋_GB2312"/>
          <w:b/>
          <w:sz w:val="32"/>
          <w:szCs w:val="32"/>
        </w:rPr>
        <w:t>公务用车购置费支出</w:t>
      </w:r>
      <w:r>
        <w:rPr>
          <w:rFonts w:hint="eastAsia" w:eastAsia="仿宋_GB2312"/>
          <w:b/>
          <w:sz w:val="32"/>
          <w:szCs w:val="32"/>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val="en-US" w:eastAsia="zh-CN"/>
        </w:rPr>
        <w:t>0</w:t>
      </w:r>
      <w:r>
        <w:rPr>
          <w:rFonts w:eastAsia="仿宋_GB2312"/>
          <w:sz w:val="32"/>
          <w:szCs w:val="32"/>
        </w:rPr>
        <w:t>辆。公务用车购置费支出</w:t>
      </w:r>
      <w:r>
        <w:rPr>
          <w:rFonts w:hint="eastAsia" w:eastAsia="仿宋_GB2312"/>
          <w:bCs/>
          <w:sz w:val="32"/>
          <w:szCs w:val="32"/>
          <w:lang w:eastAsia="zh-CN"/>
        </w:rPr>
        <w:t>比</w:t>
      </w:r>
      <w:r>
        <w:rPr>
          <w:rFonts w:hint="eastAsia" w:eastAsia="仿宋_GB2312"/>
          <w:bCs/>
          <w:sz w:val="32"/>
          <w:szCs w:val="32"/>
        </w:rPr>
        <w:t>年初预算无增减变化，</w:t>
      </w:r>
      <w:r>
        <w:rPr>
          <w:rFonts w:hint="eastAsia" w:eastAsia="仿宋_GB2312"/>
          <w:bCs/>
          <w:sz w:val="32"/>
          <w:szCs w:val="32"/>
          <w:lang w:eastAsia="zh-CN"/>
        </w:rPr>
        <w:t>比</w:t>
      </w:r>
      <w:r>
        <w:rPr>
          <w:rFonts w:hint="eastAsia" w:eastAsia="仿宋_GB2312"/>
          <w:bCs/>
          <w:sz w:val="32"/>
          <w:szCs w:val="32"/>
        </w:rPr>
        <w:t>2017年度决算无增减变化</w:t>
      </w:r>
      <w:r>
        <w:rPr>
          <w:rFonts w:eastAsia="仿宋_GB2312"/>
          <w:bCs/>
          <w:sz w:val="32"/>
          <w:szCs w:val="32"/>
        </w:rPr>
        <w:t>。</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楷体_GB2312"/>
          <w:b/>
          <w:bCs/>
          <w:sz w:val="32"/>
          <w:szCs w:val="32"/>
        </w:rPr>
        <w:t>3.49</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rPr>
        <w:t>1</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rPr>
        <w:t>0.01</w:t>
      </w:r>
      <w:r>
        <w:rPr>
          <w:rFonts w:eastAsia="仿宋_GB2312"/>
          <w:sz w:val="32"/>
          <w:szCs w:val="32"/>
        </w:rPr>
        <w:t>万元，降低</w:t>
      </w:r>
      <w:r>
        <w:rPr>
          <w:rFonts w:hint="eastAsia" w:eastAsia="仿宋_GB2312"/>
          <w:sz w:val="32"/>
          <w:szCs w:val="32"/>
        </w:rPr>
        <w:t>0.18</w:t>
      </w:r>
      <w:r>
        <w:rPr>
          <w:rFonts w:eastAsia="仿宋_GB2312"/>
          <w:sz w:val="32"/>
          <w:szCs w:val="32"/>
        </w:rPr>
        <w:t>%</w:t>
      </w:r>
      <w:r>
        <w:rPr>
          <w:rFonts w:hint="eastAsia" w:eastAsia="仿宋_GB2312"/>
          <w:sz w:val="32"/>
          <w:szCs w:val="32"/>
          <w:lang w:eastAsia="zh-CN"/>
        </w:rPr>
        <w:t>，主要原因是勤俭节约</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rPr>
        <w:t>0.01</w:t>
      </w:r>
      <w:r>
        <w:rPr>
          <w:rFonts w:eastAsia="仿宋_GB2312"/>
          <w:sz w:val="32"/>
          <w:szCs w:val="32"/>
        </w:rPr>
        <w:t>万元，降低</w:t>
      </w:r>
      <w:r>
        <w:rPr>
          <w:rFonts w:hint="eastAsia" w:eastAsia="仿宋_GB2312"/>
          <w:sz w:val="32"/>
          <w:szCs w:val="32"/>
        </w:rPr>
        <w:t>0.18</w:t>
      </w:r>
      <w:r>
        <w:rPr>
          <w:rFonts w:eastAsia="仿宋_GB2312"/>
          <w:sz w:val="32"/>
          <w:szCs w:val="32"/>
        </w:rPr>
        <w:t>%</w:t>
      </w:r>
      <w:r>
        <w:rPr>
          <w:rFonts w:hint="eastAsia" w:eastAsia="仿宋_GB2312"/>
          <w:sz w:val="32"/>
          <w:szCs w:val="32"/>
          <w:lang w:eastAsia="zh-CN"/>
        </w:rPr>
        <w:t>，主要原因是勤俭节约</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0</w:t>
      </w:r>
      <w:r>
        <w:rPr>
          <w:rFonts w:eastAsia="仿宋_GB2312"/>
          <w:sz w:val="32"/>
          <w:szCs w:val="32"/>
        </w:rPr>
        <w:t>批次、</w:t>
      </w:r>
      <w:r>
        <w:rPr>
          <w:rFonts w:hint="eastAsia" w:eastAsia="仿宋_GB2312"/>
          <w:sz w:val="32"/>
          <w:szCs w:val="32"/>
          <w:lang w:val="en-US" w:eastAsia="zh-CN"/>
        </w:rPr>
        <w:t>0</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rPr>
        <w:t>0.3</w:t>
      </w:r>
      <w:r>
        <w:rPr>
          <w:rFonts w:eastAsia="仿宋_GB2312"/>
          <w:sz w:val="32"/>
          <w:szCs w:val="32"/>
        </w:rPr>
        <w:t>万元，降低</w:t>
      </w:r>
      <w:r>
        <w:rPr>
          <w:rFonts w:hint="eastAsia" w:eastAsia="仿宋_GB2312"/>
          <w:sz w:val="32"/>
          <w:szCs w:val="32"/>
        </w:rPr>
        <w:t>100</w:t>
      </w:r>
      <w:r>
        <w:rPr>
          <w:rFonts w:eastAsia="仿宋_GB2312"/>
          <w:sz w:val="32"/>
          <w:szCs w:val="32"/>
        </w:rPr>
        <w:t>%，主要是</w:t>
      </w:r>
      <w:r>
        <w:rPr>
          <w:rFonts w:hint="eastAsia" w:eastAsia="仿宋_GB2312"/>
          <w:sz w:val="32"/>
          <w:szCs w:val="32"/>
        </w:rPr>
        <w:t>无公务接待</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rPr>
        <w:t>无增减变化</w:t>
      </w:r>
      <w:r>
        <w:rPr>
          <w:rFonts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spacing w:line="584" w:lineRule="exact"/>
        <w:ind w:firstLine="643" w:firstLineChars="200"/>
        <w:rPr>
          <w:rFonts w:ascii="方正小标宋_GBK" w:eastAsia="方正小标宋_GBK"/>
          <w:sz w:val="32"/>
        </w:rPr>
      </w:pPr>
      <w:r>
        <w:rPr>
          <w:rFonts w:hint="eastAsia" w:ascii="仿宋_GB2312" w:eastAsia="仿宋_GB2312" w:cs="DengXian-Regular"/>
          <w:b/>
          <w:bCs/>
          <w:sz w:val="32"/>
          <w:szCs w:val="32"/>
        </w:rPr>
        <w:t>（一）预算绩效管理工作开展情况。</w:t>
      </w:r>
      <w:r>
        <w:rPr>
          <w:rFonts w:hint="eastAsia" w:eastAsia="仿宋_GB2312"/>
          <w:sz w:val="32"/>
          <w:szCs w:val="32"/>
        </w:rPr>
        <w:t>根据县财政预算绩效管理要求，部门以“部门职责—工作活动”为依据，确定部门预算项目和预算额度，清晰描述预算项目开支范围和内容，确定预算项目的绩效目标、绩效指标和评价标准，为预算绩效控制、绩效分析、绩效评价打下好的基础。</w:t>
      </w:r>
      <w:r>
        <w:rPr>
          <w:rFonts w:hint="eastAsia" w:ascii="仿宋_GB2312" w:eastAsia="仿宋_GB2312" w:cs="仿宋_GB2312"/>
          <w:sz w:val="32"/>
          <w:szCs w:val="32"/>
        </w:rPr>
        <w:t>。</w:t>
      </w:r>
    </w:p>
    <w:p>
      <w:pPr>
        <w:spacing w:line="584" w:lineRule="exact"/>
        <w:ind w:firstLine="643" w:firstLineChars="200"/>
        <w:rPr>
          <w:rFonts w:eastAsia="仿宋_GB2312"/>
          <w:sz w:val="32"/>
          <w:szCs w:val="32"/>
        </w:rPr>
      </w:pPr>
      <w:r>
        <w:rPr>
          <w:rFonts w:hint="eastAsia" w:ascii="仿宋_GB2312" w:eastAsia="仿宋_GB2312" w:cs="DengXian-Regular"/>
          <w:b/>
          <w:bCs/>
          <w:sz w:val="32"/>
          <w:szCs w:val="32"/>
        </w:rPr>
        <w:t>（二）项目绩效自评结果。</w:t>
      </w:r>
      <w:r>
        <w:rPr>
          <w:rFonts w:hint="eastAsia" w:eastAsia="仿宋_GB2312"/>
          <w:sz w:val="32"/>
          <w:szCs w:val="32"/>
        </w:rPr>
        <w:t>根据县财政预算绩效管理要求，部门对 20178年初确定的部门一般公共预算专项项目支出全面开展了绩效自评。部门决算专项项目共 9项，共涉及预算资金18.59 万元，绩效自评覆盖率达到 100%。</w:t>
      </w:r>
    </w:p>
    <w:p>
      <w:pPr>
        <w:spacing w:line="584" w:lineRule="exact"/>
        <w:ind w:firstLine="643" w:firstLineChars="200"/>
        <w:rPr>
          <w:rFonts w:ascii="仿宋_GB2312" w:eastAsia="仿宋_GB2312" w:cs="DengXian-Regular"/>
          <w:sz w:val="32"/>
          <w:szCs w:val="32"/>
        </w:rPr>
      </w:pPr>
      <w:r>
        <w:rPr>
          <w:rFonts w:hint="eastAsia" w:ascii="仿宋_GB2312" w:eastAsia="仿宋_GB2312" w:cs="DengXian-Regular"/>
          <w:b/>
          <w:bCs/>
          <w:sz w:val="32"/>
          <w:szCs w:val="32"/>
        </w:rPr>
        <w:t>（三）重点项目绩效评价结果。</w:t>
      </w:r>
      <w:r>
        <w:rPr>
          <w:rFonts w:hint="eastAsia" w:eastAsia="仿宋_GB2312"/>
          <w:sz w:val="32"/>
          <w:szCs w:val="32"/>
        </w:rPr>
        <w:t>“中文域名网站运行维护费”项目。按照河北省机构编制委员会办公室《关于加快推进'政务'和'公益'中文域名注册管理工作的通知》（冀机编办（2011）193号文件精神，“政务”和“公益”中文域名是党政群机关等政务机构、事业单位、社会团体等公益机构的网上名称，“政务”和“公益”中文域名的设立进一步完善了我国网络域名体系，加强“政务”和“公益”中文域名域名网络资源管理，规范政务记过和公益机构网上名称，对加强政务和公益机构建设具有十分重要的意义。中央编办域名注册管理中心负责注册及管理，各级编办负责本地区的业务。按照规定，所有党政群机关、事业单位、社会团体等均应进行注册，设定绩效指标为达到 100%，绩效自评等级为“优”。</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本部门2018年度机关运行经费支出17.71万元，比年初预算数增加0.34万元，增长1.92</w:t>
      </w:r>
      <w:r>
        <w:rPr>
          <w:rFonts w:eastAsia="仿宋_GB2312"/>
          <w:sz w:val="32"/>
          <w:szCs w:val="32"/>
        </w:rPr>
        <w:t>%</w:t>
      </w:r>
      <w:r>
        <w:rPr>
          <w:rFonts w:hint="eastAsia" w:ascii="仿宋_GB2312" w:eastAsia="仿宋_GB2312" w:cs="DengXian-Regular"/>
          <w:sz w:val="32"/>
          <w:szCs w:val="32"/>
        </w:rPr>
        <w:t>。主要是办公用品价格略微增长。</w:t>
      </w:r>
      <w:r>
        <w:rPr>
          <w:rFonts w:eastAsia="仿宋_GB2312"/>
          <w:sz w:val="32"/>
          <w:szCs w:val="32"/>
        </w:rPr>
        <w:t>较201</w:t>
      </w:r>
      <w:r>
        <w:rPr>
          <w:rFonts w:hint="eastAsia" w:eastAsia="仿宋_GB2312"/>
          <w:sz w:val="32"/>
          <w:szCs w:val="32"/>
        </w:rPr>
        <w:t>7</w:t>
      </w:r>
      <w:r>
        <w:rPr>
          <w:rFonts w:eastAsia="仿宋_GB2312"/>
          <w:sz w:val="32"/>
          <w:szCs w:val="32"/>
        </w:rPr>
        <w:t>年度决算增加</w:t>
      </w:r>
      <w:r>
        <w:rPr>
          <w:rFonts w:hint="eastAsia" w:eastAsia="仿宋_GB2312"/>
          <w:sz w:val="32"/>
          <w:szCs w:val="32"/>
        </w:rPr>
        <w:t>6.31</w:t>
      </w:r>
      <w:r>
        <w:rPr>
          <w:rFonts w:eastAsia="仿宋_GB2312"/>
          <w:sz w:val="32"/>
          <w:szCs w:val="32"/>
        </w:rPr>
        <w:t>万元，增长</w:t>
      </w:r>
      <w:r>
        <w:rPr>
          <w:rFonts w:hint="eastAsia" w:eastAsia="仿宋_GB2312"/>
          <w:sz w:val="32"/>
          <w:szCs w:val="32"/>
        </w:rPr>
        <w:t>35.6</w:t>
      </w:r>
      <w:r>
        <w:rPr>
          <w:rFonts w:eastAsia="仿宋_GB2312"/>
          <w:sz w:val="32"/>
          <w:szCs w:val="32"/>
        </w:rPr>
        <w:t>%，主要是</w:t>
      </w:r>
      <w:r>
        <w:rPr>
          <w:rFonts w:hint="eastAsia" w:eastAsia="仿宋_GB2312"/>
          <w:sz w:val="32"/>
          <w:szCs w:val="32"/>
        </w:rPr>
        <w:t>增加公务员车补</w:t>
      </w:r>
      <w:r>
        <w:rPr>
          <w:rFonts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w:t>
      </w:r>
      <w:r>
        <w:rPr>
          <w:rFonts w:hint="eastAsia" w:ascii="仿宋_GB2312" w:eastAsia="仿宋_GB2312" w:cs="DengXian-Regular"/>
          <w:sz w:val="32"/>
          <w:szCs w:val="32"/>
          <w:lang w:val="en-US" w:eastAsia="zh-CN"/>
        </w:rPr>
        <w:t>3.184</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3.184</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3.184</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10</w:t>
      </w:r>
      <w:bookmarkStart w:id="0" w:name="_GoBack"/>
      <w:bookmarkEnd w:id="0"/>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3.184</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100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截至2018年12月31日，本部门共有车辆1辆，比上年无增减变化。其中，机要通信用车1辆；单位价值</w:t>
      </w:r>
      <w:r>
        <w:rPr>
          <w:rFonts w:hint="eastAsia" w:ascii="仿宋_GB2312" w:eastAsia="仿宋_GB2312" w:cs="TimesNewRomanPSMT"/>
          <w:sz w:val="32"/>
          <w:szCs w:val="32"/>
        </w:rPr>
        <w:t>50</w:t>
      </w:r>
      <w:r>
        <w:rPr>
          <w:rFonts w:hint="eastAsia" w:ascii="仿宋_GB2312" w:eastAsia="仿宋_GB2312" w:cs="DengXian-Regular"/>
          <w:sz w:val="32"/>
          <w:szCs w:val="32"/>
        </w:rPr>
        <w:t>万元以上通用设备0台（套），比上年无增减变化。截至2018年12月31日，本部门共有车辆1辆，比上年持平。其中，副部（省）级及以上领导用车0辆，主要领导干部用车0辆，机要通信用车1辆，应急保障用车0辆，执法执勤用车0辆，特种专业技术用车0辆，离退休干部用车0辆，其他用车0辆；单位价值</w:t>
      </w:r>
      <w:r>
        <w:rPr>
          <w:rFonts w:hint="eastAsia" w:ascii="仿宋_GB2312" w:eastAsia="仿宋_GB2312" w:cs="TimesNewRomanPSMT"/>
          <w:sz w:val="32"/>
          <w:szCs w:val="32"/>
        </w:rPr>
        <w:t>50</w:t>
      </w:r>
      <w:r>
        <w:rPr>
          <w:rFonts w:hint="eastAsia" w:ascii="仿宋_GB2312" w:eastAsia="仿宋_GB2312" w:cs="DengXian-Regular"/>
          <w:sz w:val="32"/>
          <w:szCs w:val="32"/>
        </w:rPr>
        <w:t>万元以上通用设备0台（套），比上年持平，单位价值</w:t>
      </w:r>
      <w:r>
        <w:rPr>
          <w:rFonts w:hint="eastAsia" w:ascii="仿宋_GB2312" w:eastAsia="仿宋_GB2312" w:cs="TimesNewRomanPSMT"/>
          <w:sz w:val="32"/>
          <w:szCs w:val="32"/>
        </w:rPr>
        <w:t>100</w:t>
      </w:r>
      <w:r>
        <w:rPr>
          <w:rFonts w:hint="eastAsia" w:ascii="仿宋_GB2312" w:eastAsia="仿宋_GB2312" w:cs="DengXian-Regular"/>
          <w:sz w:val="32"/>
          <w:szCs w:val="32"/>
        </w:rPr>
        <w:t>万元以上专用设备0台（套），比上年持平。</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本部门2018年度</w:t>
      </w:r>
      <w:r>
        <w:rPr>
          <w:rFonts w:hint="eastAsia" w:ascii="仿宋_GB2312" w:hAnsi="仿宋_GB2312" w:eastAsia="仿宋_GB2312" w:cs="仿宋_GB2312"/>
          <w:color w:val="000000"/>
          <w:kern w:val="0"/>
          <w:sz w:val="32"/>
          <w:szCs w:val="32"/>
        </w:rPr>
        <w:t>政府性基金预算财政拨款</w:t>
      </w:r>
      <w:r>
        <w:rPr>
          <w:rFonts w:hint="eastAsia" w:ascii="仿宋_GB2312" w:hAnsi="仿宋_GB2312" w:eastAsia="仿宋_GB2312" w:cs="仿宋_GB2312"/>
          <w:sz w:val="32"/>
          <w:szCs w:val="32"/>
        </w:rPr>
        <w:t>无收支及结转结余情况，故</w:t>
      </w:r>
      <w:r>
        <w:rPr>
          <w:rFonts w:hint="eastAsia" w:ascii="仿宋_GB2312" w:hAnsi="仿宋_GB2312" w:eastAsia="仿宋_GB2312" w:cs="仿宋_GB2312"/>
          <w:color w:val="000000"/>
          <w:kern w:val="0"/>
          <w:sz w:val="32"/>
          <w:szCs w:val="32"/>
        </w:rPr>
        <w:t>政府性基金预算财政拨款收入支出决算</w:t>
      </w:r>
      <w:r>
        <w:rPr>
          <w:rFonts w:hint="eastAsia" w:ascii="仿宋_GB2312" w:hAnsi="仿宋_GB2312" w:eastAsia="仿宋_GB2312" w:cs="仿宋_GB2312"/>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本部门2018年度</w:t>
      </w:r>
      <w:r>
        <w:rPr>
          <w:rFonts w:hint="eastAsia" w:ascii="仿宋_GB2312" w:hAnsi="仿宋_GB2312" w:eastAsia="仿宋_GB2312" w:cs="仿宋_GB2312"/>
          <w:color w:val="000000"/>
          <w:kern w:val="0"/>
          <w:sz w:val="32"/>
          <w:szCs w:val="32"/>
        </w:rPr>
        <w:t>国有资本经营预算财政拨款</w:t>
      </w:r>
      <w:r>
        <w:rPr>
          <w:rFonts w:hint="eastAsia" w:ascii="仿宋_GB2312" w:hAnsi="仿宋_GB2312" w:eastAsia="仿宋_GB2312" w:cs="仿宋_GB2312"/>
          <w:sz w:val="32"/>
          <w:szCs w:val="32"/>
        </w:rPr>
        <w:t>无收支及结转结余情况，故</w:t>
      </w:r>
      <w:r>
        <w:rPr>
          <w:rFonts w:hint="eastAsia" w:ascii="仿宋_GB2312" w:hAnsi="仿宋_GB2312" w:eastAsia="仿宋_GB2312" w:cs="仿宋_GB2312"/>
          <w:color w:val="000000"/>
          <w:kern w:val="0"/>
          <w:sz w:val="32"/>
          <w:szCs w:val="32"/>
        </w:rPr>
        <w:t>国有资本经营预算财政拨款支出决算</w:t>
      </w:r>
      <w:r>
        <w:rPr>
          <w:rFonts w:hint="eastAsia" w:ascii="仿宋_GB2312" w:hAnsi="仿宋_GB2312" w:eastAsia="仿宋_GB2312" w:cs="仿宋_GB2312"/>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lang w:val="en-US" w:eastAsia="zh-CN"/>
        </w:rPr>
        <w:t>3、</w:t>
      </w:r>
      <w:r>
        <w:rPr>
          <w:rFonts w:hint="eastAsia" w:ascii="仿宋_GB2312"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1984" w:left="1588" w:header="851" w:footer="992" w:gutter="0"/>
          <w:cols w:space="720" w:num="1"/>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hint="eastAsia" w:ascii="黑体" w:eastAsia="黑体"/>
          <w:color w:val="000000"/>
          <w:sz w:val="96"/>
          <w:szCs w:val="96"/>
        </w:rPr>
        <w:t>第四部分</w:t>
      </w:r>
    </w:p>
    <w:p>
      <w:pPr>
        <w:widowControl/>
        <w:spacing w:line="1200" w:lineRule="exact"/>
        <w:jc w:val="center"/>
        <w:rPr>
          <w:color w:val="000000"/>
          <w:sz w:val="96"/>
          <w:szCs w:val="96"/>
        </w:rPr>
      </w:pPr>
      <w:r>
        <w:rPr>
          <w:rFonts w:hint="eastAsia" w:ascii="黑体" w:eastAsia="黑体"/>
          <w:color w:val="000000"/>
          <w:sz w:val="96"/>
          <w:szCs w:val="96"/>
        </w:rPr>
        <w:t>名词解释</w:t>
      </w:r>
    </w:p>
    <w:p>
      <w:pPr>
        <w:rPr>
          <w:rFonts w:ascii="宋体" w:cs="ArialUnicodeMS"/>
          <w:color w:val="000000"/>
          <w:kern w:val="0"/>
        </w:r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（一）财政拨款收入：</w:t>
      </w:r>
      <w:r>
        <w:rPr>
          <w:rFonts w:hint="eastAsia" w:ascii="仿宋_GB2312"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（二）事业收入：</w:t>
      </w:r>
      <w:r>
        <w:rPr>
          <w:rFonts w:hint="eastAsia" w:ascii="仿宋_GB2312"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（三）其他收入：</w:t>
      </w:r>
      <w:r>
        <w:rPr>
          <w:rFonts w:hint="eastAsia" w:ascii="仿宋_GB2312"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（四）用事业基金弥补收支差额：</w:t>
      </w:r>
      <w:r>
        <w:rPr>
          <w:rFonts w:hint="eastAsia" w:ascii="仿宋_GB2312"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（五）年初结转和结余：</w:t>
      </w:r>
      <w:r>
        <w:rPr>
          <w:rFonts w:hint="eastAsia" w:ascii="仿宋_GB2312"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（六）结余分配：</w:t>
      </w:r>
      <w:r>
        <w:rPr>
          <w:rFonts w:hint="eastAsia" w:ascii="仿宋_GB2312"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（七）年末结转和结余：</w:t>
      </w:r>
      <w:r>
        <w:rPr>
          <w:rFonts w:hint="eastAsia" w:ascii="仿宋_GB2312"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（八）基本支出：</w:t>
      </w:r>
      <w:r>
        <w:rPr>
          <w:rFonts w:hint="eastAsia" w:ascii="仿宋_GB2312"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（九）项目支出：</w:t>
      </w:r>
      <w:r>
        <w:rPr>
          <w:rFonts w:hint="eastAsia" w:ascii="仿宋_GB2312"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（十）资本性支出（基本建设）：</w:t>
      </w:r>
      <w:r>
        <w:rPr>
          <w:rFonts w:hint="eastAsia" w:ascii="仿宋_GB2312"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（十一）资本性支出：</w:t>
      </w:r>
      <w:r>
        <w:rPr>
          <w:rFonts w:hint="eastAsia" w:ascii="仿宋_GB2312"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（十二）“三公”经费：</w:t>
      </w:r>
      <w:r>
        <w:rPr>
          <w:rFonts w:hint="eastAsia" w:ascii="仿宋_GB2312"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（十三）其他交通费用：</w:t>
      </w:r>
      <w:r>
        <w:rPr>
          <w:rFonts w:hint="eastAsia" w:ascii="仿宋_GB2312"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（十四）公务用车购置：</w:t>
      </w:r>
      <w:r>
        <w:rPr>
          <w:rFonts w:hint="eastAsia" w:ascii="仿宋_GB2312"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（十五）其他交通工具购置：</w:t>
      </w:r>
      <w:r>
        <w:rPr>
          <w:rFonts w:hint="eastAsia" w:ascii="仿宋_GB2312"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color w:val="000000"/>
          <w:kern w:val="0"/>
          <w:sz w:val="32"/>
          <w:szCs w:val="32"/>
        </w:rPr>
      </w:pPr>
      <w:r>
        <w:rPr>
          <w:rFonts w:hint="eastAsia" w:ascii="仿宋_GB2312" w:eastAsia="仿宋_GB2312"/>
          <w:b/>
          <w:bCs/>
          <w:color w:val="000000"/>
          <w:kern w:val="0"/>
          <w:sz w:val="32"/>
          <w:szCs w:val="32"/>
        </w:rPr>
        <w:t>（十六）机关运行经费：</w:t>
      </w:r>
      <w:r>
        <w:rPr>
          <w:rFonts w:hint="eastAsia" w:ascii="仿宋_GB2312"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kern w:val="0"/>
          <w:sz w:val="32"/>
          <w:szCs w:val="32"/>
        </w:rPr>
      </w:pPr>
      <w:r>
        <w:rPr>
          <w:rFonts w:hint="eastAsia" w:ascii="仿宋_GB2312" w:eastAsia="仿宋_GB2312"/>
          <w:b/>
          <w:bCs/>
          <w:color w:val="000000"/>
          <w:kern w:val="0"/>
          <w:sz w:val="32"/>
          <w:szCs w:val="32"/>
        </w:rPr>
        <w:t>（十七）经费形式:</w:t>
      </w:r>
      <w:r>
        <w:rPr>
          <w:rFonts w:hint="eastAsia" w:ascii="仿宋_GB2312" w:eastAsia="仿宋_GB2312"/>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ind w:firstLine="640" w:firstLineChars="200"/>
        <w:rPr>
          <w:rFonts w:ascii="仿宋_GB2312" w:eastAsia="仿宋_GB2312" w:cs="ArialUnicodeMS"/>
          <w:kern w:val="0"/>
          <w:sz w:val="32"/>
          <w:szCs w:val="32"/>
        </w:rPr>
      </w:pPr>
    </w:p>
    <w:p>
      <w:pPr>
        <w:widowControl/>
        <w:spacing w:after="0" w:line="560" w:lineRule="exact"/>
        <w:rPr>
          <w:rFonts w:ascii="仿宋_GB2312" w:eastAsia="仿宋_GB2312" w:cs="ArialUnicodeMS"/>
          <w:kern w:val="0"/>
          <w:sz w:val="32"/>
          <w:szCs w:val="32"/>
        </w:rPr>
      </w:pPr>
    </w:p>
    <w:sectPr>
      <w:pgSz w:w="11906" w:h="16838"/>
      <w:pgMar w:top="2098" w:right="1474" w:bottom="1985"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growAutofit/>
    <w:useFELayout/>
    <w:compatSetting w:name="compatibilityMode" w:uri="http://schemas.microsoft.com/office/word" w:val="12"/>
  </w:compat>
  <w:rsids>
    <w:rsidRoot w:val="00810633"/>
    <w:rsid w:val="000F0B10"/>
    <w:rsid w:val="006E701D"/>
    <w:rsid w:val="007B5517"/>
    <w:rsid w:val="00810633"/>
    <w:rsid w:val="097E2535"/>
    <w:rsid w:val="14120644"/>
    <w:rsid w:val="1E7D1648"/>
    <w:rsid w:val="33C06A90"/>
    <w:rsid w:val="37D80D7F"/>
    <w:rsid w:val="39A900D7"/>
    <w:rsid w:val="3EF41D1C"/>
    <w:rsid w:val="47CD4BA8"/>
    <w:rsid w:val="57907885"/>
    <w:rsid w:val="579D35A8"/>
    <w:rsid w:val="58B50E07"/>
    <w:rsid w:val="591063E6"/>
    <w:rsid w:val="67960C77"/>
    <w:rsid w:val="6E332DA8"/>
    <w:rsid w:val="6F5771F5"/>
    <w:rsid w:val="78D026AF"/>
    <w:rsid w:val="7DE76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Calibri" w:hAnsi="Calibri" w:cs="Arial"/>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paragraph" w:styleId="5">
    <w:name w:val="heading 4"/>
    <w:basedOn w:val="1"/>
    <w:next w:val="1"/>
    <w:qFormat/>
    <w:uiPriority w:val="0"/>
    <w:pPr>
      <w:keepNext/>
      <w:keepLines/>
      <w:spacing w:before="280" w:after="290" w:line="377" w:lineRule="auto"/>
      <w:outlineLvl w:val="3"/>
    </w:pPr>
    <w:rPr>
      <w:rFonts w:ascii="Calibri" w:hAnsi="Calibri" w:cs="Arial"/>
      <w:b/>
      <w:bCs/>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qFormat/>
    <w:uiPriority w:val="0"/>
    <w:pPr>
      <w:ind w:left="2500" w:leftChars="250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rFonts w:ascii="Cambria" w:hAnsi="Cambria" w:eastAsia="黑体"/>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qFormat/>
    <w:uiPriority w:val="0"/>
    <w:pPr>
      <w:widowControl/>
      <w:spacing w:after="200" w:line="276" w:lineRule="auto"/>
      <w:jc w:val="left"/>
    </w:pPr>
    <w:rPr>
      <w:rFonts w:ascii="Calibri" w:hAnsi="Calibri" w:cs="Arial"/>
      <w:i/>
      <w:iCs/>
      <w:color w:val="F0A22E"/>
      <w:spacing w:val="15"/>
      <w:kern w:val="0"/>
      <w:sz w:val="24"/>
    </w:rPr>
  </w:style>
  <w:style w:type="paragraph" w:styleId="11">
    <w:name w:val="Title"/>
    <w:basedOn w:val="1"/>
    <w:next w:val="1"/>
    <w:qFormat/>
    <w:uiPriority w:val="0"/>
    <w:pPr>
      <w:widowControl/>
      <w:pBdr>
        <w:bottom w:val="single" w:color="F0A22E" w:sz="8" w:space="4"/>
      </w:pBdr>
      <w:spacing w:after="300"/>
      <w:contextualSpacing/>
      <w:jc w:val="left"/>
    </w:pPr>
    <w:rPr>
      <w:rFonts w:ascii="Calibri" w:hAnsi="Calibri" w:cs="Arial"/>
      <w:color w:val="3B2C24"/>
      <w:spacing w:val="5"/>
      <w:kern w:val="28"/>
      <w:sz w:val="52"/>
      <w:szCs w:val="52"/>
    </w:rPr>
  </w:style>
  <w:style w:type="paragraph" w:customStyle="1" w:styleId="14">
    <w:name w:val="无间隔1"/>
    <w:qFormat/>
    <w:uiPriority w:val="0"/>
    <w:pPr>
      <w:spacing w:after="160" w:line="480" w:lineRule="auto"/>
    </w:pPr>
    <w:rPr>
      <w:rFonts w:ascii="Cambria" w:hAnsi="Cambria" w:eastAsia="黑体" w:cs="Times New Roman"/>
      <w:sz w:val="22"/>
      <w:szCs w:val="22"/>
      <w:lang w:val="en-US" w:eastAsia="zh-CN" w:bidi="ar-SA"/>
    </w:rPr>
  </w:style>
  <w:style w:type="character" w:customStyle="1" w:styleId="15">
    <w:name w:val="Style1"/>
    <w:basedOn w:val="13"/>
    <w:qFormat/>
    <w:uiPriority w:val="0"/>
    <w:rPr>
      <w:rFonts w:ascii="Cambria" w:hAnsi="Cambria" w:eastAsia="黑体" w:cs="Times New Roman"/>
      <w:sz w:val="22"/>
      <w:szCs w:val="22"/>
      <w:lang w:eastAsia="zh-CN"/>
    </w:rPr>
  </w:style>
  <w:style w:type="character" w:customStyle="1" w:styleId="16">
    <w:name w:val="Style2"/>
    <w:basedOn w:val="13"/>
    <w:qFormat/>
    <w:uiPriority w:val="0"/>
    <w:rPr>
      <w:rFonts w:ascii="Cambria" w:hAnsi="Cambria" w:eastAsia="黑体" w:cs="Times New Roman"/>
      <w:sz w:val="22"/>
      <w:szCs w:val="22"/>
      <w:lang w:eastAsia="zh-CN"/>
    </w:rPr>
  </w:style>
  <w:style w:type="character" w:customStyle="1" w:styleId="17">
    <w:name w:val="Style3"/>
    <w:basedOn w:val="13"/>
    <w:qFormat/>
    <w:uiPriority w:val="0"/>
    <w:rPr>
      <w:rFonts w:ascii="Cambria" w:hAnsi="Cambria" w:eastAsia="黑体" w:cs="Times New Roman"/>
      <w:szCs w:val="22"/>
      <w:lang w:eastAsia="zh-CN"/>
    </w:rPr>
  </w:style>
  <w:style w:type="character" w:customStyle="1" w:styleId="18">
    <w:name w:val="Style4"/>
    <w:basedOn w:val="13"/>
    <w:qFormat/>
    <w:uiPriority w:val="0"/>
    <w:rPr>
      <w:rFonts w:ascii="Cambria" w:hAnsi="Cambria" w:eastAsia="黑体" w:cs="Times New Roman"/>
      <w:szCs w:val="22"/>
      <w:lang w:eastAsia="zh-CN"/>
    </w:rPr>
  </w:style>
  <w:style w:type="character" w:customStyle="1" w:styleId="19">
    <w:name w:val="Style5"/>
    <w:basedOn w:val="13"/>
    <w:qFormat/>
    <w:uiPriority w:val="0"/>
    <w:rPr>
      <w:rFonts w:ascii="Cambria" w:hAnsi="Cambria" w:eastAsia="黑体" w:cs="Times New Roman"/>
      <w:sz w:val="22"/>
      <w:szCs w:val="22"/>
      <w:lang w:eastAsia="zh-CN"/>
    </w:rPr>
  </w:style>
  <w:style w:type="paragraph" w:customStyle="1" w:styleId="20">
    <w:name w:val="列出段落1"/>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1627</Words>
  <Characters>9276</Characters>
  <Lines>77</Lines>
  <Paragraphs>21</Paragraphs>
  <TotalTime>3</TotalTime>
  <ScaleCrop>false</ScaleCrop>
  <LinksUpToDate>false</LinksUpToDate>
  <CharactersWithSpaces>10882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杜</cp:lastModifiedBy>
  <cp:lastPrinted>2019-11-14T07:59:00Z</cp:lastPrinted>
  <dcterms:modified xsi:type="dcterms:W3CDTF">2021-05-27T06:17:38Z</dcterms:modified>
  <dc:subject>石家庄市xxx部门</dc:subject>
  <dc:title>2017年度部门决算</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D3759A2FF2B24BD984EA9CD13882CE1E</vt:lpwstr>
  </property>
</Properties>
</file>