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1440" w:right="1800" w:bottom="1440" w:left="180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二〇二〇年十一月</w:t>
                  </w:r>
                </w:p>
              </w:txbxContent>
            </v:textbox>
          </v:shape>
        </w:pict>
      </w:r>
      <w:r>
        <w:pict>
          <v:shape id="椭圆 8" o:spid="_x0000_s1051"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on="t" focussize="0,0"/>
            <v:stroke on="f" weight="1pt" joinstyle="miter"/>
            <v:imagedata o:title=""/>
            <o:lock v:ext="edit"/>
            <v:textbox>
              <w:txbxContent>
                <w:p>
                  <w:pPr>
                    <w:jc w:val="center"/>
                  </w:pPr>
                </w:p>
              </w:txbxContent>
            </v:textbox>
          </v:shape>
        </w:pict>
      </w:r>
      <w:r>
        <w:pict>
          <v:rect id="矩形 14" o:spid="_x0000_s1050"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pPr>
                    <w:jc w:val="center"/>
                  </w:pPr>
                </w:p>
              </w:txbxContent>
            </v:textbox>
          </v:shape>
        </w:pict>
      </w:r>
      <w:r>
        <w:pict>
          <v:group id="_x0000_s1046" o:spid="_x0000_s104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r>
        <w:pict>
          <v:group id="_x0000_s1043" o:spid="_x0000_s1043" o:spt="203" style="position:absolute;left:0pt;margin-left:-93.55pt;margin-top:26.7pt;height:69.6pt;width:600.25pt;z-index:-251649024;mso-width-relative:page;mso-height-relative:page;" coordorigin="136,-667" coordsize="120,1392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top:2;height:62;width:120;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top:-667;height:13920;width:81;"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廊坊市大城县旺村镇人民政府</w:t>
      </w:r>
    </w:p>
    <w:p>
      <w:pPr>
        <w:snapToGrid w:val="0"/>
        <w:jc w:val="center"/>
        <w:rPr>
          <w:rFonts w:ascii="楷体_GB2312" w:hAnsi="楷体_GB2312" w:eastAsia="楷体_GB2312" w:cs="楷体_GB2312"/>
          <w:color w:val="000000" w:themeColor="text1"/>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二〇二〇年十一月</w:t>
      </w:r>
    </w:p>
    <w:p>
      <w:pPr>
        <w:tabs>
          <w:tab w:val="left" w:pos="2728"/>
        </w:tabs>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70528;v-text-anchor:middle;mso-width-relative:page;mso-height-relative:page;" fillcolor="#FFFFFF" filled="t" stroked="f"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focussize="0,0"/>
            <v:stroke on="f"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adjustRightInd w:val="0"/>
        <w:snapToGrid w:val="0"/>
        <w:spacing w:line="580" w:lineRule="exact"/>
        <w:ind w:firstLine="640" w:firstLineChars="200"/>
        <w:rPr>
          <w:rFonts w:ascii="仿宋" w:hAnsi="仿宋" w:eastAsia="仿宋"/>
          <w:sz w:val="32"/>
          <w:szCs w:val="32"/>
        </w:rPr>
      </w:pPr>
      <w:r>
        <w:rPr>
          <w:rFonts w:hint="eastAsia" w:eastAsia="仿宋_GB2312"/>
          <w:sz w:val="32"/>
          <w:szCs w:val="32"/>
        </w:rPr>
        <w:t>（一）</w:t>
      </w:r>
      <w:r>
        <w:rPr>
          <w:rFonts w:hint="eastAsia" w:ascii="仿宋" w:hAnsi="仿宋" w:eastAsia="仿宋"/>
          <w:sz w:val="32"/>
          <w:szCs w:val="32"/>
        </w:rPr>
        <w:t>党政机构设置及主要职责。</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旺村镇综合设置5个办公室，即：党政综合办公室（挂信访办公室牌子）、社会事务办公室、经济发展办公室（挂安全生产监督管理办公室牌子）、综合治理办公室、计划生育办公室。</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党政综合办公室职责：负责乡镇各部门的综合协调、上传下达、文印收发、信息反馈、档案管理、机关事务等工作；负责基层组织建设、党员教育管理、干部考核与目标管理、老干部管理、农村精神文明建设、机构编制管理等工作；负责人大、工会、妇联、共青团等方面工作；负责乡镇信访工作。</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社会事务办公室职责：负责拥军优属、复退安置、社会救济、救灾防疫、婚姻管理、殡葬管理工作；负责农村基层民主政治建设、村务公开工作；负责党的民族宗教政策的贯彻落实；负责科技、教育、人力资源和社会保障、卫生、文化、统计、体育、广播、电视、物价等方面工作的协调、管理；监督、指导文化服务中心的工作。</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经济发展办公室职责：研究制定乡镇经济发展规划并组织实施；负责农村小康建设规划的制定和落实；协助有关部门负责区域内经济调节及市场监管；负责项目建设、招商引资工作；负责农业产业结构调整工作；负责农村土地承包、减轻农民负担管理工作；负责农村资产、资源、资金管理工作；负责环境保护、食品药品、农业、林业、水利、畜牧等方面工作的协调、管理；负责协调辖区内企业、税务、工商、银行、信用社、供销社等工作；负责本乡镇的安全生产监督管理工作；监督、指导企业服务中心、财政所的工作；贯彻执行上级关于乡村规划建设的法律、法规、方针、政策；协助上级规划建设管理部门组织编制乡村建设规划；接受上级规划建设管理部门的业务指导，监督执行乡村建设规划；协助有关部门开展土地的依法管理、宅基地审核申报、交通、乡村道路建设、农田水利基本建设、农村饮水、电信、有线电视、电网等农村基础设施建设工作。</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综合治理办公室职责：贯彻落实上级关于社会治安综合治理的法律、法规、方针、政策，组织实施社会治安综合治理各项措施；负责辖区内各部门、各单位落实综合治理工作的组织、指导、检查；负责辖区内矛盾纠纷的调处和应急处置工作；负责协调辖区内司法所、公安派出所、法庭工作。</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计划生育办公室职责：负责宣传贯彻上级关于人口和计划生育的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（二）事业单位设置及主要职责。</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旺村镇设置事业单位4个，即：企业服务中心（挂农业服务中心牌子）、计划生育服务中心、综合文化服务中心和财政所。</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企业服务中心职责：负责投资环境介绍及有关政策咨询，协助投资企业办理有关报批事宜；负责企业投诉受理及经济纠纷的协调处理工作；负责协助投资者及外来人员购房、落户以及子女入托、入学、就业等事宜。负责农技、农机、蔬菜、畜禽、水产、林业等技术引进与推广工作；负责水土保持、节水、灌溉新技术的推广应用；负责农业科技示范区建设工作；负责畜禽检疫、防疫工作；负责无公害农产品生产基地建设工作；负责指导农民专业合作社建设工作；负责农业新技术培训。</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计划生育服务中心主要职责：负责辖区内常住、暂住、流动人口的计划生育服务工作；负责育龄妇女的优生优育服务、避孕药具的发放及婚育培训等工作。</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综合文化服务中心主要职责：组织开展科普教育活动，引导农民开展健康有益的文娱体育活动；负责群众文艺骨干辅导和培训工作；搜集、整理民间文化艺术遗产；负责文物保护工作。</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财政所主要职责：贯彻执行国家财政的法律、法规、方针、政策，负责乡镇财政收支、预决算的编制并组织执行；负责辖区内财政资金使用情况的监管工作；负责辖区内国有资产的管理工作；负责各项惠农补贴的发放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年度本部门决算汇编范围的独立核算单位（以下简称“单位”）共9个，具体情况如下：</w:t>
      </w:r>
    </w:p>
    <w:p>
      <w:pPr>
        <w:spacing w:line="580" w:lineRule="exact"/>
        <w:ind w:firstLine="640" w:firstLineChars="200"/>
        <w:rPr>
          <w:rFonts w:ascii="仿宋_GB2312" w:hAnsi="Calibri" w:eastAsia="仿宋_GB2312" w:cs="ArialUnicodeMS"/>
          <w:kern w:val="0"/>
          <w:sz w:val="32"/>
          <w:szCs w:val="32"/>
        </w:rPr>
      </w:pP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100"/>
        <w:gridCol w:w="3260"/>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Malgun Gothic"/>
                <w:b/>
                <w:bCs/>
                <w:kern w:val="0"/>
                <w:sz w:val="28"/>
                <w:szCs w:val="28"/>
              </w:rPr>
            </w:pPr>
            <w:r>
              <w:rPr>
                <w:rFonts w:hint="eastAsia" w:ascii="仿宋_GB2312" w:hAnsi="Calibri" w:eastAsia="仿宋_GB2312" w:cs="Malgun Gothic"/>
                <w:b/>
                <w:bCs/>
                <w:kern w:val="0"/>
                <w:sz w:val="28"/>
                <w:szCs w:val="28"/>
              </w:rPr>
              <w:t>序号</w:t>
            </w:r>
          </w:p>
        </w:tc>
        <w:tc>
          <w:tcPr>
            <w:tcW w:w="2100" w:type="dxa"/>
            <w:vAlign w:val="center"/>
          </w:tcPr>
          <w:p>
            <w:pPr>
              <w:spacing w:line="560" w:lineRule="exact"/>
              <w:jc w:val="center"/>
              <w:rPr>
                <w:rFonts w:ascii="仿宋_GB2312" w:hAnsi="Calibri" w:eastAsia="仿宋_GB2312" w:cs="Malgun Gothic"/>
                <w:b/>
                <w:bCs/>
                <w:kern w:val="0"/>
                <w:sz w:val="28"/>
                <w:szCs w:val="28"/>
              </w:rPr>
            </w:pPr>
            <w:r>
              <w:rPr>
                <w:rFonts w:hint="eastAsia" w:ascii="仿宋_GB2312" w:hAnsi="Calibri" w:eastAsia="仿宋_GB2312" w:cs="Malgun Gothic"/>
                <w:b/>
                <w:bCs/>
                <w:kern w:val="0"/>
                <w:sz w:val="28"/>
                <w:szCs w:val="28"/>
              </w:rPr>
              <w:t>单位名称</w:t>
            </w:r>
          </w:p>
        </w:tc>
        <w:tc>
          <w:tcPr>
            <w:tcW w:w="3260" w:type="dxa"/>
            <w:vAlign w:val="center"/>
          </w:tcPr>
          <w:p>
            <w:pPr>
              <w:spacing w:line="560" w:lineRule="exact"/>
              <w:jc w:val="center"/>
              <w:rPr>
                <w:rFonts w:ascii="仿宋_GB2312" w:hAnsi="Calibri" w:eastAsia="仿宋_GB2312" w:cs="Malgun Gothic"/>
                <w:b/>
                <w:bCs/>
                <w:kern w:val="0"/>
                <w:sz w:val="28"/>
                <w:szCs w:val="28"/>
              </w:rPr>
            </w:pPr>
            <w:r>
              <w:rPr>
                <w:rFonts w:hint="eastAsia" w:ascii="仿宋_GB2312" w:hAnsi="Calibri" w:eastAsia="仿宋_GB2312" w:cs="Malgun Gothic"/>
                <w:b/>
                <w:bCs/>
                <w:kern w:val="0"/>
                <w:sz w:val="28"/>
                <w:szCs w:val="28"/>
              </w:rPr>
              <w:t>单位基本性质</w:t>
            </w:r>
          </w:p>
        </w:tc>
        <w:tc>
          <w:tcPr>
            <w:tcW w:w="3235" w:type="dxa"/>
            <w:vAlign w:val="center"/>
          </w:tcPr>
          <w:p>
            <w:pPr>
              <w:spacing w:line="560" w:lineRule="exact"/>
              <w:jc w:val="center"/>
              <w:rPr>
                <w:rFonts w:ascii="仿宋_GB2312" w:hAnsi="Calibri" w:eastAsia="仿宋_GB2312" w:cs="Malgun Gothic"/>
                <w:b/>
                <w:bCs/>
                <w:kern w:val="0"/>
                <w:sz w:val="28"/>
                <w:szCs w:val="28"/>
              </w:rPr>
            </w:pPr>
            <w:r>
              <w:rPr>
                <w:rFonts w:hint="eastAsia" w:ascii="仿宋_GB2312" w:hAnsi="Calibri" w:eastAsia="仿宋_GB2312" w:cs="Malgun Gothic"/>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1</w:t>
            </w:r>
          </w:p>
        </w:tc>
        <w:tc>
          <w:tcPr>
            <w:tcW w:w="2100"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旺村镇政府</w:t>
            </w:r>
          </w:p>
        </w:tc>
        <w:tc>
          <w:tcPr>
            <w:tcW w:w="3260"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行政单位</w:t>
            </w:r>
          </w:p>
        </w:tc>
        <w:tc>
          <w:tcPr>
            <w:tcW w:w="3235" w:type="dxa"/>
          </w:tcPr>
          <w:p>
            <w:pPr>
              <w:tabs>
                <w:tab w:val="left" w:pos="690"/>
              </w:tabs>
              <w:spacing w:line="560" w:lineRule="exact"/>
              <w:jc w:val="center"/>
              <w:rPr>
                <w:rFonts w:ascii="仿宋_GB2312" w:hAnsi="Calibri" w:eastAsia="仿宋_GB2312" w:cs="Malgun Gothic"/>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2</w:t>
            </w:r>
          </w:p>
        </w:tc>
        <w:tc>
          <w:tcPr>
            <w:tcW w:w="2100"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旺村镇财政所</w:t>
            </w:r>
          </w:p>
        </w:tc>
        <w:tc>
          <w:tcPr>
            <w:tcW w:w="3260"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财政补助事业单位</w:t>
            </w:r>
          </w:p>
        </w:tc>
        <w:tc>
          <w:tcPr>
            <w:tcW w:w="3235"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3</w:t>
            </w:r>
          </w:p>
        </w:tc>
        <w:tc>
          <w:tcPr>
            <w:tcW w:w="2100"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旺村镇计生办</w:t>
            </w:r>
          </w:p>
        </w:tc>
        <w:tc>
          <w:tcPr>
            <w:tcW w:w="3260"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财政补助事业单位</w:t>
            </w:r>
          </w:p>
        </w:tc>
        <w:tc>
          <w:tcPr>
            <w:tcW w:w="3235"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4</w:t>
            </w:r>
          </w:p>
        </w:tc>
        <w:tc>
          <w:tcPr>
            <w:tcW w:w="2100"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旺村镇党委</w:t>
            </w:r>
          </w:p>
        </w:tc>
        <w:tc>
          <w:tcPr>
            <w:tcW w:w="3260"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行政单位</w:t>
            </w:r>
          </w:p>
        </w:tc>
        <w:tc>
          <w:tcPr>
            <w:tcW w:w="3235"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5</w:t>
            </w:r>
          </w:p>
        </w:tc>
        <w:tc>
          <w:tcPr>
            <w:tcW w:w="2100"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旺村镇文化站</w:t>
            </w:r>
          </w:p>
        </w:tc>
        <w:tc>
          <w:tcPr>
            <w:tcW w:w="3260"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财政补助事业单位</w:t>
            </w:r>
          </w:p>
        </w:tc>
        <w:tc>
          <w:tcPr>
            <w:tcW w:w="3235"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6</w:t>
            </w:r>
          </w:p>
        </w:tc>
        <w:tc>
          <w:tcPr>
            <w:tcW w:w="2100"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旺村镇广播站</w:t>
            </w:r>
          </w:p>
        </w:tc>
        <w:tc>
          <w:tcPr>
            <w:tcW w:w="3260"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财政补助事业单位</w:t>
            </w:r>
          </w:p>
        </w:tc>
        <w:tc>
          <w:tcPr>
            <w:tcW w:w="3235"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7</w:t>
            </w:r>
          </w:p>
        </w:tc>
        <w:tc>
          <w:tcPr>
            <w:tcW w:w="2100"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旺村镇农业办</w:t>
            </w:r>
          </w:p>
        </w:tc>
        <w:tc>
          <w:tcPr>
            <w:tcW w:w="3260"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财政补助事业单位</w:t>
            </w:r>
          </w:p>
        </w:tc>
        <w:tc>
          <w:tcPr>
            <w:tcW w:w="3235"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8</w:t>
            </w:r>
          </w:p>
        </w:tc>
        <w:tc>
          <w:tcPr>
            <w:tcW w:w="2100"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旺村镇水利站</w:t>
            </w:r>
          </w:p>
        </w:tc>
        <w:tc>
          <w:tcPr>
            <w:tcW w:w="3260" w:type="dxa"/>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财政补助事业单位</w:t>
            </w:r>
          </w:p>
        </w:tc>
        <w:tc>
          <w:tcPr>
            <w:tcW w:w="3235" w:type="dxa"/>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9</w:t>
            </w:r>
          </w:p>
        </w:tc>
        <w:tc>
          <w:tcPr>
            <w:tcW w:w="2100" w:type="dxa"/>
            <w:tcBorders>
              <w:bottom w:val="single" w:color="auto" w:sz="4" w:space="0"/>
            </w:tcBorders>
          </w:tcPr>
          <w:p>
            <w:pPr>
              <w:spacing w:line="560" w:lineRule="exact"/>
              <w:jc w:val="center"/>
              <w:rPr>
                <w:rFonts w:ascii="仿宋_GB2312" w:hAnsi="Calibri" w:eastAsia="仿宋_GB2312" w:cs="Malgun Gothic"/>
                <w:kern w:val="0"/>
                <w:sz w:val="28"/>
                <w:szCs w:val="28"/>
              </w:rPr>
            </w:pPr>
            <w:r>
              <w:rPr>
                <w:rFonts w:hint="eastAsia" w:ascii="仿宋_GB2312" w:eastAsia="仿宋_GB2312"/>
                <w:sz w:val="28"/>
                <w:szCs w:val="28"/>
              </w:rPr>
              <w:t>旺村镇人大</w:t>
            </w:r>
          </w:p>
        </w:tc>
        <w:tc>
          <w:tcPr>
            <w:tcW w:w="3260" w:type="dxa"/>
            <w:tcBorders>
              <w:bottom w:val="single" w:color="auto" w:sz="4" w:space="0"/>
            </w:tcBorders>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Malgun Gothic"/>
                <w:kern w:val="0"/>
                <w:sz w:val="28"/>
                <w:szCs w:val="28"/>
              </w:rPr>
              <w:t>行政单位</w:t>
            </w:r>
          </w:p>
        </w:tc>
        <w:tc>
          <w:tcPr>
            <w:tcW w:w="3235" w:type="dxa"/>
            <w:tcBorders>
              <w:bottom w:val="single" w:color="auto" w:sz="4" w:space="0"/>
            </w:tcBorders>
          </w:tcPr>
          <w:p>
            <w:pPr>
              <w:spacing w:line="560" w:lineRule="exact"/>
              <w:jc w:val="center"/>
              <w:rPr>
                <w:rFonts w:ascii="仿宋_GB2312" w:hAnsi="Calibri" w:eastAsia="仿宋_GB2312" w:cs="Malgun Gothic"/>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Malgun Gothic"/>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88960;v-text-anchor:middle;mso-width-relative:page;mso-height-relative:page;" fillcolor="#FFFFFF" filled="t" stroked="f"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focussize="0,0"/>
            <v:stroke on="f"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本部门2019年度收支总计（含结转和结余）2968.65万元。与2018年度决算相比，收支各增加895.11万元，增长43.17%，主要原因是</w:t>
      </w:r>
      <w:r>
        <w:rPr>
          <w:rFonts w:hint="eastAsia" w:ascii="仿宋" w:hAnsi="仿宋" w:eastAsia="仿宋"/>
          <w:sz w:val="32"/>
          <w:szCs w:val="32"/>
        </w:rPr>
        <w:t>节能环保支出增加、城乡社区支出增加等</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本部门2019年度本年收入合计2968.65万元，其中：财政拨款收入2968.65万元，占100%；事业收入0万元，占0%；经营收入0万元，占0%；其他收入0万元，占0%。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本部门2019年度本年支出合计2968.65万元，其中：基本支出1029.78万元，占34.69%；项目支出1938.86万元，占65.31%；经营支出0万元，占0%。如图所示：</w:t>
      </w:r>
    </w:p>
    <w:p>
      <w:pPr>
        <w:adjustRightInd w:val="0"/>
        <w:snapToGrid w:val="0"/>
        <w:spacing w:line="6960" w:lineRule="auto"/>
        <w:ind w:firstLine="420" w:firstLineChars="200"/>
        <w:rPr>
          <w:rFonts w:ascii="仿宋_GB2312" w:hAnsi="Times New Roman" w:eastAsia="仿宋_GB2312" w:cs="DengXian-Regular"/>
          <w:sz w:val="32"/>
          <w:szCs w:val="32"/>
        </w:rPr>
      </w:pPr>
      <w:r>
        <w:rPr>
          <w:rFonts w:ascii="Times New Roman" w:hAnsi="Times New Roman" w:eastAsia="宋体" w:cs="Times New Roman"/>
          <w:szCs w:val="24"/>
        </w:rPr>
        <w:drawing>
          <wp:inline distT="0" distB="0" distL="0" distR="0">
            <wp:extent cx="5029200" cy="28384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imes New Roman" w:hAnsi="Times New Roman" w:eastAsia="宋体" w:cs="Times New Roman"/>
          <w:szCs w:val="24"/>
        </w:rPr>
        <w:pict>
          <v:group id="_x0000_s1033" o:spid="_x0000_s1033" o:spt="203" style="position:absolute;left:0pt;margin-left:58.35pt;margin-top:-21.2pt;height:192.85pt;width:287.95pt;z-index:-251632640;mso-width-relative:page;mso-height-relative:page;" coordorigin="70,1907" coordsize="46,33452"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o:lock v:ext="edit"/>
            <v:shape id="图片 3" o:spid="_x0000_s1035" o:spt="75" type="#_x0000_t75" style="position:absolute;left:70;top:1907;height:27;width:46;" filled="f" o:preferrelative="t" stroked="f" coordsize="21600,21600"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path/>
              <v:fill on="f" focussize="0,0"/>
              <v:stroke on="f" joinstyle="miter"/>
              <v:imagedata r:id="rId26" cropleft="2131f" croptop="1490f" cropright="1218f" cropbottom="5217f" o:title=""/>
              <o:lock v:ext="edit" aspectratio="t"/>
            </v:shape>
            <v:shape id="_x0000_s1034" o:spid="_x0000_s1034" o:spt="202" type="#_x0000_t202" style="position:absolute;left:72;top:1934;height:6;width:42;"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图X：支出构成情况（按支出性质）</w:t>
                    </w:r>
                  </w:p>
                  <w:p>
                    <w:pPr>
                      <w:spacing w:after="160" w:line="480" w:lineRule="auto"/>
                      <w:rPr>
                        <w:rFonts w:ascii="Times New Roman" w:hAnsi="Times New Roman" w:eastAsia="宋体" w:cs="Times New Roman"/>
                        <w:sz w:val="20"/>
                      </w:rPr>
                    </w:pPr>
                  </w:p>
                </w:txbxContent>
              </v:textbox>
            </v:shape>
          </v:group>
        </w:pict>
      </w:r>
    </w:p>
    <w:p>
      <w:pPr>
        <w:keepNext/>
        <w:keepLines/>
        <w:snapToGrid w:val="0"/>
        <w:spacing w:line="54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4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4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本部门2019年度财政拨款本年收入2968.65万元,比2018年度增加895.11万元，增长43.17%，主要是</w:t>
      </w:r>
      <w:r>
        <w:rPr>
          <w:rFonts w:hint="eastAsia" w:ascii="仿宋" w:hAnsi="仿宋" w:eastAsia="仿宋"/>
          <w:sz w:val="32"/>
          <w:szCs w:val="32"/>
        </w:rPr>
        <w:t>节能环保支出增加、城乡社区支出增加等</w:t>
      </w:r>
      <w:r>
        <w:rPr>
          <w:rFonts w:hint="eastAsia" w:ascii="仿宋_GB2312" w:hAnsi="Times New Roman" w:eastAsia="仿宋_GB2312" w:cs="DengXian-Regular"/>
          <w:sz w:val="32"/>
          <w:szCs w:val="32"/>
        </w:rPr>
        <w:t>；本年支出2968.65万元，增加895.11万元，增长43.17%，主要是</w:t>
      </w:r>
      <w:r>
        <w:rPr>
          <w:rFonts w:hint="eastAsia" w:ascii="仿宋" w:hAnsi="仿宋" w:eastAsia="仿宋"/>
          <w:sz w:val="32"/>
          <w:szCs w:val="32"/>
        </w:rPr>
        <w:t>节能环保支出增加、城乡社区支出增加等</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4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一般公共预算财政拨款本年收入2661.67万元，比上年增加1049.13万元；主要是</w:t>
      </w:r>
      <w:r>
        <w:rPr>
          <w:rFonts w:hint="eastAsia" w:ascii="仿宋" w:hAnsi="仿宋" w:eastAsia="仿宋"/>
          <w:sz w:val="32"/>
          <w:szCs w:val="32"/>
        </w:rPr>
        <w:t>节能环保支出增加、城乡社区支出增加等</w:t>
      </w:r>
      <w:r>
        <w:rPr>
          <w:rFonts w:hint="eastAsia" w:ascii="仿宋_GB2312" w:hAnsi="Times New Roman" w:eastAsia="仿宋_GB2312" w:cs="DengXian-Regular"/>
          <w:sz w:val="32"/>
          <w:szCs w:val="32"/>
        </w:rPr>
        <w:t>；本年支出2661.67万元，比上年增加1049.13万元，增长65.06%，主要是</w:t>
      </w:r>
      <w:r>
        <w:rPr>
          <w:rFonts w:hint="eastAsia" w:ascii="仿宋" w:hAnsi="仿宋" w:eastAsia="仿宋"/>
          <w:sz w:val="32"/>
          <w:szCs w:val="32"/>
        </w:rPr>
        <w:t>节能环保支出增加、城乡社区支出增加等</w:t>
      </w:r>
      <w:r>
        <w:rPr>
          <w:rFonts w:hint="eastAsia" w:ascii="仿宋_GB2312" w:hAnsi="Times New Roman" w:eastAsia="仿宋_GB2312" w:cs="DengXian-Regular"/>
          <w:sz w:val="32"/>
          <w:szCs w:val="32"/>
        </w:rPr>
        <w:t>。</w:t>
      </w:r>
    </w:p>
    <w:p>
      <w:pPr>
        <w:numPr>
          <w:ilvl w:val="0"/>
          <w:numId w:val="1"/>
        </w:numPr>
        <w:adjustRightInd w:val="0"/>
        <w:snapToGrid w:val="0"/>
        <w:spacing w:line="54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政府性基金预算财政拨款本年收入306.98万元，比上年减少154.02万元，降低33.41%，主要原因是其他支出减少；本年支出306.98万元，比上年减少154.02万元，降低33.41%，主要是其他支出减少。</w:t>
      </w:r>
    </w:p>
    <w:p>
      <w:pPr>
        <w:adjustRightInd w:val="0"/>
        <w:snapToGrid w:val="0"/>
        <w:spacing w:line="540" w:lineRule="exact"/>
        <w:rPr>
          <w:rFonts w:ascii="仿宋_GB2312" w:hAnsi="Times New Roman" w:eastAsia="仿宋_GB2312" w:cs="DengXian-Regular"/>
          <w:sz w:val="32"/>
          <w:szCs w:val="32"/>
        </w:rPr>
      </w:pPr>
    </w:p>
    <w:p>
      <w:pPr>
        <w:adjustRightInd w:val="0"/>
        <w:snapToGrid w:val="0"/>
        <w:spacing w:line="500" w:lineRule="exact"/>
        <w:ind w:left="640" w:leftChars="305" w:firstLine="2240" w:firstLineChars="700"/>
        <w:rPr>
          <w:rFonts w:eastAsia="仿宋_GB2312"/>
          <w:sz w:val="32"/>
          <w:szCs w:val="32"/>
        </w:rPr>
      </w:pPr>
      <w:r>
        <w:rPr>
          <w:rFonts w:hint="eastAsia" w:eastAsia="仿宋_GB2312"/>
          <w:sz w:val="32"/>
          <w:szCs w:val="32"/>
        </w:rPr>
        <w:t>财政拨款收支情况</w:t>
      </w:r>
    </w:p>
    <w:p>
      <w:pPr>
        <w:snapToGrid w:val="0"/>
        <w:spacing w:line="2400" w:lineRule="auto"/>
        <w:ind w:firstLine="640" w:firstLineChars="200"/>
        <w:rPr>
          <w:rFonts w:ascii="楷体_GB2312" w:hAnsi="Times New Roman" w:eastAsia="楷体_GB2312" w:cs="DengXian-Bold"/>
          <w:b/>
          <w:bCs/>
          <w:sz w:val="32"/>
          <w:szCs w:val="32"/>
        </w:rPr>
      </w:pPr>
      <w:r>
        <w:rPr>
          <w:rFonts w:ascii="仿宋_GB2312" w:eastAsia="仿宋_GB2312" w:cs="宋体"/>
          <w:sz w:val="32"/>
          <w:szCs w:val="32"/>
        </w:rPr>
        <w:drawing>
          <wp:inline distT="0" distB="0" distL="0" distR="0">
            <wp:extent cx="4686300" cy="2247900"/>
            <wp:effectExtent l="0" t="0" r="0" b="0"/>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napToGrid w:val="0"/>
        <w:spacing w:line="54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4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本部门2019年度财政拨款本年收入2968.65万元，完成年初预算的188.77%,比年初预算增加1396.04万元，决算数大于预算数主要原因是</w:t>
      </w:r>
      <w:r>
        <w:rPr>
          <w:rFonts w:hint="eastAsia" w:ascii="仿宋" w:hAnsi="仿宋" w:eastAsia="仿宋"/>
          <w:sz w:val="32"/>
          <w:szCs w:val="32"/>
        </w:rPr>
        <w:t>环保支出增加、农村环境整治支出增加、城乡社区支出增加</w:t>
      </w:r>
      <w:r>
        <w:rPr>
          <w:rFonts w:hint="eastAsia" w:ascii="仿宋_GB2312" w:hAnsi="Times New Roman" w:eastAsia="仿宋_GB2312" w:cs="DengXian-Regular"/>
          <w:sz w:val="32"/>
          <w:szCs w:val="32"/>
        </w:rPr>
        <w:t>；本年支出2968.65万元，完成年初预算的188.77%,比年初预算增加1396.04万元，决算数大于预算数主要原因是主要是</w:t>
      </w:r>
      <w:r>
        <w:rPr>
          <w:rFonts w:hint="eastAsia" w:ascii="仿宋" w:hAnsi="仿宋" w:eastAsia="仿宋"/>
          <w:sz w:val="32"/>
          <w:szCs w:val="32"/>
        </w:rPr>
        <w:t>环保支出增加、农村环境整治支出增加、城乡社区支出增加</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4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一般公共预算财政拨款本年收入完成年初预算180.75%，比年初预算增加1189.06万元，主要是</w:t>
      </w:r>
      <w:r>
        <w:rPr>
          <w:rFonts w:hint="eastAsia" w:ascii="仿宋" w:hAnsi="仿宋" w:eastAsia="仿宋"/>
          <w:sz w:val="32"/>
          <w:szCs w:val="32"/>
        </w:rPr>
        <w:t>环保支出增加、农村环境整治支出增加</w:t>
      </w:r>
      <w:r>
        <w:rPr>
          <w:rFonts w:hint="eastAsia" w:ascii="仿宋_GB2312" w:hAnsi="Times New Roman" w:eastAsia="仿宋_GB2312" w:cs="DengXian-Regular"/>
          <w:sz w:val="32"/>
          <w:szCs w:val="32"/>
        </w:rPr>
        <w:t>；支出完成年初预算180.75%，比年初预算增加1189.06万元，主要是</w:t>
      </w:r>
      <w:r>
        <w:rPr>
          <w:rFonts w:hint="eastAsia" w:ascii="仿宋" w:hAnsi="仿宋" w:eastAsia="仿宋"/>
          <w:sz w:val="32"/>
          <w:szCs w:val="32"/>
        </w:rPr>
        <w:t>环保支出增加、农村环境整治支出增加</w:t>
      </w:r>
      <w:r>
        <w:rPr>
          <w:rFonts w:hint="eastAsia" w:ascii="仿宋_GB2312" w:hAnsi="Times New Roman" w:eastAsia="仿宋_GB2312" w:cs="DengXian-Regular"/>
          <w:sz w:val="32"/>
          <w:szCs w:val="32"/>
        </w:rPr>
        <w:t>。</w:t>
      </w:r>
    </w:p>
    <w:p>
      <w:pPr>
        <w:numPr>
          <w:ilvl w:val="0"/>
          <w:numId w:val="2"/>
        </w:numPr>
        <w:adjustRightInd w:val="0"/>
        <w:snapToGrid w:val="0"/>
        <w:spacing w:line="54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政府性基金预算财政拨款本年收入完成年初预算306.98%，比年初预算增加206.98万元，主要是其他支出增加；支出完成年初预算306.98%，比年初预算增加206.98万元，主要是其他支出增加。</w:t>
      </w:r>
    </w:p>
    <w:p>
      <w:pPr>
        <w:adjustRightInd w:val="0"/>
        <w:snapToGrid w:val="0"/>
        <w:spacing w:line="540" w:lineRule="exact"/>
        <w:ind w:left="640" w:leftChars="305" w:firstLine="1920" w:firstLineChars="600"/>
        <w:rPr>
          <w:rFonts w:ascii="仿宋_GB2312" w:hAnsi="Times New Roman" w:eastAsia="仿宋_GB2312" w:cs="DengXian-Regular"/>
          <w:sz w:val="32"/>
          <w:szCs w:val="32"/>
        </w:rPr>
      </w:pPr>
      <w:r>
        <w:rPr>
          <w:rFonts w:hint="eastAsia" w:eastAsia="仿宋_GB2312"/>
          <w:sz w:val="32"/>
          <w:szCs w:val="32"/>
        </w:rPr>
        <w:t>财政拨款收支预决算对比情况</w:t>
      </w:r>
    </w:p>
    <w:p>
      <w:pPr>
        <w:adjustRightInd w:val="0"/>
        <w:snapToGrid w:val="0"/>
        <w:spacing w:line="2400" w:lineRule="auto"/>
        <w:ind w:firstLine="640" w:firstLineChars="200"/>
        <w:rPr>
          <w:rFonts w:ascii="仿宋_GB2312" w:hAnsi="Times New Roman" w:eastAsia="仿宋_GB2312" w:cs="DengXian-Regular"/>
          <w:sz w:val="32"/>
          <w:szCs w:val="32"/>
          <w:highlight w:val="yellow"/>
        </w:rPr>
      </w:pPr>
      <w:r>
        <w:rPr>
          <w:rFonts w:hint="eastAsia" w:ascii="仿宋_GB2312" w:eastAsia="仿宋_GB2312" w:cs="宋体"/>
          <w:sz w:val="32"/>
          <w:szCs w:val="32"/>
        </w:rPr>
        <w:drawing>
          <wp:inline distT="0" distB="0" distL="0" distR="0">
            <wp:extent cx="4667250" cy="2162175"/>
            <wp:effectExtent l="0" t="0" r="0" b="0"/>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 w:hAnsi="仿宋" w:eastAsia="仿宋"/>
          <w:sz w:val="32"/>
          <w:szCs w:val="32"/>
        </w:rPr>
      </w:pPr>
      <w:r>
        <w:rPr>
          <w:rFonts w:hint="eastAsia" w:ascii="仿宋_GB2312" w:hAnsi="Times New Roman" w:eastAsia="仿宋_GB2312" w:cs="DengXian-Regular"/>
          <w:sz w:val="32"/>
          <w:szCs w:val="32"/>
        </w:rPr>
        <w:t>2019 年度财政拨款支出2968.65万元，主要用于以下方面</w:t>
      </w:r>
      <w:r>
        <w:rPr>
          <w:rFonts w:hint="eastAsia" w:ascii="仿宋" w:hAnsi="仿宋" w:eastAsia="仿宋"/>
          <w:sz w:val="32"/>
          <w:szCs w:val="32"/>
        </w:rPr>
        <w:t>一般公共服务支出1312.45万元，占44.21%；文化旅游体育与传媒支出104.47万元，占3.52%;社会保障和就业支出92.1万元，占3.1%；卫生健康支出22.8万元，占0.77%;节能环保支出415.89万元，占14.01%;城乡社区支出528.88万元，占17.82%;农林水支出457.64万元，占15.42%;灾害防治及应急管理支出10万元，占0.34%;其他支出22.55万元，占0.76%。</w:t>
      </w:r>
    </w:p>
    <w:p>
      <w:pPr>
        <w:adjustRightInd w:val="0"/>
        <w:snapToGrid w:val="0"/>
        <w:spacing w:line="580" w:lineRule="exact"/>
        <w:ind w:firstLine="640" w:firstLineChars="200"/>
        <w:rPr>
          <w:rFonts w:ascii="仿宋" w:hAnsi="仿宋" w:eastAsia="仿宋"/>
          <w:sz w:val="32"/>
          <w:szCs w:val="32"/>
        </w:rPr>
      </w:pPr>
    </w:p>
    <w:p>
      <w:pPr>
        <w:adjustRightInd w:val="0"/>
        <w:snapToGrid w:val="0"/>
        <w:spacing w:line="580" w:lineRule="exact"/>
        <w:ind w:firstLine="1440" w:firstLineChars="450"/>
        <w:rPr>
          <w:rFonts w:eastAsia="仿宋_GB2312"/>
          <w:sz w:val="32"/>
          <w:szCs w:val="32"/>
        </w:rPr>
      </w:pPr>
      <w:r>
        <w:rPr>
          <w:rFonts w:hint="eastAsia" w:eastAsia="仿宋_GB2312"/>
          <w:sz w:val="32"/>
          <w:szCs w:val="32"/>
        </w:rPr>
        <w:t>财政拨款支出决算结构（按功能分类）</w:t>
      </w:r>
    </w:p>
    <w:p>
      <w:pPr>
        <w:adjustRightInd w:val="0"/>
        <w:snapToGrid w:val="0"/>
        <w:spacing w:line="2400" w:lineRule="auto"/>
        <w:rPr>
          <w:rFonts w:ascii="楷体_GB2312" w:hAnsi="Times New Roman" w:eastAsia="楷体_GB2312" w:cs="DengXian-Bold"/>
          <w:b/>
          <w:bCs/>
          <w:sz w:val="32"/>
          <w:szCs w:val="32"/>
        </w:rPr>
      </w:pPr>
      <w:r>
        <w:rPr>
          <w:rFonts w:ascii="楷体_GB2312" w:eastAsia="楷体_GB2312" w:cs="宋体"/>
          <w:b/>
          <w:bCs/>
          <w:sz w:val="32"/>
          <w:szCs w:val="32"/>
        </w:rPr>
        <w:drawing>
          <wp:inline distT="0" distB="0" distL="0" distR="0">
            <wp:extent cx="5361940" cy="2952115"/>
            <wp:effectExtent l="0" t="0" r="0" b="0"/>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hAnsi="Times New Roman" w:eastAsia="宋体" w:cs="Times New Roman"/>
          <w:szCs w:val="24"/>
        </w:rPr>
        <w:pict>
          <v:group id="_x0000_s1030" o:spid="_x0000_s1030" o:spt="203" style="position:absolute;left:0pt;margin-left:77.25pt;margin-top:16.6pt;height:173.95pt;width:281.6pt;z-index:-251628544;mso-width-relative:page;mso-height-relative:page;" coordorigin="69,1802" coordsize="50,34652"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o:lock v:ext="edit"/>
            <v:shape id="图片 1" o:spid="_x0000_s1032" o:spt="75" type="#_x0000_t75" style="position:absolute;left:71;top:1802;height:30;width:4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26" cropleft="2131f" croptop="1490f" cropright="1218f" cropbottom="5217f" o:title=""/>
              <o:lock v:ext="edit" aspectratio="t"/>
            </v:shape>
            <v:shape id="文本框 32" o:spid="_x0000_s1031" o:spt="202" type="#_x0000_t202" style="position:absolute;left:69;top:1831;height:6;width:50;"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年度财政拨款基本支出1029.78万元，其中：人员经费 987.08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42.7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1.68万元，完成预算的57.93%,较预算减少1.22万元，降低42.07%，主要是公务用车年久失修，不能正常运行；较2018年度减少1.12万元，降低40%，主要是公务用车年久失修，不能正常运行。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本部门2019</w:t>
      </w:r>
      <w:bookmarkStart w:id="0" w:name="_GoBack"/>
      <w:bookmarkEnd w:id="0"/>
      <w:r>
        <w:rPr>
          <w:rFonts w:hint="eastAsia" w:ascii="仿宋_GB2312" w:hAnsi="Times New Roman" w:eastAsia="仿宋_GB2312" w:cs="DengXian-Regular"/>
          <w:sz w:val="32"/>
          <w:szCs w:val="32"/>
        </w:rPr>
        <w:t>年度因公出国（境）团组0个、共0人；参加其他单位组织的因公出国（境）团组0个、共0人；无本单位组织的出国（境）团组。因公出国（境）费支出较预算增加0万元，增长0%,</w:t>
      </w:r>
      <w:r>
        <w:rPr>
          <w:rFonts w:hint="eastAsia" w:ascii="仿宋_GB2312" w:eastAsia="仿宋_GB2312" w:cs="DengXian-Regular"/>
          <w:color w:val="000000"/>
          <w:sz w:val="32"/>
          <w:szCs w:val="32"/>
        </w:rPr>
        <w:t>与年初预算持平</w:t>
      </w:r>
      <w:r>
        <w:rPr>
          <w:rFonts w:hint="eastAsia" w:ascii="仿宋_GB2312" w:hAnsi="Times New Roman" w:eastAsia="仿宋_GB2312" w:cs="DengXian-Regular"/>
          <w:sz w:val="32"/>
          <w:szCs w:val="32"/>
        </w:rPr>
        <w:t>；较上年增加0万元，增长0%,</w:t>
      </w:r>
      <w:r>
        <w:rPr>
          <w:rFonts w:hint="eastAsia" w:ascii="仿宋_GB2312" w:eastAsia="仿宋_GB2312" w:cs="DengXian-Regular"/>
          <w:color w:val="000000"/>
          <w:sz w:val="32"/>
          <w:szCs w:val="32"/>
        </w:rPr>
        <w:t>与2018年度决算支出持平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（二）公务用车购置及运行维护费支出1.68万元。</w:t>
      </w:r>
      <w:r>
        <w:rPr>
          <w:rFonts w:hint="eastAsia" w:ascii="仿宋_GB2312" w:hAnsi="Times New Roman" w:eastAsia="仿宋_GB2312" w:cs="DengXian-Regular"/>
          <w:sz w:val="32"/>
          <w:szCs w:val="32"/>
        </w:rPr>
        <w:t>本部门2019年度公务用车购置及运行维护费较预算减少1.22万元，降低42.07%,主要是公务用车年久失修，不能正常运行；较上年减少1.12万元，降低40%,主要是公务用车年久失修，不能正常运行。</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本部门2019年度公务用车购置量0辆，发生“公务用车购置”经费支出0万元。公务用车购置费支出较预算增加0万元，增长0%,与年初预算持平；较上年增加0万元，增长0%,</w:t>
      </w:r>
      <w:r>
        <w:rPr>
          <w:rFonts w:hint="eastAsia" w:ascii="仿宋_GB2312" w:eastAsia="仿宋_GB2312" w:cs="DengXian-Regular"/>
          <w:color w:val="000000"/>
          <w:sz w:val="32"/>
          <w:szCs w:val="32"/>
        </w:rPr>
        <w:t>与2018年度决算支出持平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本部门2019年度单位公务用车保有量2辆。公车运行维护费支出较预算减少1.22万元，降低42.07%,主要是公务用车年久失修，不能正常运行；较上年减少1.12万元，降低40%，主要是公务用车年久失修，不能正常运行。</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本部门2019年度公务接待共0批次、0人次。公务接待费支出较预算减少0万元，降低0%,于年初与；较上年度减少0万元，降低0%,</w:t>
      </w:r>
      <w:r>
        <w:rPr>
          <w:rFonts w:hint="eastAsia" w:ascii="仿宋_GB2312" w:eastAsia="仿宋_GB2312" w:cs="DengXian-Regular"/>
          <w:color w:val="000000"/>
          <w:sz w:val="32"/>
          <w:szCs w:val="32"/>
        </w:rPr>
        <w:t>与2018年度决算支出持平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11个，共涉及资金670.25万元，占一般公共预算财政拨款项目支出总额的41.07%。从评价情况来看，个别项目存在评价资料不足、</w:t>
      </w:r>
      <w:r>
        <w:rPr>
          <w:rFonts w:hint="eastAsia" w:ascii="仿宋_GB2312" w:hAnsi="宋体" w:eastAsia="仿宋_GB2312"/>
          <w:sz w:val="32"/>
          <w:szCs w:val="32"/>
        </w:rPr>
        <w:t>绩效目标设定的不全面、不合理、项目绩效标准相对模糊，难以或无法进行准确评价等问题，但</w:t>
      </w:r>
      <w:r>
        <w:rPr>
          <w:rFonts w:hint="eastAsia" w:ascii="仿宋_GB2312" w:hAnsi="仿宋_GB2312" w:eastAsia="仿宋_GB2312" w:cs="仿宋_GB2312"/>
          <w:sz w:val="32"/>
          <w:szCs w:val="32"/>
        </w:rPr>
        <w:t>大部分项目基本达到预期设定的绩效目标及指标值，整体绩效评价结果较为良好。</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本部门在今年部门决算公开中反映农村环境整治经费项目等3个项目绩效自评结果。</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监经费项目绩效自评综述：根据年初设定的绩效目标，安监经费项目绩效自评得分为100分（绩效自评表附后）。全年预算数为10万元，执行数为10万元，完成预算的100%。项目绩效目标完成情况：处理镇区出现的安全生产、食品药品等安全隐患，提高群众及企业安全生产意识，保证镇区内企业安全生产有效提升。发现的主要问题及原因：一是存在绩效指标设定不全面、不合理现象；二是部分绩效指标完成资料、依据不充分。下一步改进措施：一是完善项目相关评价资料及依据；二是新预算年度对类似项目预算绩效指标设定进行严格审核。</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坑塘治理资金项目绩效自评综述：根据年初设定的绩效目标，坑塘治理资金项目绩效自评得分为100分（绩效自评表附后）。全年预算数为60万元，执行数为60万元，完成预算的100%。项目绩效目标完成情况：坑塘垃圾及时有效处理，坑塘环境明显改善，建立坑塘治理长效管理机制，实现群众满意的效果目标。发现的主要问题及原因：一是存在绩效指标设定不全面、不合理现象；二是部分绩效指标完成资料、依据不充分。下一步改进措施：一是完善项目相关评价资料及依据；二是新预算年度对类似项目预算绩效指标设定进行严格审核。</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环境整治经费项目绩效自评综述：根据年初设定的绩效目标，农村环境整治经费项目绩效自评得分为100分（绩效自评表附后）。全年预算数为62万元，执行数为62万元，完成预算的100%。项目绩效目标完成情况：保持镇区环境卫生、整洁，提升群众提升群众自觉爱护环境的意识、提升群众生活质量。发现的主要问题及原因：一是存在绩效指标设定不全面、不合理现象；二是部分绩效指标完成资料、依据不充分。下一步改进措施：一是完善项目相关评价资料及依据；二是新预算年度对类似项目预算绩效指标设定进行严格审核。</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 财政评价项目绩效评价结果</w:t>
      </w:r>
    </w:p>
    <w:p>
      <w:pPr>
        <w:widowControl w:val="0"/>
        <w:numPr>
          <w:ilvl w:val="0"/>
          <w:numId w:val="0"/>
        </w:numPr>
        <w:adjustRightInd w:val="0"/>
        <w:snapToGrid w:val="0"/>
        <w:spacing w:line="58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本部门2019年度机关运行经费支出42.7万元，</w:t>
      </w:r>
      <w:r>
        <w:rPr>
          <w:rFonts w:hint="eastAsia" w:ascii="仿宋" w:eastAsia="仿宋"/>
          <w:sz w:val="32"/>
          <w:szCs w:val="32"/>
        </w:rPr>
        <w:t>比年初预算数减少</w:t>
      </w:r>
      <w:r>
        <w:rPr>
          <w:rFonts w:hint="eastAsia" w:ascii="仿宋" w:eastAsia="仿宋"/>
          <w:sz w:val="32"/>
          <w:szCs w:val="32"/>
          <w:lang w:val="en-US" w:eastAsia="zh-CN"/>
        </w:rPr>
        <w:t>60.1</w:t>
      </w:r>
      <w:r>
        <w:rPr>
          <w:rFonts w:hint="eastAsia" w:ascii="仿宋" w:eastAsia="仿宋"/>
          <w:sz w:val="32"/>
          <w:szCs w:val="32"/>
        </w:rPr>
        <w:t>万元，降低</w:t>
      </w:r>
      <w:r>
        <w:rPr>
          <w:rFonts w:hint="eastAsia" w:ascii="仿宋" w:eastAsia="仿宋"/>
          <w:sz w:val="32"/>
          <w:szCs w:val="32"/>
          <w:lang w:val="en-US" w:eastAsia="zh-CN"/>
        </w:rPr>
        <w:t>58.46</w:t>
      </w:r>
      <w:r>
        <w:rPr>
          <w:rFonts w:hint="eastAsia" w:ascii="仿宋" w:eastAsia="仿宋"/>
          <w:sz w:val="32"/>
          <w:szCs w:val="32"/>
        </w:rPr>
        <w:t xml:space="preserve"> </w:t>
      </w:r>
      <w:r>
        <w:rPr>
          <w:rFonts w:ascii="仿宋" w:eastAsia="仿宋"/>
          <w:sz w:val="32"/>
          <w:szCs w:val="32"/>
        </w:rPr>
        <w:t>%</w:t>
      </w:r>
      <w:r>
        <w:rPr>
          <w:rFonts w:hint="eastAsia" w:ascii="仿宋" w:eastAsia="仿宋"/>
          <w:sz w:val="32"/>
          <w:szCs w:val="32"/>
        </w:rPr>
        <w:t>。主要</w:t>
      </w:r>
      <w:r>
        <w:rPr>
          <w:rFonts w:hint="eastAsia" w:ascii="仿宋" w:eastAsia="仿宋"/>
          <w:sz w:val="32"/>
          <w:szCs w:val="32"/>
          <w:lang w:eastAsia="zh-CN"/>
        </w:rPr>
        <w:t>原因</w:t>
      </w:r>
      <w:r>
        <w:rPr>
          <w:rFonts w:hint="eastAsia" w:ascii="仿宋" w:eastAsia="仿宋"/>
          <w:sz w:val="32"/>
          <w:szCs w:val="32"/>
        </w:rPr>
        <w:t>是我单位厉行节约，严格控制办公经费支出。</w:t>
      </w:r>
      <w:r>
        <w:rPr>
          <w:rFonts w:hint="eastAsia" w:ascii="仿宋_GB2312" w:hAnsi="Times New Roman" w:eastAsia="仿宋_GB2312" w:cs="DengXian-Regular"/>
          <w:sz w:val="32"/>
          <w:szCs w:val="32"/>
        </w:rPr>
        <w:t>比2018年度减少22.26万元，降低34.27%。主要原因是</w:t>
      </w:r>
      <w:r>
        <w:rPr>
          <w:rFonts w:hint="eastAsia" w:ascii="仿宋" w:hAnsi="仿宋" w:eastAsia="仿宋"/>
          <w:sz w:val="32"/>
          <w:szCs w:val="32"/>
        </w:rPr>
        <w:t>我单位厉行节约，严格控制办公经费支出。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本部门2019年度政府采购支出总额246万元，从采购类型来看，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246</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246</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246</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2辆，比上年无增减变化。其中，副部（省）级及以上领导用车0辆，主要领导干部用车0辆，机要通信用车2辆，应急保障用车0辆，执法执勤用车0辆，特种专业技术用车0辆，离退休干部用车0辆，其他用车0辆，</w:t>
      </w:r>
      <w:r>
        <w:rPr>
          <w:rFonts w:hint="eastAsia" w:ascii="仿宋_GB2312" w:eastAsia="仿宋_GB2312" w:cs="DengXian-Regular"/>
          <w:sz w:val="32"/>
          <w:szCs w:val="32"/>
        </w:rPr>
        <w:t>无其他用车</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万元以上通用设备0台（套），比上年无增减变化，单位价值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万元以上专用设备0台（套），比上年无增减变化。</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1. </w:t>
      </w:r>
      <w:r>
        <w:rPr>
          <w:rFonts w:hint="eastAsia" w:ascii="仿宋_GB2312" w:eastAsia="仿宋_GB2312" w:cs="DengXian-Regular"/>
          <w:sz w:val="32"/>
          <w:szCs w:val="32"/>
        </w:rPr>
        <w:t>本部门2019年度国有资本经营预算财政拨款无收支及结转结余情况，故国有资本经营预算财政拨款支出决算表以空表列示。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tbl>
      <w:tblPr>
        <w:tblStyle w:val="8"/>
        <w:tblW w:w="8715" w:type="dxa"/>
        <w:tblInd w:w="15" w:type="dxa"/>
        <w:tblLayout w:type="fixed"/>
        <w:tblCellMar>
          <w:top w:w="0" w:type="dxa"/>
          <w:left w:w="0" w:type="dxa"/>
          <w:bottom w:w="0" w:type="dxa"/>
          <w:right w:w="0" w:type="dxa"/>
        </w:tblCellMar>
      </w:tblPr>
      <w:tblGrid>
        <w:gridCol w:w="575"/>
        <w:gridCol w:w="616"/>
        <w:gridCol w:w="63"/>
        <w:gridCol w:w="1114"/>
        <w:gridCol w:w="698"/>
        <w:gridCol w:w="1114"/>
        <w:gridCol w:w="124"/>
        <w:gridCol w:w="1005"/>
        <w:gridCol w:w="911"/>
        <w:gridCol w:w="193"/>
        <w:gridCol w:w="330"/>
        <w:gridCol w:w="427"/>
        <w:gridCol w:w="59"/>
        <w:gridCol w:w="822"/>
        <w:gridCol w:w="638"/>
        <w:gridCol w:w="26"/>
      </w:tblGrid>
      <w:tr>
        <w:tblPrEx>
          <w:tblCellMar>
            <w:top w:w="0" w:type="dxa"/>
            <w:left w:w="0" w:type="dxa"/>
            <w:bottom w:w="0" w:type="dxa"/>
            <w:right w:w="0" w:type="dxa"/>
          </w:tblCellMar>
        </w:tblPrEx>
        <w:trPr>
          <w:gridAfter w:val="1"/>
          <w:wAfter w:w="26" w:type="dxa"/>
          <w:trHeight w:val="383" w:hRule="atLeast"/>
        </w:trPr>
        <w:tc>
          <w:tcPr>
            <w:tcW w:w="8689" w:type="dxa"/>
            <w:gridSpan w:val="15"/>
            <w:tcMar>
              <w:top w:w="15" w:type="dxa"/>
              <w:left w:w="15" w:type="dxa"/>
              <w:bottom w:w="0"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trHeight w:val="352" w:hRule="atLeast"/>
        </w:trPr>
        <w:tc>
          <w:tcPr>
            <w:tcW w:w="8715" w:type="dxa"/>
            <w:gridSpan w:val="16"/>
          </w:tcPr>
          <w:p>
            <w:pPr>
              <w:widowControl/>
              <w:spacing w:line="240" w:lineRule="exact"/>
              <w:jc w:val="center"/>
              <w:rPr>
                <w:rFonts w:ascii="仿宋" w:eastAsia="仿宋"/>
                <w:kern w:val="0"/>
                <w:sz w:val="22"/>
              </w:rPr>
            </w:pPr>
            <w:r>
              <w:rPr>
                <w:rFonts w:hint="eastAsia" w:ascii="仿宋" w:eastAsia="仿宋"/>
                <w:kern w:val="0"/>
                <w:sz w:val="22"/>
              </w:rPr>
              <w:t>（2019年度）</w:t>
            </w:r>
          </w:p>
        </w:tc>
      </w:tr>
      <w:tr>
        <w:tblPrEx>
          <w:tblCellMar>
            <w:top w:w="0" w:type="dxa"/>
            <w:left w:w="0" w:type="dxa"/>
            <w:bottom w:w="0" w:type="dxa"/>
            <w:right w:w="0" w:type="dxa"/>
          </w:tblCellMar>
        </w:tblPrEx>
        <w:trPr>
          <w:trHeight w:val="369" w:hRule="atLeast"/>
        </w:trPr>
        <w:tc>
          <w:tcPr>
            <w:tcW w:w="125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46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安监经费</w:t>
            </w:r>
          </w:p>
        </w:tc>
      </w:tr>
      <w:tr>
        <w:tblPrEx>
          <w:tblCellMar>
            <w:top w:w="0" w:type="dxa"/>
            <w:left w:w="0" w:type="dxa"/>
            <w:bottom w:w="0" w:type="dxa"/>
            <w:right w:w="0" w:type="dxa"/>
          </w:tblCellMar>
        </w:tblPrEx>
        <w:trPr>
          <w:trHeight w:val="340" w:hRule="atLeast"/>
        </w:trPr>
        <w:tc>
          <w:tcPr>
            <w:tcW w:w="125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05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旺村镇人民政府</w:t>
            </w: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旺村镇人民政府</w:t>
            </w:r>
          </w:p>
        </w:tc>
      </w:tr>
      <w:tr>
        <w:tblPrEx>
          <w:tblCellMar>
            <w:top w:w="0" w:type="dxa"/>
            <w:left w:w="0" w:type="dxa"/>
            <w:bottom w:w="0" w:type="dxa"/>
            <w:right w:w="0" w:type="dxa"/>
          </w:tblCellMar>
        </w:tblPrEx>
        <w:trPr>
          <w:trHeight w:val="636" w:hRule="atLeast"/>
        </w:trPr>
        <w:tc>
          <w:tcPr>
            <w:tcW w:w="125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trHeight w:val="393"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trHeight w:val="340"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5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06"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trHeight w:val="20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4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eastAsia="仿宋_GB2312"/>
                <w:color w:val="000000"/>
                <w:kern w:val="0"/>
                <w:szCs w:val="21"/>
              </w:rPr>
              <w:t>对辖区内企业进行安全生产巡查，进行食品药品安全巡查、宣传安全生产及日常生活中的应注意的安全问题，及时处理发生的安全事故，保证辖区内安全生产及日常生活的安全。</w:t>
            </w:r>
          </w:p>
        </w:tc>
        <w:tc>
          <w:tcPr>
            <w:tcW w:w="3406" w:type="dxa"/>
            <w:gridSpan w:val="8"/>
            <w:tcBorders>
              <w:top w:val="single" w:color="auto" w:sz="4" w:space="0"/>
              <w:left w:val="nil"/>
              <w:bottom w:val="single" w:color="auto" w:sz="4" w:space="0"/>
              <w:right w:val="single" w:color="auto" w:sz="4" w:space="0"/>
            </w:tcBorders>
            <w:vAlign w:val="center"/>
          </w:tcPr>
          <w:p>
            <w:pPr>
              <w:pStyle w:val="3"/>
              <w:widowControl/>
              <w:shd w:val="clear" w:color="auto" w:fill="FFFFFF"/>
              <w:spacing w:line="240" w:lineRule="exact"/>
              <w:rPr>
                <w:rFonts w:hint="eastAsia" w:eastAsia="仿宋_GB2312" w:cs="Times New Roman"/>
                <w:color w:val="000000"/>
                <w:sz w:val="22"/>
                <w:szCs w:val="22"/>
              </w:rPr>
            </w:pPr>
            <w:r>
              <w:rPr>
                <w:rFonts w:hint="eastAsia" w:eastAsia="仿宋_GB2312" w:asciiTheme="minorHAnsi" w:hAnsiTheme="minorHAnsi" w:cstheme="minorBidi"/>
                <w:b w:val="0"/>
                <w:bCs w:val="0"/>
                <w:color w:val="000000"/>
                <w:kern w:val="0"/>
                <w:sz w:val="21"/>
                <w:szCs w:val="21"/>
              </w:rPr>
              <w:t>通过开展本项目主要解决镇区内企业存在的安全隐患及食品药品等安全问题，确保有效降低安全生产事故及日常食品药品安全事故发生率，创造一个安全的生产生活环境。</w:t>
            </w:r>
          </w:p>
        </w:tc>
      </w:tr>
      <w:tr>
        <w:tblPrEx>
          <w:tblCellMar>
            <w:top w:w="0" w:type="dxa"/>
            <w:left w:w="0" w:type="dxa"/>
            <w:bottom w:w="0" w:type="dxa"/>
            <w:right w:w="0" w:type="dxa"/>
          </w:tblCellMar>
        </w:tblPrEx>
        <w:trPr>
          <w:trHeight w:val="667" w:hRule="atLeast"/>
        </w:trPr>
        <w:tc>
          <w:tcPr>
            <w:tcW w:w="5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1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7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3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巡查次数</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大于48次</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大于48次</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安全生产标准达标率</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事故处理及时率</w:t>
            </w:r>
          </w:p>
        </w:tc>
        <w:tc>
          <w:tcPr>
            <w:tcW w:w="10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成本节约量</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10万元</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10万元</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0"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企业安全生产生活意识提升情况</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显著提升</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显著提升</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63"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trHeight w:val="581"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隐患整改率</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547"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安监制度</w:t>
            </w:r>
          </w:p>
        </w:tc>
        <w:tc>
          <w:tcPr>
            <w:tcW w:w="1005" w:type="dxa"/>
            <w:tcBorders>
              <w:top w:val="single" w:color="auto" w:sz="4" w:space="0"/>
              <w:left w:val="nil"/>
              <w:bottom w:val="single" w:color="auto" w:sz="4" w:space="0"/>
              <w:right w:val="single" w:color="auto" w:sz="4" w:space="0"/>
            </w:tcBorders>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7"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群众满意度</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54" w:hRule="atLeast"/>
        </w:trPr>
        <w:tc>
          <w:tcPr>
            <w:tcW w:w="6220"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1"/>
          <w:wAfter w:w="26" w:type="dxa"/>
          <w:trHeight w:val="383" w:hRule="atLeast"/>
        </w:trPr>
        <w:tc>
          <w:tcPr>
            <w:tcW w:w="8689" w:type="dxa"/>
            <w:gridSpan w:val="15"/>
            <w:tcMar>
              <w:top w:w="15" w:type="dxa"/>
              <w:left w:w="15" w:type="dxa"/>
              <w:bottom w:w="0" w:type="dxa"/>
              <w:right w:w="15" w:type="dxa"/>
            </w:tcMar>
            <w:vAlign w:val="center"/>
          </w:tcPr>
          <w:p>
            <w:pPr>
              <w:widowControl/>
              <w:jc w:val="center"/>
              <w:textAlignment w:val="center"/>
              <w:rPr>
                <w:rFonts w:ascii="仿宋" w:eastAsia="仿宋"/>
                <w:kern w:val="0"/>
                <w:sz w:val="22"/>
              </w:rPr>
            </w:pPr>
          </w:p>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trHeight w:val="352" w:hRule="atLeast"/>
        </w:trPr>
        <w:tc>
          <w:tcPr>
            <w:tcW w:w="8715" w:type="dxa"/>
            <w:gridSpan w:val="16"/>
          </w:tcPr>
          <w:p>
            <w:pPr>
              <w:widowControl/>
              <w:spacing w:line="240" w:lineRule="exact"/>
              <w:jc w:val="center"/>
              <w:rPr>
                <w:rFonts w:ascii="仿宋" w:eastAsia="仿宋"/>
                <w:kern w:val="0"/>
                <w:sz w:val="22"/>
              </w:rPr>
            </w:pPr>
            <w:r>
              <w:rPr>
                <w:rFonts w:hint="eastAsia" w:ascii="仿宋" w:eastAsia="仿宋"/>
                <w:kern w:val="0"/>
                <w:sz w:val="22"/>
              </w:rPr>
              <w:t>（2019年度）</w:t>
            </w:r>
          </w:p>
        </w:tc>
      </w:tr>
      <w:tr>
        <w:tblPrEx>
          <w:tblCellMar>
            <w:top w:w="0" w:type="dxa"/>
            <w:left w:w="0" w:type="dxa"/>
            <w:bottom w:w="0" w:type="dxa"/>
            <w:right w:w="0" w:type="dxa"/>
          </w:tblCellMar>
        </w:tblPrEx>
        <w:trPr>
          <w:trHeight w:val="369" w:hRule="atLeast"/>
        </w:trPr>
        <w:tc>
          <w:tcPr>
            <w:tcW w:w="125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46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坑塘治理资金</w:t>
            </w:r>
          </w:p>
        </w:tc>
      </w:tr>
      <w:tr>
        <w:tblPrEx>
          <w:tblCellMar>
            <w:top w:w="0" w:type="dxa"/>
            <w:left w:w="0" w:type="dxa"/>
            <w:bottom w:w="0" w:type="dxa"/>
            <w:right w:w="0" w:type="dxa"/>
          </w:tblCellMar>
        </w:tblPrEx>
        <w:trPr>
          <w:trHeight w:val="340" w:hRule="atLeast"/>
        </w:trPr>
        <w:tc>
          <w:tcPr>
            <w:tcW w:w="125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05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旺村镇人民政府</w:t>
            </w: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旺村镇人民政府</w:t>
            </w:r>
          </w:p>
        </w:tc>
      </w:tr>
      <w:tr>
        <w:tblPrEx>
          <w:tblCellMar>
            <w:top w:w="0" w:type="dxa"/>
            <w:left w:w="0" w:type="dxa"/>
            <w:bottom w:w="0" w:type="dxa"/>
            <w:right w:w="0" w:type="dxa"/>
          </w:tblCellMar>
        </w:tblPrEx>
        <w:trPr>
          <w:trHeight w:val="636" w:hRule="atLeast"/>
        </w:trPr>
        <w:tc>
          <w:tcPr>
            <w:tcW w:w="125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trHeight w:val="393"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60</w:t>
            </w: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60</w:t>
            </w: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60</w:t>
            </w: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trHeight w:val="340"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5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06"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trHeight w:val="20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4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eastAsia="仿宋_GB2312"/>
                <w:color w:val="000000"/>
                <w:kern w:val="0"/>
                <w:szCs w:val="21"/>
              </w:rPr>
              <w:t>对镇区内坑塘进行治理，宣传坑塘治理政策，保持镇区内坑塘水体清澈</w:t>
            </w:r>
            <w:r>
              <w:rPr>
                <w:rFonts w:hint="eastAsia" w:eastAsia="仿宋_GB2312"/>
                <w:color w:val="000000"/>
                <w:kern w:val="0"/>
                <w:szCs w:val="21"/>
                <w:lang w:eastAsia="zh-CN"/>
              </w:rPr>
              <w:t>，</w:t>
            </w:r>
            <w:r>
              <w:rPr>
                <w:rFonts w:hint="eastAsia" w:eastAsia="仿宋_GB2312"/>
                <w:color w:val="000000"/>
                <w:kern w:val="0"/>
                <w:szCs w:val="21"/>
              </w:rPr>
              <w:t>坑塘周边无生活建筑工业垃圾。</w:t>
            </w:r>
          </w:p>
        </w:tc>
        <w:tc>
          <w:tcPr>
            <w:tcW w:w="3406" w:type="dxa"/>
            <w:gridSpan w:val="8"/>
            <w:tcBorders>
              <w:top w:val="single" w:color="auto" w:sz="4" w:space="0"/>
              <w:left w:val="nil"/>
              <w:bottom w:val="single" w:color="auto" w:sz="4" w:space="0"/>
              <w:right w:val="single" w:color="auto" w:sz="4" w:space="0"/>
            </w:tcBorders>
            <w:vAlign w:val="center"/>
          </w:tcPr>
          <w:p>
            <w:pPr>
              <w:pStyle w:val="3"/>
              <w:widowControl/>
              <w:shd w:val="clear" w:color="auto" w:fill="FFFFFF"/>
              <w:spacing w:line="240" w:lineRule="exact"/>
              <w:rPr>
                <w:rFonts w:hint="eastAsia" w:eastAsia="仿宋_GB2312" w:cs="Times New Roman"/>
                <w:color w:val="000000"/>
                <w:sz w:val="22"/>
                <w:szCs w:val="22"/>
              </w:rPr>
            </w:pPr>
            <w:r>
              <w:rPr>
                <w:rFonts w:hint="eastAsia" w:eastAsia="仿宋_GB2312" w:asciiTheme="minorHAnsi" w:hAnsiTheme="minorHAnsi" w:cstheme="minorBidi"/>
                <w:b w:val="0"/>
                <w:bCs w:val="0"/>
                <w:color w:val="000000"/>
                <w:kern w:val="0"/>
                <w:sz w:val="21"/>
                <w:szCs w:val="21"/>
              </w:rPr>
              <w:t>辖区内坑塘周边垃圾污染问题，做到垃圾及时清理，宣传坑塘治理政策，确保镇区内坑塘水体清澈</w:t>
            </w:r>
            <w:r>
              <w:rPr>
                <w:rFonts w:hint="eastAsia" w:eastAsia="仿宋_GB2312" w:asciiTheme="minorHAnsi" w:hAnsiTheme="minorHAnsi" w:cstheme="minorBidi"/>
                <w:b w:val="0"/>
                <w:bCs w:val="0"/>
                <w:color w:val="000000"/>
                <w:kern w:val="0"/>
                <w:sz w:val="21"/>
                <w:szCs w:val="21"/>
                <w:lang w:eastAsia="zh-CN"/>
              </w:rPr>
              <w:t>，</w:t>
            </w:r>
            <w:r>
              <w:rPr>
                <w:rFonts w:hint="eastAsia" w:eastAsia="仿宋_GB2312" w:asciiTheme="minorHAnsi" w:hAnsiTheme="minorHAnsi" w:cstheme="minorBidi"/>
                <w:b w:val="0"/>
                <w:bCs w:val="0"/>
                <w:color w:val="000000"/>
                <w:kern w:val="0"/>
                <w:sz w:val="21"/>
                <w:szCs w:val="21"/>
              </w:rPr>
              <w:t>坑塘周边无生活建筑工业垃圾</w:t>
            </w:r>
            <w:r>
              <w:rPr>
                <w:rFonts w:hint="eastAsia" w:eastAsia="仿宋_GB2312" w:asciiTheme="minorHAnsi" w:hAnsiTheme="minorHAnsi" w:cstheme="minorBidi"/>
                <w:b w:val="0"/>
                <w:bCs w:val="0"/>
                <w:color w:val="000000"/>
                <w:kern w:val="0"/>
                <w:sz w:val="21"/>
                <w:szCs w:val="21"/>
                <w:lang w:eastAsia="zh-CN"/>
              </w:rPr>
              <w:t>，</w:t>
            </w:r>
            <w:r>
              <w:rPr>
                <w:rFonts w:hint="eastAsia" w:eastAsia="仿宋_GB2312" w:asciiTheme="minorHAnsi" w:hAnsiTheme="minorHAnsi" w:cstheme="minorBidi"/>
                <w:b w:val="0"/>
                <w:bCs w:val="0"/>
                <w:color w:val="000000"/>
                <w:kern w:val="0"/>
                <w:sz w:val="21"/>
                <w:szCs w:val="21"/>
              </w:rPr>
              <w:t>提高群众环境保护意识，创造良好的人居环境。</w:t>
            </w:r>
          </w:p>
        </w:tc>
      </w:tr>
      <w:tr>
        <w:tblPrEx>
          <w:tblCellMar>
            <w:top w:w="0" w:type="dxa"/>
            <w:left w:w="0" w:type="dxa"/>
            <w:bottom w:w="0" w:type="dxa"/>
            <w:right w:w="0" w:type="dxa"/>
          </w:tblCellMar>
        </w:tblPrEx>
        <w:trPr>
          <w:trHeight w:val="667" w:hRule="atLeast"/>
        </w:trPr>
        <w:tc>
          <w:tcPr>
            <w:tcW w:w="5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1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7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3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排查坑塘数量</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大于120个</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大于120个</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水体质量达标率</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坑塘垃圾及时处理率</w:t>
            </w:r>
          </w:p>
        </w:tc>
        <w:tc>
          <w:tcPr>
            <w:tcW w:w="10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成本节约量</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60万元</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60万元</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0"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受益人口数量</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大于3万人</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大于3万人</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63"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trHeight w:val="581"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环境提升情况</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改善</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改善</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547"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长效管理机制</w:t>
            </w:r>
          </w:p>
        </w:tc>
        <w:tc>
          <w:tcPr>
            <w:tcW w:w="1005" w:type="dxa"/>
            <w:tcBorders>
              <w:top w:val="single" w:color="auto" w:sz="4" w:space="0"/>
              <w:left w:val="nil"/>
              <w:bottom w:val="single" w:color="auto" w:sz="4" w:space="0"/>
              <w:right w:val="single" w:color="auto" w:sz="4" w:space="0"/>
            </w:tcBorders>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7"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群众满意度</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54" w:hRule="atLeast"/>
        </w:trPr>
        <w:tc>
          <w:tcPr>
            <w:tcW w:w="6220"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1"/>
          <w:wAfter w:w="26" w:type="dxa"/>
          <w:trHeight w:val="383" w:hRule="atLeast"/>
        </w:trPr>
        <w:tc>
          <w:tcPr>
            <w:tcW w:w="8689" w:type="dxa"/>
            <w:gridSpan w:val="15"/>
            <w:tcMar>
              <w:top w:w="15" w:type="dxa"/>
              <w:left w:w="15" w:type="dxa"/>
              <w:bottom w:w="0" w:type="dxa"/>
              <w:right w:w="15" w:type="dxa"/>
            </w:tcMar>
            <w:vAlign w:val="center"/>
          </w:tcPr>
          <w:p>
            <w:pPr>
              <w:widowControl/>
              <w:jc w:val="center"/>
              <w:textAlignment w:val="center"/>
              <w:rPr>
                <w:rFonts w:ascii="仿宋" w:eastAsia="仿宋"/>
                <w:kern w:val="0"/>
                <w:sz w:val="22"/>
              </w:rPr>
            </w:pPr>
          </w:p>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trHeight w:val="352" w:hRule="atLeast"/>
        </w:trPr>
        <w:tc>
          <w:tcPr>
            <w:tcW w:w="8715" w:type="dxa"/>
            <w:gridSpan w:val="16"/>
          </w:tcPr>
          <w:p>
            <w:pPr>
              <w:widowControl/>
              <w:spacing w:line="240" w:lineRule="exact"/>
              <w:jc w:val="center"/>
              <w:rPr>
                <w:rFonts w:ascii="仿宋" w:eastAsia="仿宋"/>
                <w:kern w:val="0"/>
                <w:sz w:val="22"/>
              </w:rPr>
            </w:pPr>
            <w:r>
              <w:rPr>
                <w:rFonts w:hint="eastAsia" w:ascii="仿宋" w:eastAsia="仿宋"/>
                <w:kern w:val="0"/>
                <w:sz w:val="22"/>
              </w:rPr>
              <w:t>（2019年度）</w:t>
            </w:r>
          </w:p>
        </w:tc>
      </w:tr>
      <w:tr>
        <w:tblPrEx>
          <w:tblCellMar>
            <w:top w:w="0" w:type="dxa"/>
            <w:left w:w="0" w:type="dxa"/>
            <w:bottom w:w="0" w:type="dxa"/>
            <w:right w:w="0" w:type="dxa"/>
          </w:tblCellMar>
        </w:tblPrEx>
        <w:trPr>
          <w:trHeight w:val="369" w:hRule="atLeast"/>
        </w:trPr>
        <w:tc>
          <w:tcPr>
            <w:tcW w:w="125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46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农村环境整治经费</w:t>
            </w:r>
          </w:p>
        </w:tc>
      </w:tr>
      <w:tr>
        <w:tblPrEx>
          <w:tblCellMar>
            <w:top w:w="0" w:type="dxa"/>
            <w:left w:w="0" w:type="dxa"/>
            <w:bottom w:w="0" w:type="dxa"/>
            <w:right w:w="0" w:type="dxa"/>
          </w:tblCellMar>
        </w:tblPrEx>
        <w:trPr>
          <w:trHeight w:val="340" w:hRule="atLeast"/>
        </w:trPr>
        <w:tc>
          <w:tcPr>
            <w:tcW w:w="125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05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旺村镇人民政府</w:t>
            </w: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旺村镇人民政府</w:t>
            </w:r>
          </w:p>
        </w:tc>
      </w:tr>
      <w:tr>
        <w:tblPrEx>
          <w:tblCellMar>
            <w:top w:w="0" w:type="dxa"/>
            <w:left w:w="0" w:type="dxa"/>
            <w:bottom w:w="0" w:type="dxa"/>
            <w:right w:w="0" w:type="dxa"/>
          </w:tblCellMar>
        </w:tblPrEx>
        <w:trPr>
          <w:trHeight w:val="636" w:hRule="atLeast"/>
        </w:trPr>
        <w:tc>
          <w:tcPr>
            <w:tcW w:w="125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trHeight w:val="393"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62</w:t>
            </w: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62</w:t>
            </w: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62</w:t>
            </w: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trHeight w:val="340"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8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2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1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5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06"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trHeight w:val="20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47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eastAsia="仿宋_GB2312"/>
                <w:color w:val="000000"/>
                <w:kern w:val="0"/>
                <w:szCs w:val="21"/>
              </w:rPr>
              <w:t>对镇区内40个村街进行环境治理，宣传环境治理政策，保持镇区内环境卫生、整洁</w:t>
            </w:r>
            <w:r>
              <w:rPr>
                <w:rFonts w:hint="eastAsia" w:eastAsia="仿宋_GB2312"/>
                <w:color w:val="000000"/>
                <w:kern w:val="0"/>
                <w:szCs w:val="21"/>
                <w:lang w:eastAsia="zh-CN"/>
              </w:rPr>
              <w:t>，</w:t>
            </w:r>
            <w:r>
              <w:rPr>
                <w:rFonts w:hint="eastAsia" w:eastAsia="仿宋_GB2312"/>
                <w:color w:val="000000"/>
                <w:kern w:val="0"/>
                <w:szCs w:val="21"/>
              </w:rPr>
              <w:t>创造良好的人居环境。</w:t>
            </w:r>
          </w:p>
        </w:tc>
        <w:tc>
          <w:tcPr>
            <w:tcW w:w="3406" w:type="dxa"/>
            <w:gridSpan w:val="8"/>
            <w:tcBorders>
              <w:top w:val="single" w:color="auto" w:sz="4" w:space="0"/>
              <w:left w:val="nil"/>
              <w:bottom w:val="single" w:color="auto" w:sz="4" w:space="0"/>
              <w:right w:val="single" w:color="auto" w:sz="4" w:space="0"/>
            </w:tcBorders>
            <w:vAlign w:val="center"/>
          </w:tcPr>
          <w:p>
            <w:pPr>
              <w:pStyle w:val="3"/>
              <w:widowControl/>
              <w:shd w:val="clear" w:color="auto" w:fill="FFFFFF"/>
              <w:spacing w:line="240" w:lineRule="exact"/>
              <w:rPr>
                <w:rFonts w:hint="eastAsia" w:eastAsia="仿宋_GB2312" w:cs="Times New Roman"/>
                <w:color w:val="000000"/>
                <w:sz w:val="22"/>
                <w:szCs w:val="22"/>
              </w:rPr>
            </w:pPr>
            <w:r>
              <w:rPr>
                <w:rFonts w:hint="eastAsia" w:eastAsia="仿宋_GB2312" w:asciiTheme="minorHAnsi" w:hAnsiTheme="minorHAnsi" w:cstheme="minorBidi"/>
                <w:b w:val="0"/>
                <w:bCs w:val="0"/>
                <w:color w:val="000000"/>
                <w:kern w:val="0"/>
                <w:sz w:val="21"/>
                <w:szCs w:val="21"/>
              </w:rPr>
              <w:t>解决辖区内40个村街垃圾露天堆放问题，及时清理，宣传环境治理政策，确保镇区内环境整洁、卫生，创造良好的人居环境</w:t>
            </w:r>
            <w:r>
              <w:rPr>
                <w:rFonts w:hint="eastAsia" w:eastAsia="仿宋_GB2312" w:asciiTheme="minorHAnsi" w:hAnsiTheme="minorHAnsi" w:cstheme="minorBidi"/>
                <w:b w:val="0"/>
                <w:bCs w:val="0"/>
                <w:color w:val="000000"/>
                <w:kern w:val="0"/>
                <w:sz w:val="21"/>
                <w:szCs w:val="21"/>
                <w:lang w:eastAsia="zh-CN"/>
              </w:rPr>
              <w:t>，</w:t>
            </w:r>
            <w:r>
              <w:rPr>
                <w:rFonts w:hint="eastAsia" w:eastAsia="仿宋_GB2312" w:asciiTheme="minorHAnsi" w:hAnsiTheme="minorHAnsi" w:cstheme="minorBidi"/>
                <w:b w:val="0"/>
                <w:bCs w:val="0"/>
                <w:color w:val="000000"/>
                <w:kern w:val="0"/>
                <w:sz w:val="21"/>
                <w:szCs w:val="21"/>
              </w:rPr>
              <w:t>提高群众及企业环境保护意识，创造良好的人居环境。</w:t>
            </w:r>
          </w:p>
        </w:tc>
      </w:tr>
      <w:tr>
        <w:tblPrEx>
          <w:tblCellMar>
            <w:top w:w="0" w:type="dxa"/>
            <w:left w:w="0" w:type="dxa"/>
            <w:bottom w:w="0" w:type="dxa"/>
            <w:right w:w="0" w:type="dxa"/>
          </w:tblCellMar>
        </w:tblPrEx>
        <w:trPr>
          <w:trHeight w:val="667" w:hRule="atLeast"/>
        </w:trPr>
        <w:tc>
          <w:tcPr>
            <w:tcW w:w="5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16"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7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3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排查垃圾处理点数量</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大于40次</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大于40次</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环境质量达标率</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垃圾及时处理性</w:t>
            </w:r>
          </w:p>
        </w:tc>
        <w:tc>
          <w:tcPr>
            <w:tcW w:w="10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2019年11月底</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2019年11月底</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成本节约量</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62万元</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62万元</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0"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受益人口数量</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大于3万人</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大于3万人</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63"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trHeight w:val="581"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环境提升情况</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改善</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改善</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547"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11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Cs w:val="21"/>
              </w:rPr>
              <w:t>长效管理机制</w:t>
            </w:r>
          </w:p>
        </w:tc>
        <w:tc>
          <w:tcPr>
            <w:tcW w:w="1005" w:type="dxa"/>
            <w:tcBorders>
              <w:top w:val="single" w:color="auto" w:sz="4" w:space="0"/>
              <w:left w:val="nil"/>
              <w:bottom w:val="single" w:color="auto" w:sz="4" w:space="0"/>
              <w:right w:val="single" w:color="auto" w:sz="4" w:space="0"/>
            </w:tcBorders>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7" w:hRule="atLeast"/>
        </w:trPr>
        <w:tc>
          <w:tcPr>
            <w:tcW w:w="5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eastAsia="仿宋"/>
                <w:kern w:val="0"/>
                <w:sz w:val="22"/>
              </w:rPr>
            </w:pPr>
          </w:p>
        </w:tc>
        <w:tc>
          <w:tcPr>
            <w:tcW w:w="616" w:type="dxa"/>
            <w:tcBorders>
              <w:top w:val="nil"/>
              <w:left w:val="single" w:color="auto" w:sz="4" w:space="0"/>
              <w:bottom w:val="nil"/>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77"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36" w:type="dxa"/>
            <w:gridSpan w:val="3"/>
            <w:tcBorders>
              <w:top w:val="single" w:color="auto" w:sz="4" w:space="0"/>
              <w:left w:val="nil"/>
              <w:bottom w:val="single" w:color="auto" w:sz="4" w:space="0"/>
              <w:right w:val="single" w:color="auto" w:sz="4" w:space="0"/>
            </w:tcBorders>
            <w:vAlign w:val="center"/>
          </w:tcPr>
          <w:p>
            <w:pPr>
              <w:widowControl/>
              <w:jc w:val="center"/>
              <w:rPr>
                <w:rFonts w:ascii="仿宋" w:eastAsia="仿宋"/>
                <w:color w:val="000000"/>
                <w:kern w:val="0"/>
                <w:sz w:val="22"/>
              </w:rPr>
            </w:pPr>
            <w:r>
              <w:rPr>
                <w:rFonts w:hint="eastAsia" w:eastAsia="仿宋_GB2312"/>
                <w:color w:val="000000"/>
                <w:kern w:val="0"/>
                <w:sz w:val="22"/>
              </w:rPr>
              <w:t>群众满意度</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大于95%</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大于95%</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54" w:hRule="atLeast"/>
        </w:trPr>
        <w:tc>
          <w:tcPr>
            <w:tcW w:w="6220"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4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eastAsia="仿宋"/>
                <w:kern w:val="0"/>
                <w:sz w:val="22"/>
              </w:rPr>
            </w:pPr>
          </w:p>
        </w:tc>
      </w:tr>
    </w:tbl>
    <w:p>
      <w:pPr>
        <w:rPr>
          <w:rFonts w:ascii="黑体" w:hAnsi="黑体" w:eastAsia="黑体" w:cs="黑体"/>
          <w:sz w:val="56"/>
          <w:szCs w:val="72"/>
        </w:rPr>
      </w:pPr>
    </w:p>
    <w:p>
      <w:pPr>
        <w:widowControl/>
        <w:jc w:val="left"/>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89984;v-text-anchor:middle;mso-width-relative:page;mso-height-relative:page;" fillcolor="#FFFFFF" filled="t" stroked="f"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focussize="0,0"/>
            <v:stroke on="f"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1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0" w:type="default"/>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12pt;height:263.1pt;width:613.65pt;z-index:251691008;v-text-anchor:middle;mso-width-relative:page;mso-height-relative:page;" fillcolor="#FFFFFF" filled="t" stroked="f"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color2="#FFFFFF" focussize="0,0"/>
            <v:stroke on="f"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sectPr>
      <w:headerReference r:id="rId22" w:type="first"/>
      <w:headerReference r:id="rId21" w:type="default"/>
      <w:footerReference r:id="rId23"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S UI Gothic"/>
    <w:panose1 w:val="00000000000000000000"/>
    <w:charset w:val="80"/>
    <w:family w:val="swiss"/>
    <w:pitch w:val="default"/>
    <w:sig w:usb0="00000000" w:usb1="00000000" w:usb2="00000016" w:usb3="00000000" w:csb0="2002009F" w:csb1="00000000"/>
  </w:font>
  <w:font w:name="MS UI Gothic">
    <w:panose1 w:val="020B0600070205080204"/>
    <w:charset w:val="80"/>
    <w:family w:val="auto"/>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Dotum"/>
    <w:panose1 w:val="00000000000000000000"/>
    <w:charset w:val="81"/>
    <w:family w:val="auto"/>
    <w:pitch w:val="default"/>
    <w:sig w:usb0="00000000" w:usb1="00000000" w:usb2="00000010" w:usb3="00000000" w:csb0="00080001" w:csb1="00000000"/>
  </w:font>
  <w:font w:name="Dotum">
    <w:panose1 w:val="020B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Dotum"/>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92" o:spid="_x0000_s2092" o:spt="202" type="#_x0000_t202" style="position:absolute;left:0pt;margin-left:209.65pt;margin-top:-12.95pt;height:14.3pt;width:30.6pt;mso-position-horizontal-relative:margin;z-index:25167769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100" o:spid="_x0000_s2100" o:spt="202" type="#_x0000_t202" style="position:absolute;left:0pt;margin-left:206.55pt;margin-top:-22.45pt;height:35.15pt;width:34pt;mso-position-horizontal-relative:margin;z-index:25167872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9" o:spid="_x0000_s2069" o:spt="202" type="#_x0000_t202" style="position:absolute;left:0pt;margin-left:209.15pt;margin-top:-6pt;height:18.7pt;width:144pt;mso-position-horizontal-relative:margin;mso-wrap-style:none;z-index:25167974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- 24 -</w:t>
                </w:r>
                <w:r>
                  <w:rPr>
                    <w:rFonts w:ascii="Times New Roman" w:hAns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77" o:spid="_x0000_s2077" o:spt="202" type="#_x0000_t202" style="position:absolute;left:0pt;margin-left:205.45pt;margin-top:-18.75pt;height:31.45pt;width:30.15pt;mso-position-horizontal-relative:margin;z-index:25168076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left:209.15pt;margin-top:-6pt;height:18.7pt;width:144pt;mso-position-horizontal-relative:margin;mso-wrap-style:none;z-index:2516848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- 25 -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105" o:spid="_x0000_s2105" o:spt="203" style="position:absolute;left:0pt;margin-top:29.75pt;height:32pt;width:157.5pt;mso-position-horizontal:left;mso-position-horizontal-relative:page;mso-position-vertical-relative:page;z-index:251660288;mso-width-relative:page;mso-height-relative:page;" coordorigin="13,8" coordsize="31,6402"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_x0000_s2107" o:spid="_x0000_s2107" o:spt="202" type="#_x0000_t202" style="position:absolute;left:14;top:8;height:7;width:30;"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top:10;height:3;width:1;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59264;mso-width-relative:page;mso-height-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04" o:spt="1" style="position:absolute;left:8;top:15;height:1;width:120;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top:6;height:9;width:26;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top:5;height:11;width:24;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53" o:spid="_x0000_s2053" o:spt="203" style="position:absolute;left:0pt;margin-left:2.5pt;margin-top:28.75pt;height:35.25pt;width:594.8pt;mso-position-horizontal-relative:page;mso-position-vertical-relative:page;z-index:251685888;mso-width-relative:page;mso-height-relative:page;" coordorigin="8,5" coordsize="119,11792"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top:15;height:1;width:120;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top:6;height:9;width:26;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top:5;height:11;width:24;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86912;mso-width-relative:page;mso-height-relative:page;" coordorigin="13,8" coordsize="31,6402"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top:8;height:7;width:30;"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top:10;height:3;width:1;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0" o:spid="_x0000_s2060" o:spt="203" style="position:absolute;left:0pt;margin-left:0pt;margin-top:0pt;height:38.05pt;width:596.5pt;mso-position-horizontal-relative:page;mso-position-vertical-relative:page;z-index:251681792;mso-width-relative:page;mso-height-relative:page;mso-width-percent:1000;" coordorigin="8,5" coordsize="119,11792"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top:15;height:1;width:120;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top:6;height:9;width:26;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top:5;height:11;width:24;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82816;mso-width-relative:page;mso-height-relative:page;" coordorigin="13,8" coordsize="31,6402"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top:8;height:7;width:3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top:10;height:3;width:1;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96" o:spid="_x0000_s2096" o:spt="203" style="position:absolute;left:0pt;margin-left:0pt;margin-top:53.75pt;height:31.5pt;width:594.8pt;mso-position-horizontal-relative:page;mso-position-vertical-relative:page;z-index:251675648;mso-width-relative:page;mso-height-relative:page;" coordorigin="8,5" coordsize="119,11792"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9" o:spt="1" style="position:absolute;left:8;top:15;height:1;width:120;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8" o:spt="100" style="position:absolute;left:101;top:6;height:9;width:26;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top:5;height:11;width:24;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93" o:spid="_x0000_s2093" o:spt="203" style="position:absolute;left:0pt;margin-left:-2.15pt;margin-top:47.15pt;height:32pt;width:235.7pt;mso-position-horizontal-relative:page;mso-position-vertical-relative:page;z-index:251676672;mso-width-relative:page;mso-height-relative:page;" coordorigin="13,8" coordsize="31,6402"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_x0000_s2095" o:spid="_x0000_s2095" o:spt="202" type="#_x0000_t202" style="position:absolute;left:14;top:8;height:7;width:30;"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94" o:spt="1" style="position:absolute;left:13;top:10;height:3;width:1;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9" o:spid="_x0000_s2089" o:spt="203" style="position:absolute;left:0pt;margin-left:2.25pt;margin-top:45.75pt;height:32.05pt;width:239.85pt;mso-position-horizontal-relative:page;mso-position-vertical-relative:page;z-index:251669504;mso-width-relative:page;mso-height-relative:page;" coordorigin="13,8" coordsize="32,6412"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top:8;height:6;width:31;"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top:10;height:3;width:1;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668480;mso-width-relative:page;mso-height-relative:page;" coordorigin="8,5" coordsize="119,11792"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top:15;height:1;width:120;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top:6;height:9;width:26;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top:5;height:11;width:24;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73" o:spid="_x0000_s2073" o:spt="203" style="position:absolute;left:0pt;margin-left:0pt;margin-top:0pt;height:37.85pt;width:594.8pt;mso-position-horizontal-relative:page;mso-position-vertical-relative:page;z-index:251670528;mso-width-relative:page;mso-height-relative:page;" coordorigin="8,5" coordsize="119,11792"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top:15;height:1;width:120;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top:6;height:9;width:26;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top:5;height:11;width:24;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671552;mso-width-relative:page;mso-height-relative:page;" coordorigin="13,8" coordsize="31,6402"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top:8;height:7;width:30;"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top:10;height:3;width:1;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2" o:spid="_x0000_s2082" o:spt="203" style="position:absolute;left:0pt;margin-top:29.75pt;height:32pt;width:157.5pt;mso-position-horizontal:left;mso-position-horizontal-relative:page;mso-position-vertical-relative:page;z-index:251673600;mso-width-relative:page;mso-height-relative:page;" coordorigin="13,8" coordsize="31,6402"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_x0000_s2084" o:spid="_x0000_s2084" o:spt="202" type="#_x0000_t202" style="position:absolute;left:14;top:8;height:7;width:30;"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83" o:spt="1" style="position:absolute;left:13;top:10;height:3;width:1;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8" o:spid="_x0000_s2078" o:spt="203" style="position:absolute;left:0pt;margin-left:0pt;margin-top:0pt;height:58.95pt;width:596.5pt;mso-position-horizontal-relative:page;mso-position-vertical-relative:page;z-index:251672576;mso-width-relative:page;mso-height-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81" o:spt="1" style="position:absolute;left:8;top:15;height:1;width:120;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0" o:spt="100" style="position:absolute;left:101;top:6;height:9;width:26;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9" o:spt="100" style="position:absolute;left:104;top:5;height:11;width:24;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5F222FFA"/>
    <w:multiLevelType w:val="singleLevel"/>
    <w:tmpl w:val="5F222FFA"/>
    <w:lvl w:ilvl="0" w:tentative="0">
      <w:start w:val="1"/>
      <w:numFmt w:val="decimal"/>
      <w:suff w:val="nothing"/>
      <w:lvlText w:val="（%1）"/>
      <w:lvlJc w:val="left"/>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1"/>
  </w:num>
  <w:num w:numId="3">
    <w:abstractNumId w:val="0"/>
  </w:num>
  <w:num w:numId="4">
    <w:abstractNumId w:val="2"/>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10EEB"/>
    <w:rsid w:val="00026EBA"/>
    <w:rsid w:val="00062EA7"/>
    <w:rsid w:val="00067327"/>
    <w:rsid w:val="0007058E"/>
    <w:rsid w:val="0007063E"/>
    <w:rsid w:val="00073392"/>
    <w:rsid w:val="00073F4E"/>
    <w:rsid w:val="00086C89"/>
    <w:rsid w:val="000A39FB"/>
    <w:rsid w:val="000C3529"/>
    <w:rsid w:val="00114798"/>
    <w:rsid w:val="00117746"/>
    <w:rsid w:val="00134C8B"/>
    <w:rsid w:val="0016344E"/>
    <w:rsid w:val="00163F95"/>
    <w:rsid w:val="00180A9A"/>
    <w:rsid w:val="001829C0"/>
    <w:rsid w:val="00184809"/>
    <w:rsid w:val="0019198D"/>
    <w:rsid w:val="00192112"/>
    <w:rsid w:val="001B0127"/>
    <w:rsid w:val="001C12D5"/>
    <w:rsid w:val="001C69F7"/>
    <w:rsid w:val="001D6F97"/>
    <w:rsid w:val="001F0DA6"/>
    <w:rsid w:val="002650EC"/>
    <w:rsid w:val="00275D49"/>
    <w:rsid w:val="002860A9"/>
    <w:rsid w:val="002A6C46"/>
    <w:rsid w:val="002C19B5"/>
    <w:rsid w:val="002F5F46"/>
    <w:rsid w:val="003A4EE8"/>
    <w:rsid w:val="003E1109"/>
    <w:rsid w:val="0044253A"/>
    <w:rsid w:val="00442CC2"/>
    <w:rsid w:val="00446244"/>
    <w:rsid w:val="00473C20"/>
    <w:rsid w:val="00495D68"/>
    <w:rsid w:val="004A2707"/>
    <w:rsid w:val="004D61CB"/>
    <w:rsid w:val="004F1A25"/>
    <w:rsid w:val="005011D6"/>
    <w:rsid w:val="00503F2E"/>
    <w:rsid w:val="00552226"/>
    <w:rsid w:val="00566120"/>
    <w:rsid w:val="00582E6D"/>
    <w:rsid w:val="00587579"/>
    <w:rsid w:val="005878B3"/>
    <w:rsid w:val="005954D5"/>
    <w:rsid w:val="00595A5C"/>
    <w:rsid w:val="005A53FA"/>
    <w:rsid w:val="005B37C6"/>
    <w:rsid w:val="005C52BB"/>
    <w:rsid w:val="005D1293"/>
    <w:rsid w:val="005F0F54"/>
    <w:rsid w:val="006325D0"/>
    <w:rsid w:val="0063320C"/>
    <w:rsid w:val="00644D5F"/>
    <w:rsid w:val="00657F86"/>
    <w:rsid w:val="006727AD"/>
    <w:rsid w:val="00691425"/>
    <w:rsid w:val="006A516E"/>
    <w:rsid w:val="006B0830"/>
    <w:rsid w:val="006D76E2"/>
    <w:rsid w:val="006F6D9A"/>
    <w:rsid w:val="00716E2B"/>
    <w:rsid w:val="00721227"/>
    <w:rsid w:val="00767D30"/>
    <w:rsid w:val="00770F18"/>
    <w:rsid w:val="00771E04"/>
    <w:rsid w:val="00773B74"/>
    <w:rsid w:val="0078290C"/>
    <w:rsid w:val="007B6DBB"/>
    <w:rsid w:val="007C06CA"/>
    <w:rsid w:val="007E2A71"/>
    <w:rsid w:val="008163FB"/>
    <w:rsid w:val="0082605B"/>
    <w:rsid w:val="00855C36"/>
    <w:rsid w:val="00857DBE"/>
    <w:rsid w:val="00861786"/>
    <w:rsid w:val="008701BC"/>
    <w:rsid w:val="008763A7"/>
    <w:rsid w:val="00883D92"/>
    <w:rsid w:val="008A5362"/>
    <w:rsid w:val="008F21F1"/>
    <w:rsid w:val="008F221B"/>
    <w:rsid w:val="008F5A2D"/>
    <w:rsid w:val="00915AA6"/>
    <w:rsid w:val="00921602"/>
    <w:rsid w:val="009473AE"/>
    <w:rsid w:val="00957EA1"/>
    <w:rsid w:val="00964C4F"/>
    <w:rsid w:val="00966E5B"/>
    <w:rsid w:val="009B4EF0"/>
    <w:rsid w:val="009D271F"/>
    <w:rsid w:val="009F5C04"/>
    <w:rsid w:val="00A24EF4"/>
    <w:rsid w:val="00A26BAA"/>
    <w:rsid w:val="00A82789"/>
    <w:rsid w:val="00A85DCB"/>
    <w:rsid w:val="00A929C2"/>
    <w:rsid w:val="00AD097F"/>
    <w:rsid w:val="00B43252"/>
    <w:rsid w:val="00B7742F"/>
    <w:rsid w:val="00B81AC4"/>
    <w:rsid w:val="00B844F4"/>
    <w:rsid w:val="00B84CAE"/>
    <w:rsid w:val="00BA06A1"/>
    <w:rsid w:val="00BA1C3B"/>
    <w:rsid w:val="00BA770A"/>
    <w:rsid w:val="00BC48B2"/>
    <w:rsid w:val="00BE4F4E"/>
    <w:rsid w:val="00BF7F8A"/>
    <w:rsid w:val="00C054DE"/>
    <w:rsid w:val="00C34754"/>
    <w:rsid w:val="00C4703A"/>
    <w:rsid w:val="00C679A9"/>
    <w:rsid w:val="00C7541C"/>
    <w:rsid w:val="00C9654B"/>
    <w:rsid w:val="00CA09FD"/>
    <w:rsid w:val="00CC0FAA"/>
    <w:rsid w:val="00CC5382"/>
    <w:rsid w:val="00CC7B4D"/>
    <w:rsid w:val="00CD0736"/>
    <w:rsid w:val="00CD4D2E"/>
    <w:rsid w:val="00D1570F"/>
    <w:rsid w:val="00D32830"/>
    <w:rsid w:val="00D64F93"/>
    <w:rsid w:val="00D97E14"/>
    <w:rsid w:val="00DB3DB9"/>
    <w:rsid w:val="00DB694B"/>
    <w:rsid w:val="00DB7153"/>
    <w:rsid w:val="00DB7F05"/>
    <w:rsid w:val="00DE2332"/>
    <w:rsid w:val="00E028C3"/>
    <w:rsid w:val="00E06C8B"/>
    <w:rsid w:val="00E14F77"/>
    <w:rsid w:val="00E3076B"/>
    <w:rsid w:val="00E36978"/>
    <w:rsid w:val="00E82A1E"/>
    <w:rsid w:val="00E93E3A"/>
    <w:rsid w:val="00EA05EC"/>
    <w:rsid w:val="00EB5CCD"/>
    <w:rsid w:val="00EC06F4"/>
    <w:rsid w:val="00EE4E36"/>
    <w:rsid w:val="00F17519"/>
    <w:rsid w:val="00F21BAD"/>
    <w:rsid w:val="00F665F4"/>
    <w:rsid w:val="00F8326C"/>
    <w:rsid w:val="00F85E18"/>
    <w:rsid w:val="00F92D66"/>
    <w:rsid w:val="00FD225F"/>
    <w:rsid w:val="00FF3022"/>
    <w:rsid w:val="05B00A30"/>
    <w:rsid w:val="0B011416"/>
    <w:rsid w:val="0DAA6802"/>
    <w:rsid w:val="24036D66"/>
    <w:rsid w:val="2F0B5499"/>
    <w:rsid w:val="31C2036A"/>
    <w:rsid w:val="320D02A5"/>
    <w:rsid w:val="348E566F"/>
    <w:rsid w:val="3A226944"/>
    <w:rsid w:val="3A950A5B"/>
    <w:rsid w:val="3AEE6A48"/>
    <w:rsid w:val="3C1620AA"/>
    <w:rsid w:val="3D8F080F"/>
    <w:rsid w:val="3F0627FF"/>
    <w:rsid w:val="4306604C"/>
    <w:rsid w:val="44CE1FA4"/>
    <w:rsid w:val="487F73ED"/>
    <w:rsid w:val="4A347EAE"/>
    <w:rsid w:val="52600405"/>
    <w:rsid w:val="529B4319"/>
    <w:rsid w:val="57773DD6"/>
    <w:rsid w:val="578B79AB"/>
    <w:rsid w:val="5CCD3FD5"/>
    <w:rsid w:val="61FA5F9D"/>
    <w:rsid w:val="64CD6910"/>
    <w:rsid w:val="6789158D"/>
    <w:rsid w:val="67D81BA4"/>
    <w:rsid w:val="69BF065E"/>
    <w:rsid w:val="6AAF1C96"/>
    <w:rsid w:val="75681757"/>
    <w:rsid w:val="75A346A8"/>
    <w:rsid w:val="79B9382C"/>
    <w:rsid w:val="7B043B76"/>
    <w:rsid w:val="7C041A6A"/>
    <w:rsid w:val="7C21260B"/>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7"/>
    <w:qFormat/>
    <w:uiPriority w:val="99"/>
    <w:rPr>
      <w:rFonts w:asciiTheme="minorHAnsi" w:hAnsiTheme="minorHAnsi" w:eastAsiaTheme="minorEastAsia"/>
      <w:sz w:val="18"/>
      <w:szCs w:val="18"/>
    </w:rPr>
  </w:style>
  <w:style w:type="character" w:customStyle="1" w:styleId="12">
    <w:name w:val="页脚 Char"/>
    <w:basedOn w:val="10"/>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Char"/>
    <w:basedOn w:val="10"/>
    <w:link w:val="5"/>
    <w:semiHidden/>
    <w:qFormat/>
    <w:uiPriority w:val="99"/>
    <w:rPr>
      <w:rFonts w:asciiTheme="minorHAnsi" w:hAnsiTheme="minorHAnsi" w:eastAsiaTheme="minorEastAsia" w:cstheme="minorBidi"/>
      <w:kern w:val="2"/>
      <w:sz w:val="18"/>
      <w:szCs w:val="18"/>
    </w:rPr>
  </w:style>
  <w:style w:type="character" w:customStyle="1" w:styleId="15">
    <w:name w:val="标题 2 Char"/>
    <w:basedOn w:val="10"/>
    <w:link w:val="3"/>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4.xml"/><Relationship Id="rId28" Type="http://schemas.openxmlformats.org/officeDocument/2006/relationships/chart" Target="charts/chart3.xml"/><Relationship Id="rId27" Type="http://schemas.openxmlformats.org/officeDocument/2006/relationships/chart" Target="charts/chart2.xml"/><Relationship Id="rId26" Type="http://schemas.openxmlformats.org/officeDocument/2006/relationships/image" Target="media/image1.png"/><Relationship Id="rId25" Type="http://schemas.openxmlformats.org/officeDocument/2006/relationships/chart" Target="charts/chart1.xml"/><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6477173307882"/>
          <c:y val="0.0268456375838926"/>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支出决算结构饼状图</c:v>
                </c:pt>
              </c:strCache>
            </c:strRef>
          </c:tx>
          <c:explosion val="1"/>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0.3469</c:v>
                </c:pt>
                <c:pt idx="1">
                  <c:v>0.6531</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6350" cap="flat" cmpd="sng" algn="ctr">
      <a:noFill/>
      <a:prstDash val="solid"/>
      <a:round/>
    </a:ln>
  </c:spPr>
  <c:txPr>
    <a:bodyPr/>
    <a:lstStyle/>
    <a:p>
      <a:pPr>
        <a:defRPr lang="zh-CN" u="none" baseline="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2073.54</c:v>
                </c:pt>
                <c:pt idx="1">
                  <c:v>2073.54</c:v>
                </c:pt>
              </c:numCache>
            </c:numRef>
          </c:val>
        </c:ser>
        <c:ser>
          <c:idx val="1"/>
          <c:order val="1"/>
          <c:tx>
            <c:strRef>
              <c:f>Sheet1!$C$1</c:f>
              <c:strCache>
                <c:ptCount val="1"/>
                <c:pt idx="0">
                  <c:v>2019年</c:v>
                </c:pt>
              </c:strCache>
            </c:strRef>
          </c:tx>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2968.65</c:v>
                </c:pt>
                <c:pt idx="1">
                  <c:v>2968.65</c:v>
                </c:pt>
              </c:numCache>
            </c:numRef>
          </c:val>
        </c:ser>
        <c:dLbls>
          <c:showLegendKey val="0"/>
          <c:showVal val="0"/>
          <c:showCatName val="0"/>
          <c:showSerName val="0"/>
          <c:showPercent val="0"/>
          <c:showBubbleSize val="0"/>
        </c:dLbls>
        <c:gapWidth val="150"/>
        <c:axId val="107864832"/>
        <c:axId val="107866368"/>
      </c:barChart>
      <c:catAx>
        <c:axId val="10786483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07866368"/>
        <c:crosses val="autoZero"/>
        <c:auto val="1"/>
        <c:lblAlgn val="ctr"/>
        <c:lblOffset val="100"/>
        <c:noMultiLvlLbl val="0"/>
      </c:catAx>
      <c:valAx>
        <c:axId val="10786636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07864832"/>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dTable>
    </c:plotArea>
    <c:plotVisOnly val="1"/>
    <c:dispBlanksAs val="gap"/>
    <c:showDLblsOverMax val="0"/>
  </c:chart>
  <c:spPr>
    <a:ln w="12700"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2019年预算</c:v>
                </c:pt>
              </c:strCache>
            </c:strRef>
          </c:tx>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1572.61</c:v>
                </c:pt>
                <c:pt idx="1">
                  <c:v>1572.61</c:v>
                </c:pt>
              </c:numCache>
            </c:numRef>
          </c:val>
        </c:ser>
        <c:ser>
          <c:idx val="1"/>
          <c:order val="1"/>
          <c:tx>
            <c:strRef>
              <c:f>Sheet1!$C$1</c:f>
              <c:strCache>
                <c:ptCount val="1"/>
                <c:pt idx="0">
                  <c:v>2019年决算</c:v>
                </c:pt>
              </c:strCache>
            </c:strRef>
          </c:tx>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2968.65</c:v>
                </c:pt>
                <c:pt idx="1">
                  <c:v>2968.65</c:v>
                </c:pt>
              </c:numCache>
            </c:numRef>
          </c:val>
        </c:ser>
        <c:dLbls>
          <c:showLegendKey val="0"/>
          <c:showVal val="0"/>
          <c:showCatName val="0"/>
          <c:showSerName val="0"/>
          <c:showPercent val="0"/>
          <c:showBubbleSize val="0"/>
        </c:dLbls>
        <c:gapWidth val="150"/>
        <c:axId val="108113920"/>
        <c:axId val="108115456"/>
      </c:barChart>
      <c:catAx>
        <c:axId val="10811392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08115456"/>
        <c:crosses val="autoZero"/>
        <c:auto val="1"/>
        <c:lblAlgn val="ctr"/>
        <c:lblOffset val="100"/>
        <c:noMultiLvlLbl val="0"/>
      </c:catAx>
      <c:valAx>
        <c:axId val="10811545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08113920"/>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dTable>
    </c:plotArea>
    <c:plotVisOnly val="1"/>
    <c:dispBlanksAs val="gap"/>
    <c:showDLblsOverMax val="0"/>
  </c:chart>
  <c:spPr>
    <a:ln w="12700"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财政拨款支出</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1"/>
              <c:layout>
                <c:manualLayout>
                  <c:x val="0.0500438246444621"/>
                  <c:y val="-0.041957568856444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538337603955988"/>
                  <c:y val="0.0018769042598730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165627649226521"/>
                  <c:y val="-0.0028263000905446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52393114095863"/>
                  <c:y val="-0.0035571470167651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900816699713451"/>
                  <c:y val="-0.060409470855111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0.0127646544181977"/>
                  <c:y val="-0.026983189601299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Sheet1!$A$2:$A$10</c:f>
              <c:strCache>
                <c:ptCount val="9"/>
                <c:pt idx="0">
                  <c:v>一般公共服务（类）</c:v>
                </c:pt>
                <c:pt idx="1">
                  <c:v>文化旅游体育与传媒（类）</c:v>
                </c:pt>
                <c:pt idx="2">
                  <c:v>社会保障和就业（类）</c:v>
                </c:pt>
                <c:pt idx="3">
                  <c:v>卫生健康（类）</c:v>
                </c:pt>
                <c:pt idx="4">
                  <c:v>节能环保（类）</c:v>
                </c:pt>
                <c:pt idx="5">
                  <c:v>城乡社区（类）</c:v>
                </c:pt>
                <c:pt idx="6">
                  <c:v>农林水（类）</c:v>
                </c:pt>
                <c:pt idx="7">
                  <c:v>灾害防治及应急管理（类）</c:v>
                </c:pt>
                <c:pt idx="8">
                  <c:v>其他（类）</c:v>
                </c:pt>
              </c:strCache>
            </c:strRef>
          </c:cat>
          <c:val>
            <c:numRef>
              <c:f>Sheet1!$B$2:$B$10</c:f>
              <c:numCache>
                <c:formatCode>0.00%</c:formatCode>
                <c:ptCount val="9"/>
                <c:pt idx="0">
                  <c:v>0.4421</c:v>
                </c:pt>
                <c:pt idx="1">
                  <c:v>0.0352</c:v>
                </c:pt>
                <c:pt idx="2" c:formatCode="0%">
                  <c:v>0.031</c:v>
                </c:pt>
                <c:pt idx="3">
                  <c:v>0.0077</c:v>
                </c:pt>
                <c:pt idx="4">
                  <c:v>0.1401</c:v>
                </c:pt>
                <c:pt idx="5" c:formatCode="0.0%">
                  <c:v>0.1782</c:v>
                </c:pt>
                <c:pt idx="6">
                  <c:v>0.1542</c:v>
                </c:pt>
                <c:pt idx="7">
                  <c:v>0.0034</c:v>
                </c:pt>
                <c:pt idx="8">
                  <c:v>0.0076</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spPr>
    <a:ln w="12700"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41"/>
    <customShpInfo spid="_x0000_s1040"/>
    <customShpInfo spid="_x0000_s1039"/>
    <customShpInfo spid="_x0000_s1035"/>
    <customShpInfo spid="_x0000_s1034"/>
    <customShpInfo spid="_x0000_s1033"/>
    <customShpInfo spid="_x0000_s1032"/>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CE77C8-128B-4864-AA3F-0BCA77B2D7B2}">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28</Pages>
  <Words>1476</Words>
  <Characters>8415</Characters>
  <Lines>70</Lines>
  <Paragraphs>19</Paragraphs>
  <TotalTime>8</TotalTime>
  <ScaleCrop>false</ScaleCrop>
  <LinksUpToDate>false</LinksUpToDate>
  <CharactersWithSpaces>9872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2020-11-23T06:41:00Z</cp:lastPrinted>
  <dcterms:modified xsi:type="dcterms:W3CDTF">2021-05-26T06:29:50Z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7C990123933D41F09C819FC89139130B</vt:lpwstr>
  </property>
</Properties>
</file>