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in" ContentType="application/vnd.openxmlformats-officedocument.oleObject"/>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楷体" w:cs="楷体" w:hAnsi="楷体"/>
          <w:b/>
          <w:sz w:val="44"/>
          <w:szCs w:val="44"/>
        </w:rPr>
        <w:sectPr>
          <w:pgSz w:w="11906" w:h="16838"/>
          <w:pgMar w:top="2098" w:right="1474" w:bottom="1985" w:left="1588" w:header="851" w:footer="992" w:gutter="0"/>
          <w:pgNumType/>
          <w:docGrid w:type="lines" w:linePitch="312" w:charSpace="0"/>
        </w:sectPr>
      </w:pPr>
      <w:r>
        <w:rPr>
          <w:b/>
          <w:sz w:val="44"/>
          <w:szCs w:val="44"/>
        </w:rPr>
        <w:t>廊坊市</w:t>
      </w:r>
      <w:r>
        <w:rPr>
          <w:rFonts w:hint="eastAsia"/>
          <w:b/>
          <w:sz w:val="44"/>
          <w:szCs w:val="44"/>
        </w:rPr>
        <w:t>大城县权村镇人民政府</w:t>
      </w:r>
    </w:p>
    <w:p>
      <w:pPr>
        <w:spacing w:beforeLines="200" w:before="624" w:after="0" w:line="1000" w:lineRule="exact"/>
        <w:jc w:val="center"/>
        <w:rPr>
          <w:rFonts w:ascii="黑体" w:eastAsia="黑体"/>
          <w:sz w:val="48"/>
          <w:szCs w:val="48"/>
        </w:rPr>
      </w:pPr>
      <w:r>
        <w:rPr>
          <w:rFonts w:ascii="黑体" w:eastAsia="黑体" w:hint="eastAsia"/>
          <w:sz w:val="48"/>
          <w:szCs w:val="48"/>
        </w:rPr>
        <w:t>目    录</w:t>
      </w:r>
    </w:p>
    <w:p>
      <w:pPr>
        <w:widowControl/>
        <w:spacing w:line="580" w:lineRule="exact"/>
        <w:ind w:firstLineChars="200" w:firstLine="640"/>
        <w:rPr>
          <w:rFonts w:eastAsia="黑体"/>
          <w:sz w:val="32"/>
          <w:szCs w:val="32"/>
        </w:rPr>
      </w:pPr>
    </w:p>
    <w:p>
      <w:pPr>
        <w:widowControl/>
        <w:spacing w:line="580" w:lineRule="exact"/>
        <w:ind w:firstLineChars="200" w:firstLine="640"/>
        <w:rPr>
          <w:rFonts w:eastAsia="仿宋_GB2312"/>
          <w:sz w:val="24"/>
          <w:szCs w:val="32"/>
        </w:rPr>
      </w:pPr>
      <w:r>
        <w:rPr>
          <w:rFonts w:eastAsia="黑体"/>
          <w:sz w:val="32"/>
          <w:szCs w:val="32"/>
        </w:rPr>
        <w:t>第一部分部门概况</w:t>
      </w:r>
    </w:p>
    <w:p>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pPr>
        <w:widowControl/>
        <w:spacing w:line="580" w:lineRule="exact"/>
        <w:ind w:firstLineChars="200" w:firstLine="640"/>
        <w:rPr>
          <w:rFonts w:eastAsia="仿宋_GB2312"/>
          <w:sz w:val="20"/>
          <w:szCs w:val="32"/>
        </w:rPr>
      </w:pPr>
      <w:r>
        <w:rPr>
          <w:rFonts w:eastAsia="黑体"/>
          <w:sz w:val="32"/>
          <w:szCs w:val="32"/>
        </w:rPr>
        <w:t>第二部分  201</w:t>
      </w:r>
      <w:r>
        <w:rPr>
          <w:rFonts w:eastAsia="黑体" w:hint="eastAsia"/>
          <w:sz w:val="32"/>
          <w:szCs w:val="32"/>
        </w:rPr>
        <w:t>8</w:t>
      </w:r>
      <w:r>
        <w:rPr>
          <w:rFonts w:eastAsia="黑体"/>
          <w:sz w:val="32"/>
          <w:szCs w:val="32"/>
        </w:rPr>
        <w:t>年度部门决算报表</w:t>
      </w:r>
    </w:p>
    <w:p>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pPr>
        <w:widowControl/>
        <w:spacing w:line="580" w:lineRule="exact"/>
        <w:ind w:left="640" w:firstLineChars="200" w:firstLine="640"/>
        <w:rPr>
          <w:rFonts w:eastAsia="仿宋_GB2312"/>
          <w:sz w:val="32"/>
          <w:szCs w:val="32"/>
        </w:rPr>
      </w:pPr>
      <w:r>
        <w:rPr>
          <w:rFonts w:eastAsia="仿宋_GB2312"/>
          <w:sz w:val="32"/>
          <w:szCs w:val="32"/>
        </w:rPr>
        <w:t>二、收入决算表</w:t>
      </w:r>
    </w:p>
    <w:p>
      <w:pPr>
        <w:widowControl/>
        <w:spacing w:line="580" w:lineRule="exact"/>
        <w:ind w:left="640" w:firstLineChars="200" w:firstLine="640"/>
        <w:rPr>
          <w:rFonts w:eastAsia="仿宋_GB2312"/>
          <w:sz w:val="32"/>
          <w:szCs w:val="32"/>
        </w:rPr>
      </w:pPr>
      <w:r>
        <w:rPr>
          <w:rFonts w:eastAsia="仿宋_GB2312"/>
          <w:sz w:val="32"/>
          <w:szCs w:val="32"/>
        </w:rPr>
        <w:t>三、支出决算表</w:t>
      </w:r>
    </w:p>
    <w:p>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“三公”经费</w:t>
      </w:r>
      <w:r>
        <w:rPr>
          <w:rFonts w:eastAsia="仿宋_GB2312" w:hint="eastAsia"/>
          <w:sz w:val="32"/>
          <w:szCs w:val="32"/>
        </w:rPr>
        <w:t>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pPr>
        <w:widowControl/>
        <w:spacing w:line="580" w:lineRule="exact"/>
        <w:ind w:firstLineChars="200" w:firstLine="640"/>
        <w:rPr>
          <w:rFonts w:eastAsia="黑体"/>
          <w:sz w:val="32"/>
          <w:szCs w:val="32"/>
        </w:rPr>
      </w:pPr>
    </w:p>
    <w:p>
      <w:pPr>
        <w:widowControl/>
        <w:spacing w:line="580" w:lineRule="exact"/>
        <w:ind w:firstLineChars="200" w:firstLine="640"/>
        <w:rPr>
          <w:rFonts w:eastAsia="黑体"/>
          <w:sz w:val="32"/>
          <w:szCs w:val="32"/>
        </w:rPr>
      </w:pPr>
      <w:r>
        <w:rPr>
          <w:rFonts w:eastAsia="黑体"/>
          <w:sz w:val="32"/>
          <w:szCs w:val="32"/>
        </w:rPr>
        <w:t>第三部分</w:t>
      </w:r>
      <w:r>
        <w:rPr>
          <w:rFonts w:eastAsia="黑体" w:hint="eastAsia"/>
          <w:sz w:val="32"/>
          <w:szCs w:val="32"/>
        </w:rPr>
        <w:t>权村镇人民政府</w:t>
      </w:r>
      <w:r>
        <w:rPr>
          <w:rFonts w:eastAsia="黑体"/>
          <w:sz w:val="32"/>
          <w:szCs w:val="32"/>
        </w:rPr>
        <w:t>部门201</w:t>
      </w:r>
      <w:r>
        <w:rPr>
          <w:rFonts w:eastAsia="黑体" w:hint="eastAsia"/>
          <w:sz w:val="32"/>
          <w:szCs w:val="32"/>
        </w:rPr>
        <w:t>8</w:t>
      </w:r>
      <w:r>
        <w:rPr>
          <w:rFonts w:eastAsia="黑体"/>
          <w:sz w:val="32"/>
          <w:szCs w:val="32"/>
        </w:rPr>
        <w:t>年部门决算情况说明</w:t>
      </w:r>
    </w:p>
    <w:p>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“三公”经费支出决算情况说明</w:t>
      </w:r>
    </w:p>
    <w:p>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pPr>
        <w:widowControl/>
        <w:spacing w:line="580" w:lineRule="exact"/>
        <w:ind w:firstLineChars="200" w:firstLine="640"/>
        <w:rPr>
          <w:rFonts w:eastAsia="黑体"/>
          <w:sz w:val="32"/>
          <w:szCs w:val="32"/>
        </w:rPr>
      </w:pPr>
      <w:r>
        <w:rPr>
          <w:rFonts w:eastAsia="黑体"/>
          <w:sz w:val="32"/>
          <w:szCs w:val="32"/>
        </w:rPr>
        <w:t>第四部分名词解释</w:t>
      </w:r>
    </w:p>
    <w:p>
      <w:pPr>
        <w:widowControl/>
        <w:spacing w:line="580" w:lineRule="exact"/>
        <w:ind w:firstLineChars="200" w:firstLine="640"/>
        <w:rPr>
          <w:rFonts w:eastAsia="黑体"/>
          <w:sz w:val="32"/>
          <w:szCs w:val="32"/>
        </w:rPr>
      </w:pPr>
    </w:p>
    <w:p>
      <w:pPr>
        <w:widowControl/>
        <w:spacing w:line="580" w:lineRule="exact"/>
        <w:ind w:firstLineChars="200" w:firstLine="640"/>
        <w:rPr>
          <w:rFonts w:eastAsia="黑体"/>
          <w:sz w:val="32"/>
          <w:szCs w:val="32"/>
        </w:rPr>
      </w:pPr>
    </w:p>
    <w:p>
      <w:pPr>
        <w:widowControl/>
        <w:spacing w:line="580" w:lineRule="exact"/>
        <w:ind w:firstLineChars="200" w:firstLine="640"/>
        <w:rPr>
          <w:rFonts w:eastAsia="黑体"/>
          <w:sz w:val="32"/>
          <w:szCs w:val="32"/>
        </w:rPr>
      </w:pPr>
    </w:p>
    <w:p>
      <w:pPr>
        <w:widowControl/>
        <w:spacing w:line="580" w:lineRule="exact"/>
        <w:ind w:firstLineChars="200" w:firstLine="640"/>
        <w:rPr>
          <w:rFonts w:eastAsia="黑体"/>
          <w:sz w:val="32"/>
          <w:szCs w:val="32"/>
        </w:rPr>
      </w:pPr>
    </w:p>
    <w:p>
      <w:r>
        <w:br w:type="page"/>
      </w:r>
    </w:p>
    <w:p/>
    <w:p/>
    <w:p/>
    <w:p/>
    <w:p/>
    <w:p/>
    <w:p>
      <w:pPr>
        <w:widowControl/>
        <w:jc w:val="center"/>
        <w:rPr>
          <w:color w:val="000000"/>
          <w:sz w:val="96"/>
          <w:szCs w:val="96"/>
        </w:rPr>
      </w:pPr>
      <w:r>
        <w:rPr>
          <w:rFonts w:ascii="黑体" w:eastAsia="黑体" w:hint="eastAsia"/>
          <w:color w:val="000000"/>
          <w:sz w:val="96"/>
          <w:szCs w:val="96"/>
        </w:rPr>
        <w:t>第一部分  部门概况</w:t>
      </w:r>
    </w:p>
    <w:p/>
    <w:p/>
    <w:p/>
    <w:p/>
    <w:p/>
    <w:p/>
    <w:p/>
    <w:p/>
    <w:p>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t>一、部门职责</w:t>
      </w:r>
    </w:p>
    <w:p>
      <w:pPr>
        <w:pStyle w:val="2"/>
        <w:spacing w:before="0" w:after="0" w:line="584" w:lineRule="exact"/>
        <w:ind w:firstLineChars="200" w:firstLine="640"/>
        <w:rPr>
          <w:rFonts w:ascii="Times New Roman" w:eastAsia="黑体" w:hAnsi="Times New Roman"/>
          <w:b w:val="0"/>
          <w:kern w:val="0"/>
        </w:rPr>
      </w:pPr>
      <w:r>
        <w:rPr>
          <w:rFonts w:ascii="Times New Roman" w:eastAsia="黑体" w:hAnsi="Times New Roman"/>
          <w:b w:val="0"/>
          <w:kern w:val="0"/>
        </w:rPr>
        <w:t>一、部门职责</w:t>
      </w:r>
    </w:p>
    <w:p>
      <w:pPr>
        <w:spacing w:line="566" w:lineRule="exact"/>
        <w:ind w:firstLine="560"/>
        <w:rPr>
          <w:rFonts w:ascii="仿宋_GB2312" w:eastAsia="仿宋_GB2312" w:cs="仿宋_GB2312" w:hint="eastAsia"/>
          <w:sz w:val="32"/>
          <w:szCs w:val="32"/>
        </w:rPr>
      </w:pPr>
      <w:r>
        <w:rPr>
          <w:rFonts w:ascii="仿宋_GB2312" w:eastAsia="仿宋_GB2312" w:cs="仿宋_GB2312" w:hint="eastAsia"/>
          <w:sz w:val="32"/>
          <w:szCs w:val="32"/>
        </w:rPr>
        <w:t>根据《大城县权村镇人民政府职能配置、内设机构和人员编制方案》规定，大城县权村镇人民政府的主要职责是：贯彻执行党的路线、方针、政策和国家法律法规，贯彻执行上级机关的决议、命令及同级党委的决定，执行乡镇人民代表大会的决议，负责辖区内行政执法工作，维护社会秩序，保护公民人身、民主、财产等合法权利，保护各种经济组织的合法权益。</w:t>
      </w:r>
    </w:p>
    <w:p>
      <w:pPr>
        <w:spacing w:line="566" w:lineRule="exact"/>
        <w:ind w:firstLine="560"/>
        <w:rPr>
          <w:rFonts w:ascii="仿宋_GB2312" w:eastAsia="仿宋_GB2312" w:cs="仿宋_GB2312" w:hint="eastAsia"/>
          <w:sz w:val="32"/>
          <w:szCs w:val="32"/>
        </w:rPr>
      </w:pPr>
      <w:r>
        <w:rPr>
          <w:rFonts w:ascii="仿宋_GB2312" w:eastAsia="仿宋_GB2312" w:cs="仿宋_GB2312" w:hint="eastAsia"/>
          <w:sz w:val="32"/>
          <w:szCs w:val="32"/>
        </w:rPr>
        <w:t>1、党委：负责贯彻、执行党的路线、方针、政策、法律、法规和上级党委、政府、镇党委的指示、决定、决议。</w:t>
      </w:r>
    </w:p>
    <w:p>
      <w:pPr>
        <w:spacing w:line="566" w:lineRule="exact"/>
        <w:ind w:firstLine="560"/>
        <w:rPr>
          <w:rFonts w:ascii="仿宋_GB2312" w:eastAsia="仿宋_GB2312" w:cs="仿宋_GB2312" w:hint="eastAsia"/>
          <w:sz w:val="32"/>
          <w:szCs w:val="32"/>
        </w:rPr>
      </w:pPr>
      <w:r>
        <w:rPr>
          <w:rFonts w:ascii="仿宋_GB2312" w:eastAsia="仿宋_GB2312" w:cs="仿宋_GB2312" w:hint="eastAsia"/>
          <w:sz w:val="32"/>
          <w:szCs w:val="32"/>
        </w:rPr>
        <w:t>2、政府：负责全镇的经济建设、计划统筹、人事劳动、财政、统计、乡镇企业管理、劳务管理和信访工作。</w:t>
      </w:r>
    </w:p>
    <w:p>
      <w:pPr>
        <w:spacing w:line="566" w:lineRule="exact"/>
        <w:ind w:firstLine="560"/>
        <w:rPr>
          <w:rFonts w:ascii="仿宋_GB2312" w:eastAsia="仿宋_GB2312" w:cs="仿宋_GB2312" w:hint="eastAsia"/>
          <w:sz w:val="32"/>
          <w:szCs w:val="32"/>
        </w:rPr>
      </w:pPr>
      <w:r>
        <w:rPr>
          <w:rFonts w:ascii="仿宋_GB2312" w:eastAsia="仿宋_GB2312" w:cs="仿宋_GB2312" w:hint="eastAsia"/>
          <w:sz w:val="32"/>
          <w:szCs w:val="32"/>
        </w:rPr>
        <w:t>3、人大：负责全镇人大各方面工作。</w:t>
      </w:r>
    </w:p>
    <w:p>
      <w:pPr>
        <w:spacing w:line="566" w:lineRule="exact"/>
        <w:ind w:firstLine="560"/>
        <w:rPr>
          <w:rFonts w:ascii="仿宋_GB2312" w:eastAsia="仿宋_GB2312" w:cs="仿宋_GB2312" w:hint="eastAsia"/>
          <w:sz w:val="32"/>
          <w:szCs w:val="32"/>
        </w:rPr>
      </w:pPr>
      <w:r>
        <w:rPr>
          <w:rFonts w:ascii="仿宋_GB2312" w:eastAsia="仿宋_GB2312" w:cs="仿宋_GB2312" w:hint="eastAsia"/>
          <w:sz w:val="32"/>
          <w:szCs w:val="32"/>
        </w:rPr>
        <w:t>4、财政：负责乡镇财政收支、预决算的编制执行、财政资金使用监管、国有资产管理工作、各项惠农补贴发放工作。</w:t>
      </w:r>
    </w:p>
    <w:p>
      <w:pPr>
        <w:spacing w:line="566" w:lineRule="exact"/>
        <w:ind w:firstLine="560"/>
        <w:rPr>
          <w:rFonts w:ascii="仿宋_GB2312" w:eastAsia="仿宋_GB2312" w:cs="仿宋_GB2312" w:hint="eastAsia"/>
          <w:sz w:val="32"/>
          <w:szCs w:val="32"/>
        </w:rPr>
      </w:pPr>
      <w:r>
        <w:rPr>
          <w:rFonts w:ascii="仿宋_GB2312" w:eastAsia="仿宋_GB2312" w:cs="仿宋_GB2312" w:hint="eastAsia"/>
          <w:sz w:val="32"/>
          <w:szCs w:val="32"/>
        </w:rPr>
        <w:t>5、计生：负责宣传贯彻上级关于人口和计划生育法律、法规、方针、政策；制定本乡镇人口发展的中长期规划和年度计划；负责辖区内常住、暂住、流动人口的计划生育行政管理；受理计划生育来信来访，查处违反计划生育政策的案件；监督指导计划生育服务中心的工作。</w:t>
      </w:r>
    </w:p>
    <w:p>
      <w:pPr>
        <w:spacing w:line="566" w:lineRule="exact"/>
        <w:ind w:firstLine="560"/>
        <w:rPr>
          <w:rFonts w:ascii="仿宋_GB2312" w:eastAsia="仿宋_GB2312" w:cs="仿宋_GB2312" w:hint="eastAsia"/>
          <w:sz w:val="32"/>
          <w:szCs w:val="32"/>
        </w:rPr>
      </w:pPr>
      <w:r>
        <w:rPr>
          <w:rFonts w:ascii="仿宋_GB2312" w:eastAsia="仿宋_GB2312" w:cs="仿宋_GB2312" w:hint="eastAsia"/>
          <w:sz w:val="32"/>
          <w:szCs w:val="32"/>
        </w:rPr>
        <w:t>6、农业：负责全镇的科学发展技术工作、农业综合开发工作、农村经济工作、林业工作。</w:t>
      </w:r>
    </w:p>
    <w:p>
      <w:pPr>
        <w:spacing w:line="566" w:lineRule="exact"/>
        <w:ind w:firstLineChars="200" w:firstLine="640"/>
        <w:rPr>
          <w:rFonts w:ascii="仿宋_GB2312" w:eastAsia="仿宋_GB2312" w:cs="仿宋_GB2312" w:hint="eastAsia"/>
          <w:sz w:val="32"/>
          <w:szCs w:val="32"/>
        </w:rPr>
      </w:pPr>
      <w:r>
        <w:rPr>
          <w:rFonts w:ascii="仿宋_GB2312" w:eastAsia="仿宋_GB2312" w:cs="仿宋_GB2312" w:hint="eastAsia"/>
          <w:color w:val="000000"/>
          <w:kern w:val="0"/>
          <w:sz w:val="32"/>
          <w:szCs w:val="32"/>
        </w:rPr>
        <w:t>7、城建：负责全镇城建各方面工作。</w:t>
      </w:r>
    </w:p>
    <w:p>
      <w:pPr>
        <w:spacing w:line="566" w:lineRule="exact"/>
        <w:ind w:firstLine="560"/>
        <w:rPr>
          <w:rFonts w:ascii="仿宋_GB2312" w:eastAsia="仿宋_GB2312" w:cs="仿宋_GB2312" w:hint="eastAsia"/>
          <w:sz w:val="32"/>
          <w:szCs w:val="32"/>
        </w:rPr>
      </w:pPr>
    </w:p>
    <w:p>
      <w:pPr>
        <w:pStyle w:val="1"/>
        <w:spacing w:before="0" w:after="0" w:line="600" w:lineRule="exact"/>
        <w:jc w:val="left"/>
        <w:rPr>
          <w:rFonts w:ascii="仿宋_GB2312" w:eastAsia="仿宋_GB2312" w:cs="仿宋_GB2312" w:hint="eastAsia"/>
          <w:b w:val="0"/>
          <w:bCs w:val="0"/>
          <w:kern w:val="0"/>
          <w:sz w:val="32"/>
          <w:szCs w:val="32"/>
        </w:rPr>
      </w:pPr>
      <w:r>
        <w:rPr>
          <w:rFonts w:ascii="仿宋_GB2312" w:eastAsia="仿宋_GB2312" w:cs="仿宋_GB2312" w:hint="eastAsia"/>
          <w:b w:val="0"/>
          <w:bCs w:val="0"/>
          <w:kern w:val="0"/>
          <w:sz w:val="32"/>
          <w:szCs w:val="32"/>
        </w:rPr>
        <w:t>二、机构设置</w:t>
      </w:r>
    </w:p>
    <w:p>
      <w:pPr>
        <w:spacing w:after="0" w:line="560" w:lineRule="exact"/>
        <w:rPr>
          <w:rFonts w:ascii="仿宋_GB2312" w:eastAsia="仿宋_GB2312" w:cs="仿宋_GB2312" w:hint="eastAsia"/>
          <w:kern w:val="0"/>
          <w:sz w:val="32"/>
          <w:szCs w:val="32"/>
        </w:rPr>
      </w:pPr>
      <w:r>
        <w:rPr>
          <w:rFonts w:ascii="仿宋_GB2312" w:eastAsia="仿宋_GB2312" w:cs="仿宋_GB2312" w:hint="eastAsia"/>
          <w:kern w:val="0"/>
          <w:sz w:val="32"/>
          <w:szCs w:val="32"/>
        </w:rPr>
        <w:t>从决算编报单位构成看，纳入2018 年度本部门决算汇编范围的独立核算单位（以下简称“单位”）共7个，具体情况如下：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85"/>
        <w:gridCol w:w="3485"/>
        <w:gridCol w:w="2445"/>
        <w:gridCol w:w="2665"/>
      </w:tblGrid>
      <w:tr>
        <w:trPr>
          <w:trHeight w:val="811"/>
        </w:trPr>
        <w:tc>
          <w:tcPr>
            <w:tcW w:w="985" w:type="dxa"/>
            <w:tcBorders>
              <w:tl2br w:val="nil"/>
              <w:tr2bl w:val="nil"/>
            </w:tcBorders>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485" w:type="dxa"/>
            <w:tcBorders>
              <w:tl2br w:val="nil"/>
              <w:tr2bl w:val="nil"/>
            </w:tcBorders>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tcBorders>
              <w:tl2br w:val="nil"/>
              <w:tr2bl w:val="nil"/>
            </w:tcBorders>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tcBorders>
              <w:tl2br w:val="nil"/>
              <w:tr2bl w:val="nil"/>
            </w:tcBorders>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trPr>
          <w:trHeight w:val="596"/>
        </w:trPr>
        <w:tc>
          <w:tcPr>
            <w:tcW w:w="985" w:type="dxa"/>
            <w:tcBorders>
              <w:tl2br w:val="nil"/>
              <w:tr2bl w:val="nil"/>
            </w:tcBorders>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3485" w:type="dxa"/>
            <w:tcBorders>
              <w:tl2br w:val="nil"/>
              <w:tr2bl w:val="nil"/>
            </w:tcBorders>
            <w:vAlign w:val="center"/>
          </w:tcPr>
          <w:p>
            <w:pPr>
              <w:spacing w:line="300" w:lineRule="exact"/>
              <w:jc w:val="left"/>
              <w:rPr>
                <w:rFonts w:ascii="仿宋_GB2312" w:eastAsia="仿宋_GB2312" w:cs="ArialUnicodeMS"/>
                <w:kern w:val="0"/>
                <w:sz w:val="24"/>
              </w:rPr>
            </w:pPr>
            <w:r>
              <w:rPr>
                <w:rFonts w:ascii="仿宋_GB2312" w:eastAsia="仿宋_GB2312" w:cs="仿宋_GB2312" w:hint="eastAsia"/>
                <w:sz w:val="28"/>
                <w:szCs w:val="28"/>
              </w:rPr>
              <w:t>权村镇党委</w:t>
            </w:r>
          </w:p>
        </w:tc>
        <w:tc>
          <w:tcPr>
            <w:tcW w:w="2445" w:type="dxa"/>
            <w:tcBorders>
              <w:tl2br w:val="nil"/>
              <w:tr2bl w:val="nil"/>
            </w:tcBorders>
            <w:vAlign w:val="center"/>
          </w:tcPr>
          <w:p>
            <w:pPr>
              <w:spacing w:line="300" w:lineRule="exact"/>
              <w:jc w:val="center"/>
              <w:rPr>
                <w:rFonts w:ascii="仿宋_GB2312" w:eastAsia="仿宋_GB2312" w:cs="ArialUnicodeMS"/>
                <w:kern w:val="0"/>
                <w:sz w:val="24"/>
              </w:rPr>
            </w:pPr>
            <w:r>
              <w:rPr>
                <w:rFonts w:ascii="仿宋_GB2312" w:eastAsia="仿宋_GB2312" w:cs="仿宋_GB2312" w:hint="eastAsia"/>
                <w:sz w:val="28"/>
                <w:szCs w:val="28"/>
              </w:rPr>
              <w:t>行政单位</w:t>
            </w:r>
          </w:p>
        </w:tc>
        <w:tc>
          <w:tcPr>
            <w:tcW w:w="2665" w:type="dxa"/>
            <w:tcBorders>
              <w:tl2br w:val="nil"/>
              <w:tr2bl w:val="nil"/>
            </w:tcBorders>
            <w:vAlign w:val="center"/>
          </w:tcPr>
          <w:p>
            <w:pPr>
              <w:spacing w:line="300" w:lineRule="exact"/>
              <w:jc w:val="center"/>
              <w:rPr>
                <w:rFonts w:ascii="仿宋_GB2312" w:eastAsia="仿宋_GB2312" w:cs="ArialUnicodeMS"/>
                <w:kern w:val="0"/>
                <w:sz w:val="24"/>
              </w:rPr>
            </w:pPr>
            <w:r>
              <w:rPr>
                <w:rFonts w:ascii="仿宋_GB2312" w:eastAsia="仿宋_GB2312" w:cs="仿宋_GB2312" w:hint="eastAsia"/>
                <w:sz w:val="28"/>
                <w:szCs w:val="28"/>
              </w:rPr>
              <w:t>财政拨款</w:t>
            </w:r>
          </w:p>
        </w:tc>
      </w:tr>
      <w:tr>
        <w:trPr>
          <w:trHeight w:val="596"/>
        </w:trPr>
        <w:tc>
          <w:tcPr>
            <w:tcW w:w="985" w:type="dxa"/>
            <w:tcBorders>
              <w:tl2br w:val="nil"/>
              <w:tr2bl w:val="nil"/>
            </w:tcBorders>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2</w:t>
            </w:r>
          </w:p>
        </w:tc>
        <w:tc>
          <w:tcPr>
            <w:tcW w:w="3485" w:type="dxa"/>
            <w:tcBorders>
              <w:tl2br w:val="nil"/>
              <w:tr2bl w:val="nil"/>
            </w:tcBorders>
            <w:vAlign w:val="center"/>
          </w:tcPr>
          <w:p>
            <w:pPr>
              <w:spacing w:line="300" w:lineRule="exact"/>
              <w:jc w:val="left"/>
              <w:rPr>
                <w:rFonts w:ascii="仿宋_GB2312" w:eastAsia="仿宋_GB2312" w:cs="ArialUnicodeMS"/>
                <w:kern w:val="0"/>
                <w:sz w:val="24"/>
              </w:rPr>
            </w:pPr>
            <w:r>
              <w:rPr>
                <w:rFonts w:ascii="仿宋_GB2312" w:eastAsia="仿宋_GB2312" w:cs="仿宋_GB2312" w:hint="eastAsia"/>
                <w:sz w:val="28"/>
                <w:szCs w:val="28"/>
              </w:rPr>
              <w:t>权村镇政府办</w:t>
            </w:r>
          </w:p>
        </w:tc>
        <w:tc>
          <w:tcPr>
            <w:tcW w:w="2445" w:type="dxa"/>
            <w:tcBorders>
              <w:tl2br w:val="nil"/>
              <w:tr2bl w:val="nil"/>
            </w:tcBorders>
            <w:vAlign w:val="center"/>
          </w:tcPr>
          <w:p>
            <w:pPr>
              <w:spacing w:line="300" w:lineRule="exact"/>
              <w:jc w:val="center"/>
              <w:rPr>
                <w:rFonts w:ascii="仿宋_GB2312" w:eastAsia="仿宋_GB2312" w:cs="ArialUnicodeMS"/>
                <w:kern w:val="0"/>
                <w:sz w:val="24"/>
              </w:rPr>
            </w:pPr>
            <w:r>
              <w:rPr>
                <w:rFonts w:ascii="仿宋_GB2312" w:eastAsia="仿宋_GB2312" w:cs="仿宋_GB2312" w:hint="eastAsia"/>
                <w:sz w:val="28"/>
                <w:szCs w:val="28"/>
              </w:rPr>
              <w:t>行政单位</w:t>
            </w:r>
          </w:p>
        </w:tc>
        <w:tc>
          <w:tcPr>
            <w:tcW w:w="2665" w:type="dxa"/>
            <w:tcBorders>
              <w:tl2br w:val="nil"/>
              <w:tr2bl w:val="nil"/>
            </w:tcBorders>
            <w:vAlign w:val="center"/>
          </w:tcPr>
          <w:p>
            <w:pPr>
              <w:spacing w:line="300" w:lineRule="exact"/>
              <w:jc w:val="center"/>
              <w:rPr>
                <w:rFonts w:ascii="仿宋_GB2312" w:eastAsia="仿宋_GB2312" w:cs="ArialUnicodeMS"/>
                <w:kern w:val="0"/>
                <w:sz w:val="24"/>
              </w:rPr>
            </w:pPr>
            <w:r>
              <w:rPr>
                <w:rFonts w:ascii="仿宋_GB2312" w:eastAsia="仿宋_GB2312" w:cs="仿宋_GB2312" w:hint="eastAsia"/>
                <w:sz w:val="28"/>
                <w:szCs w:val="28"/>
              </w:rPr>
              <w:t>财政拨款</w:t>
            </w:r>
          </w:p>
        </w:tc>
      </w:tr>
      <w:tr>
        <w:trPr>
          <w:trHeight w:val="596"/>
        </w:trPr>
        <w:tc>
          <w:tcPr>
            <w:tcW w:w="985" w:type="dxa"/>
            <w:tcBorders>
              <w:tl2br w:val="nil"/>
              <w:tr2bl w:val="nil"/>
            </w:tcBorders>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3</w:t>
            </w:r>
          </w:p>
        </w:tc>
        <w:tc>
          <w:tcPr>
            <w:tcW w:w="3485" w:type="dxa"/>
            <w:tcBorders>
              <w:tl2br w:val="nil"/>
              <w:tr2bl w:val="nil"/>
            </w:tcBorders>
            <w:vAlign w:val="center"/>
          </w:tcPr>
          <w:p>
            <w:pPr>
              <w:spacing w:line="300" w:lineRule="exact"/>
              <w:jc w:val="left"/>
              <w:rPr>
                <w:rFonts w:ascii="仿宋_GB2312" w:eastAsia="仿宋_GB2312" w:cs="ArialUnicodeMS"/>
                <w:kern w:val="0"/>
                <w:sz w:val="24"/>
              </w:rPr>
            </w:pPr>
            <w:r>
              <w:rPr>
                <w:rFonts w:ascii="仿宋_GB2312" w:eastAsia="仿宋_GB2312" w:cs="仿宋_GB2312" w:hint="eastAsia"/>
                <w:sz w:val="28"/>
                <w:szCs w:val="28"/>
              </w:rPr>
              <w:t>权村镇人大</w:t>
            </w:r>
          </w:p>
        </w:tc>
        <w:tc>
          <w:tcPr>
            <w:tcW w:w="2445" w:type="dxa"/>
            <w:tcBorders>
              <w:tl2br w:val="nil"/>
              <w:tr2bl w:val="nil"/>
            </w:tcBorders>
            <w:vAlign w:val="center"/>
          </w:tcPr>
          <w:p>
            <w:pPr>
              <w:spacing w:line="300" w:lineRule="exact"/>
              <w:jc w:val="center"/>
              <w:rPr>
                <w:rFonts w:ascii="仿宋_GB2312" w:eastAsia="仿宋_GB2312" w:cs="ArialUnicodeMS"/>
                <w:kern w:val="0"/>
                <w:sz w:val="24"/>
              </w:rPr>
            </w:pPr>
            <w:r>
              <w:rPr>
                <w:rFonts w:ascii="仿宋_GB2312" w:eastAsia="仿宋_GB2312" w:cs="仿宋_GB2312" w:hint="eastAsia"/>
                <w:sz w:val="28"/>
                <w:szCs w:val="28"/>
              </w:rPr>
              <w:t>行政单位</w:t>
            </w:r>
          </w:p>
        </w:tc>
        <w:tc>
          <w:tcPr>
            <w:tcW w:w="2665" w:type="dxa"/>
            <w:tcBorders>
              <w:tl2br w:val="nil"/>
              <w:tr2bl w:val="nil"/>
            </w:tcBorders>
            <w:vAlign w:val="center"/>
          </w:tcPr>
          <w:p>
            <w:pPr>
              <w:spacing w:line="300" w:lineRule="exact"/>
              <w:jc w:val="center"/>
              <w:rPr>
                <w:rFonts w:ascii="仿宋_GB2312" w:eastAsia="仿宋_GB2312" w:cs="ArialUnicodeMS"/>
                <w:kern w:val="0"/>
                <w:sz w:val="24"/>
              </w:rPr>
            </w:pPr>
            <w:r>
              <w:rPr>
                <w:rFonts w:ascii="仿宋_GB2312" w:eastAsia="仿宋_GB2312" w:cs="仿宋_GB2312" w:hint="eastAsia"/>
                <w:sz w:val="28"/>
                <w:szCs w:val="28"/>
              </w:rPr>
              <w:t>财政拨款</w:t>
            </w:r>
          </w:p>
        </w:tc>
      </w:tr>
      <w:tr>
        <w:trPr>
          <w:trHeight w:val="596"/>
        </w:trPr>
        <w:tc>
          <w:tcPr>
            <w:tcW w:w="985" w:type="dxa"/>
            <w:tcBorders>
              <w:tl2br w:val="nil"/>
              <w:tr2bl w:val="nil"/>
            </w:tcBorders>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4</w:t>
            </w:r>
          </w:p>
        </w:tc>
        <w:tc>
          <w:tcPr>
            <w:tcW w:w="3485" w:type="dxa"/>
            <w:tcBorders>
              <w:tl2br w:val="nil"/>
              <w:tr2bl w:val="nil"/>
            </w:tcBorders>
            <w:vAlign w:val="center"/>
          </w:tcPr>
          <w:p>
            <w:pPr>
              <w:spacing w:line="300" w:lineRule="exact"/>
              <w:jc w:val="left"/>
              <w:rPr>
                <w:rFonts w:ascii="仿宋_GB2312" w:eastAsia="仿宋_GB2312" w:cs="ArialUnicodeMS"/>
                <w:kern w:val="0"/>
                <w:sz w:val="24"/>
              </w:rPr>
            </w:pPr>
            <w:r>
              <w:rPr>
                <w:rFonts w:ascii="仿宋_GB2312" w:eastAsia="仿宋_GB2312" w:cs="仿宋_GB2312" w:hint="eastAsia"/>
                <w:sz w:val="28"/>
                <w:szCs w:val="28"/>
              </w:rPr>
              <w:t>权村镇财政所</w:t>
            </w:r>
          </w:p>
        </w:tc>
        <w:tc>
          <w:tcPr>
            <w:tcW w:w="2445" w:type="dxa"/>
            <w:tcBorders>
              <w:tl2br w:val="nil"/>
              <w:tr2bl w:val="nil"/>
            </w:tcBorders>
            <w:vAlign w:val="center"/>
          </w:tcPr>
          <w:p>
            <w:pPr>
              <w:spacing w:line="300" w:lineRule="exact"/>
              <w:jc w:val="center"/>
              <w:rPr>
                <w:rFonts w:ascii="仿宋_GB2312" w:eastAsia="仿宋_GB2312" w:cs="ArialUnicodeMS"/>
                <w:kern w:val="0"/>
                <w:sz w:val="24"/>
              </w:rPr>
            </w:pPr>
            <w:r>
              <w:rPr>
                <w:rFonts w:ascii="仿宋_GB2312" w:eastAsia="仿宋_GB2312" w:cs="仿宋_GB2312" w:hint="eastAsia"/>
                <w:sz w:val="28"/>
                <w:szCs w:val="28"/>
              </w:rPr>
              <w:t>参公事业单位</w:t>
            </w:r>
          </w:p>
        </w:tc>
        <w:tc>
          <w:tcPr>
            <w:tcW w:w="2665" w:type="dxa"/>
            <w:tcBorders>
              <w:tl2br w:val="nil"/>
              <w:tr2bl w:val="nil"/>
            </w:tcBorders>
            <w:vAlign w:val="center"/>
          </w:tcPr>
          <w:p>
            <w:pPr>
              <w:spacing w:line="300" w:lineRule="exact"/>
              <w:jc w:val="center"/>
              <w:rPr>
                <w:rFonts w:ascii="仿宋_GB2312" w:eastAsia="仿宋_GB2312" w:cs="ArialUnicodeMS"/>
                <w:kern w:val="0"/>
                <w:sz w:val="24"/>
              </w:rPr>
            </w:pPr>
            <w:r>
              <w:rPr>
                <w:rFonts w:ascii="仿宋_GB2312" w:eastAsia="仿宋_GB2312" w:cs="仿宋_GB2312" w:hint="eastAsia"/>
                <w:sz w:val="28"/>
                <w:szCs w:val="28"/>
              </w:rPr>
              <w:t>财政性资金基本保证</w:t>
            </w:r>
          </w:p>
        </w:tc>
      </w:tr>
      <w:tr>
        <w:trPr>
          <w:trHeight w:val="596"/>
        </w:trPr>
        <w:tc>
          <w:tcPr>
            <w:tcW w:w="985" w:type="dxa"/>
            <w:tcBorders>
              <w:tl2br w:val="nil"/>
              <w:tr2bl w:val="nil"/>
            </w:tcBorders>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5</w:t>
            </w:r>
          </w:p>
        </w:tc>
        <w:tc>
          <w:tcPr>
            <w:tcW w:w="3485" w:type="dxa"/>
            <w:tcBorders>
              <w:tl2br w:val="nil"/>
              <w:tr2bl w:val="nil"/>
            </w:tcBorders>
            <w:vAlign w:val="center"/>
          </w:tcPr>
          <w:p>
            <w:pPr>
              <w:spacing w:line="300" w:lineRule="exact"/>
              <w:jc w:val="left"/>
              <w:rPr>
                <w:rFonts w:ascii="仿宋_GB2312" w:eastAsia="仿宋_GB2312" w:cs="ArialUnicodeMS"/>
                <w:kern w:val="0"/>
                <w:sz w:val="24"/>
              </w:rPr>
            </w:pPr>
            <w:r>
              <w:rPr>
                <w:rFonts w:ascii="仿宋_GB2312" w:eastAsia="仿宋_GB2312" w:cs="仿宋_GB2312" w:hint="eastAsia"/>
                <w:sz w:val="28"/>
                <w:szCs w:val="28"/>
              </w:rPr>
              <w:t>权村镇计生</w:t>
            </w:r>
          </w:p>
        </w:tc>
        <w:tc>
          <w:tcPr>
            <w:tcW w:w="2445" w:type="dxa"/>
            <w:tcBorders>
              <w:tl2br w:val="nil"/>
              <w:tr2bl w:val="nil"/>
            </w:tcBorders>
            <w:vAlign w:val="center"/>
          </w:tcPr>
          <w:p>
            <w:pPr>
              <w:spacing w:line="300" w:lineRule="exact"/>
              <w:jc w:val="center"/>
              <w:rPr>
                <w:rFonts w:ascii="仿宋_GB2312" w:eastAsia="仿宋_GB2312" w:cs="ArialUnicodeMS"/>
                <w:kern w:val="0"/>
                <w:sz w:val="24"/>
              </w:rPr>
            </w:pPr>
            <w:r>
              <w:rPr>
                <w:rFonts w:ascii="仿宋_GB2312" w:eastAsia="仿宋_GB2312" w:cs="仿宋_GB2312" w:hint="eastAsia"/>
                <w:sz w:val="28"/>
                <w:szCs w:val="28"/>
              </w:rPr>
              <w:t>参公事业单位</w:t>
            </w:r>
          </w:p>
        </w:tc>
        <w:tc>
          <w:tcPr>
            <w:tcW w:w="2665" w:type="dxa"/>
            <w:tcBorders>
              <w:tl2br w:val="nil"/>
              <w:tr2bl w:val="nil"/>
            </w:tcBorders>
            <w:vAlign w:val="center"/>
          </w:tcPr>
          <w:p>
            <w:pPr>
              <w:spacing w:line="300" w:lineRule="exact"/>
              <w:jc w:val="center"/>
              <w:rPr>
                <w:rFonts w:ascii="仿宋_GB2312" w:eastAsia="仿宋_GB2312" w:cs="ArialUnicodeMS"/>
                <w:kern w:val="0"/>
                <w:sz w:val="24"/>
              </w:rPr>
            </w:pPr>
            <w:r>
              <w:rPr>
                <w:rFonts w:ascii="仿宋_GB2312" w:eastAsia="仿宋_GB2312" w:cs="仿宋_GB2312" w:hint="eastAsia"/>
                <w:sz w:val="28"/>
                <w:szCs w:val="28"/>
              </w:rPr>
              <w:t>财政性资金基本保证</w:t>
            </w:r>
          </w:p>
        </w:tc>
      </w:tr>
      <w:tr>
        <w:trPr>
          <w:trHeight w:val="596"/>
        </w:trPr>
        <w:tc>
          <w:tcPr>
            <w:tcW w:w="985" w:type="dxa"/>
            <w:tcBorders>
              <w:tl2br w:val="nil"/>
              <w:tr2bl w:val="nil"/>
            </w:tcBorders>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6</w:t>
            </w:r>
          </w:p>
        </w:tc>
        <w:tc>
          <w:tcPr>
            <w:tcW w:w="3485" w:type="dxa"/>
            <w:tcBorders>
              <w:tl2br w:val="nil"/>
              <w:tr2bl w:val="nil"/>
            </w:tcBorders>
            <w:vAlign w:val="center"/>
          </w:tcPr>
          <w:p>
            <w:pPr>
              <w:spacing w:line="300" w:lineRule="exact"/>
              <w:jc w:val="left"/>
              <w:rPr>
                <w:rFonts w:ascii="仿宋_GB2312" w:eastAsia="仿宋_GB2312" w:cs="ArialUnicodeMS"/>
                <w:kern w:val="0"/>
                <w:sz w:val="24"/>
              </w:rPr>
            </w:pPr>
            <w:r>
              <w:rPr>
                <w:rFonts w:ascii="仿宋_GB2312" w:eastAsia="仿宋_GB2312" w:cs="仿宋_GB2312" w:hint="eastAsia"/>
                <w:sz w:val="28"/>
                <w:szCs w:val="28"/>
              </w:rPr>
              <w:t>权村镇农业</w:t>
            </w:r>
          </w:p>
        </w:tc>
        <w:tc>
          <w:tcPr>
            <w:tcW w:w="2445" w:type="dxa"/>
            <w:tcBorders>
              <w:tl2br w:val="nil"/>
              <w:tr2bl w:val="nil"/>
            </w:tcBorders>
            <w:vAlign w:val="center"/>
          </w:tcPr>
          <w:p>
            <w:pPr>
              <w:spacing w:line="300" w:lineRule="exact"/>
              <w:jc w:val="center"/>
              <w:rPr>
                <w:rFonts w:ascii="仿宋_GB2312" w:eastAsia="仿宋_GB2312" w:cs="ArialUnicodeMS"/>
                <w:kern w:val="0"/>
                <w:sz w:val="24"/>
              </w:rPr>
            </w:pPr>
            <w:r>
              <w:rPr>
                <w:rFonts w:ascii="仿宋_GB2312" w:eastAsia="仿宋_GB2312" w:cs="仿宋_GB2312" w:hint="eastAsia"/>
                <w:sz w:val="28"/>
                <w:szCs w:val="28"/>
              </w:rPr>
              <w:t>参公事业单位</w:t>
            </w:r>
          </w:p>
        </w:tc>
        <w:tc>
          <w:tcPr>
            <w:tcW w:w="2665" w:type="dxa"/>
            <w:tcBorders>
              <w:tl2br w:val="nil"/>
              <w:tr2bl w:val="nil"/>
            </w:tcBorders>
            <w:vAlign w:val="center"/>
          </w:tcPr>
          <w:p>
            <w:pPr>
              <w:spacing w:line="300" w:lineRule="exact"/>
              <w:jc w:val="center"/>
              <w:rPr>
                <w:rFonts w:ascii="仿宋_GB2312" w:eastAsia="仿宋_GB2312" w:cs="ArialUnicodeMS"/>
                <w:kern w:val="0"/>
                <w:sz w:val="24"/>
              </w:rPr>
            </w:pPr>
            <w:r>
              <w:rPr>
                <w:rFonts w:ascii="仿宋_GB2312" w:eastAsia="仿宋_GB2312" w:cs="仿宋_GB2312" w:hint="eastAsia"/>
                <w:sz w:val="28"/>
                <w:szCs w:val="28"/>
              </w:rPr>
              <w:t>财政性资金基本保证</w:t>
            </w:r>
          </w:p>
        </w:tc>
      </w:tr>
      <w:tr>
        <w:trPr>
          <w:trHeight w:val="606"/>
        </w:trPr>
        <w:tc>
          <w:tcPr>
            <w:tcW w:w="985" w:type="dxa"/>
            <w:tcBorders>
              <w:bottom w:val="single" w:sz="4" w:space="0" w:color="auto"/>
              <w:tl2br w:val="nil"/>
              <w:tr2bl w:val="nil"/>
            </w:tcBorders>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7</w:t>
            </w:r>
          </w:p>
        </w:tc>
        <w:tc>
          <w:tcPr>
            <w:tcW w:w="3485" w:type="dxa"/>
            <w:tcBorders>
              <w:bottom w:val="single" w:sz="4" w:space="0" w:color="auto"/>
              <w:tl2br w:val="nil"/>
              <w:tr2bl w:val="nil"/>
            </w:tcBorders>
            <w:vAlign w:val="center"/>
          </w:tcPr>
          <w:p>
            <w:pPr>
              <w:spacing w:line="300" w:lineRule="exact"/>
              <w:jc w:val="left"/>
              <w:rPr>
                <w:rFonts w:ascii="仿宋_GB2312" w:eastAsia="仿宋_GB2312" w:cs="ArialUnicodeMS"/>
                <w:kern w:val="0"/>
                <w:sz w:val="24"/>
              </w:rPr>
            </w:pPr>
            <w:r>
              <w:rPr>
                <w:rFonts w:ascii="仿宋_GB2312" w:eastAsia="仿宋_GB2312" w:cs="仿宋_GB2312" w:hint="eastAsia"/>
                <w:sz w:val="28"/>
                <w:szCs w:val="28"/>
              </w:rPr>
              <w:t>权村镇城建</w:t>
            </w:r>
          </w:p>
        </w:tc>
        <w:tc>
          <w:tcPr>
            <w:tcW w:w="2445" w:type="dxa"/>
            <w:tcBorders>
              <w:bottom w:val="single" w:sz="4" w:space="0" w:color="auto"/>
              <w:tl2br w:val="nil"/>
              <w:tr2bl w:val="nil"/>
            </w:tcBorders>
            <w:vAlign w:val="center"/>
          </w:tcPr>
          <w:p>
            <w:pPr>
              <w:spacing w:line="300" w:lineRule="exact"/>
              <w:jc w:val="center"/>
              <w:rPr>
                <w:rFonts w:ascii="仿宋_GB2312" w:eastAsia="仿宋_GB2312" w:cs="ArialUnicodeMS"/>
                <w:kern w:val="0"/>
                <w:sz w:val="24"/>
              </w:rPr>
            </w:pPr>
            <w:r>
              <w:rPr>
                <w:rFonts w:ascii="仿宋_GB2312" w:eastAsia="仿宋_GB2312" w:cs="仿宋_GB2312" w:hint="eastAsia"/>
                <w:sz w:val="28"/>
                <w:szCs w:val="28"/>
              </w:rPr>
              <w:t>参公事业单位</w:t>
            </w:r>
          </w:p>
        </w:tc>
        <w:tc>
          <w:tcPr>
            <w:tcW w:w="2665" w:type="dxa"/>
            <w:tcBorders>
              <w:bottom w:val="single" w:sz="4" w:space="0" w:color="auto"/>
              <w:tl2br w:val="nil"/>
              <w:tr2bl w:val="nil"/>
            </w:tcBorders>
            <w:vAlign w:val="center"/>
          </w:tcPr>
          <w:p>
            <w:pPr>
              <w:spacing w:line="300" w:lineRule="exact"/>
              <w:jc w:val="center"/>
              <w:rPr>
                <w:rFonts w:ascii="仿宋_GB2312" w:eastAsia="仿宋_GB2312" w:cs="ArialUnicodeMS"/>
                <w:kern w:val="0"/>
                <w:sz w:val="24"/>
              </w:rPr>
            </w:pPr>
            <w:r>
              <w:rPr>
                <w:rFonts w:ascii="仿宋_GB2312" w:eastAsia="仿宋_GB2312" w:cs="仿宋_GB2312" w:hint="eastAsia"/>
                <w:sz w:val="28"/>
                <w:szCs w:val="28"/>
              </w:rPr>
              <w:t>财政性资金基本保证财政拨款</w:t>
            </w:r>
          </w:p>
        </w:tc>
      </w:tr>
      <w:tr>
        <w:trPr>
          <w:trHeight w:val="606"/>
        </w:trPr>
        <w:tc>
          <w:tcPr>
            <w:tcW w:w="9580" w:type="dxa"/>
            <w:gridSpan w:val="4"/>
            <w:tcBorders>
              <w:top w:val="single" w:sz="4" w:space="0" w:color="auto"/>
              <w:left w:val="nil"/>
              <w:bottom w:val="nil"/>
              <w:right w:val="nil"/>
              <w:tl2br w:val="nil"/>
              <w:tr2bl w:val="nil"/>
            </w:tcBorders>
          </w:tcPr>
          <w:p>
            <w:pPr>
              <w:spacing w:after="0" w:line="560" w:lineRule="exact"/>
              <w:jc w:val="left"/>
              <w:rPr>
                <w:rFonts w:ascii="仿宋_GB2312" w:eastAsia="仿宋_GB2312" w:cs="ArialUnicodeMS"/>
                <w:kern w:val="0"/>
                <w:sz w:val="28"/>
                <w:szCs w:val="28"/>
              </w:rPr>
            </w:pPr>
          </w:p>
        </w:tc>
      </w:tr>
    </w:tbl>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pgNumType/>
          <w:docGrid w:type="lines" w:linePitch="312" w:charSpace="0"/>
        </w:sectPr>
      </w:pPr>
    </w:p>
    <w:p>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pPr>
        <w:widowControl/>
        <w:spacing w:line="1200" w:lineRule="exact"/>
        <w:jc w:val="center"/>
        <w:rPr>
          <w:rFonts w:ascii="黑体" w:eastAsia="黑体"/>
          <w:color w:val="000000"/>
          <w:sz w:val="72"/>
          <w:szCs w:val="96"/>
        </w:rPr>
      </w:pPr>
      <w:r>
        <w:rPr>
          <w:rFonts w:ascii="黑体" w:eastAsia="黑体" w:hint="eastAsia"/>
          <w:color w:val="000000"/>
          <w:sz w:val="72"/>
          <w:szCs w:val="96"/>
        </w:rPr>
        <w:t>2018年度部门决算报表</w:t>
      </w:r>
    </w:p>
    <w:p>
      <w:pPr>
        <w:widowControl/>
        <w:spacing w:line="1200" w:lineRule="exact"/>
        <w:jc w:val="center"/>
        <w:rPr>
          <w:rFonts w:eastAsia="黑体"/>
        </w:rPr>
      </w:pPr>
      <w:r>
        <w:rPr>
          <w:rFonts w:ascii="黑体" w:eastAsia="黑体" w:hint="eastAsia"/>
          <w:color w:val="000000"/>
          <w:sz w:val="72"/>
          <w:szCs w:val="96"/>
        </w:rPr>
        <w:t>（见附表）</w:t>
      </w:r>
    </w:p>
    <w:p/>
    <w:p/>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pgNumType/>
          <w:docGrid w:type="lines" w:linePitch="312" w:charSpace="0"/>
        </w:sectPr>
      </w:pPr>
    </w:p>
    <w:p>
      <w:pPr>
        <w:widowControl/>
        <w:spacing w:line="1200" w:lineRule="exact"/>
        <w:jc w:val="center"/>
        <w:rPr>
          <w:rFonts w:ascii="黑体" w:eastAsia="黑体"/>
          <w:color w:val="000000"/>
          <w:sz w:val="96"/>
          <w:szCs w:val="96"/>
        </w:rPr>
      </w:pPr>
      <w:r>
        <w:rPr>
          <w:rFonts w:ascii="黑体" w:eastAsia="黑体" w:hint="eastAsia"/>
          <w:color w:val="000000"/>
          <w:sz w:val="96"/>
          <w:szCs w:val="96"/>
        </w:rPr>
        <w:t>第三部分</w:t>
      </w:r>
    </w:p>
    <w:p>
      <w:pPr>
        <w:widowControl/>
        <w:spacing w:line="1200" w:lineRule="exact"/>
        <w:jc w:val="center"/>
        <w:rPr>
          <w:color w:val="000000"/>
          <w:sz w:val="96"/>
          <w:szCs w:val="96"/>
        </w:rPr>
      </w:pPr>
      <w:r>
        <w:rPr>
          <w:rFonts w:ascii="黑体" w:eastAsia="黑体" w:hint="eastAsia"/>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pgNumType/>
          <w:docGrid w:type="lines" w:linePitch="312" w:charSpace="0"/>
        </w:sectPr>
      </w:pPr>
    </w:p>
    <w:p>
      <w:pPr>
        <w:pStyle w:val="2"/>
        <w:spacing w:before="0" w:after="0" w:line="580" w:lineRule="exact"/>
        <w:ind w:firstLineChars="200" w:firstLine="640"/>
        <w:rPr>
          <w:rFonts w:ascii="黑体" w:eastAsia="黑体"/>
          <w:b w:val="0"/>
          <w:bCs w:val="0"/>
        </w:rPr>
      </w:pPr>
      <w:r>
        <w:rPr>
          <w:rFonts w:ascii="黑体" w:eastAsia="黑体" w:hint="eastAsia"/>
          <w:b w:val="0"/>
          <w:bCs w:val="0"/>
        </w:rPr>
        <w:t>一、收入</w:t>
      </w:r>
      <w:r>
        <w:rPr>
          <w:rFonts w:ascii="黑体" w:eastAsia="黑体" w:cs="黑体" w:hint="eastAsia"/>
          <w:b w:val="0"/>
          <w:bCs w:val="0"/>
          <w:kern w:val="0"/>
        </w:rPr>
        <w:t>支出</w:t>
      </w:r>
      <w:r>
        <w:rPr>
          <w:rFonts w:ascii="黑体" w:eastAsia="黑体" w:hint="eastAsia"/>
          <w:b w:val="0"/>
          <w:bCs w:val="0"/>
        </w:rPr>
        <w:t>决算总体情况说明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本部门2018年度收支总计（含结转和结余）1206.08万元。与2017年度决算相比，收支各减少122.</w:t>
      </w:r>
      <w:r>
        <w:rPr>
          <w:rFonts w:ascii="仿宋_GB2312" w:eastAsia="仿宋_GB2312" w:cs="DengXian-Regular" w:hint="eastAsia"/>
          <w:sz w:val="32"/>
          <w:szCs w:val="32"/>
          <w:lang w:val="en-US" w:eastAsia="zh-CN"/>
        </w:rPr>
        <w:t>9</w:t>
      </w:r>
      <w:r>
        <w:rPr>
          <w:rFonts w:ascii="仿宋_GB2312" w:eastAsia="仿宋_GB2312" w:cs="DengXian-Regular" w:hint="eastAsia"/>
          <w:sz w:val="32"/>
          <w:szCs w:val="32"/>
        </w:rPr>
        <w:t>万元，下降0.92%，主要是美丽乡村建设、农村保洁员工资、一事一议资金、渗坑治理项目减少。</w:t>
      </w:r>
    </w:p>
    <w:p>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本部门2018年度本年收入合计1206.08万元，其中：财政拨款收入1206.08万元，占100%；事业收入0万元，占0%；经营收入0万元，占0%；其他收入0万元，占0%。如图所示：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jc w:val="center"/>
      </w:pPr>
      <w:r>
        <w:rPr>
          <w:rFonts w:eastAsia="仿宋_GB2312" w:hint="eastAsia"/>
          <w:sz w:val="32"/>
          <w:szCs w:val="32"/>
        </w:rPr>
        <w:object>
          <v:shapetype id="_x0000_t75" coordsize="21600,2160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type="#_x0000_t75" filled="f" stroked="f" style="width:375.0pt;height:135.0pt;" o:ole="">
            <v:stroke color="#000000"/>
            <v:imagedata r:id="rId2" o:title="1821521368"/>
            <o:lock aspectratio="t"/>
          </v:shape>
          <o:OLEObject Type="Embed" ProgID="Package" ShapeID="_x0000_i1" DrawAspect="Content" ObjectID="_1393063351" r:id="rId3"/>
        </w:object>
      </w:r>
    </w:p>
    <w:p>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本部门2018年度本年支出合计1206.08万元，其中：基本支出699.28万元，占57.98%；项目支出506.8万元，占42.02%；经营支出0万元，占0%。如图所示：</w:t>
      </w:r>
    </w:p>
    <w:p>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t>图2：支出决算结构饼状图</w:t>
      </w:r>
    </w:p>
    <w:p>
      <w:pPr>
        <w:adjustRightInd w:val="0"/>
        <w:snapToGrid w:val="0"/>
        <w:spacing w:after="0" w:line="580" w:lineRule="exact"/>
        <w:ind w:firstLineChars="200" w:firstLine="640"/>
        <w:rPr>
          <w:rFonts w:ascii="仿宋_GB2312" w:eastAsia="仿宋_GB2312" w:cs="DengXian-Regular"/>
          <w:sz w:val="32"/>
          <w:szCs w:val="32"/>
        </w:rPr>
      </w:pPr>
    </w:p>
    <w:p>
      <w:pPr>
        <w:adjustRightInd w:val="0"/>
        <w:snapToGrid w:val="0"/>
        <w:spacing w:after="0" w:line="580" w:lineRule="exact"/>
        <w:ind w:firstLineChars="200" w:firstLine="640"/>
        <w:rPr>
          <w:rFonts w:ascii="黑体" w:eastAsia="黑体"/>
        </w:rPr>
      </w:pPr>
      <w:r>
        <w:rPr>
          <w:rFonts w:eastAsia="仿宋_GB2312" w:hint="eastAsia"/>
          <w:sz w:val="32"/>
          <w:szCs w:val="32"/>
        </w:rPr>
        <w:object>
          <v:shape id="_x0000_i2" type="#_x0000_t75" filled="f" stroked="f" style="position:absolute;margin-left:53.35pt;margin-top:-81.65pt;width:339.0pt;height:153.0pt;z-index:18;mso-position-horizontal:absolute;mso-position-vertical:absolute;" o:ole="">
            <v:stroke color="#000000"/>
            <v:imagedata r:id="rId4" o:title="533466064"/>
            <o:lock aspectratio="t"/>
            <w10:wrap type="topAndBottom"/>
          </v:shape>
          <o:OLEObject Type="Embed" ProgID="Package" ShapeID="_x0000_i2" DrawAspect="Content" ObjectID="_1393063352" r:id="rId5"/>
        </w:object>
      </w:r>
    </w:p>
    <w:p>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pPr>
        <w:spacing w:after="0"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w:t>
      </w:r>
      <w:r>
        <w:rPr>
          <w:rFonts w:ascii="仿宋_GB2312" w:eastAsia="仿宋_GB2312" w:cs="DengXian-Regular" w:hint="eastAsia"/>
          <w:sz w:val="32"/>
          <w:szCs w:val="32"/>
          <w:lang w:eastAsia="zh-CN"/>
        </w:rPr>
        <w:t>本年收入</w:t>
      </w:r>
      <w:r>
        <w:rPr>
          <w:rFonts w:ascii="仿宋_GB2312" w:eastAsia="仿宋_GB2312" w:cs="DengXian-Regular" w:hint="eastAsia"/>
          <w:sz w:val="32"/>
          <w:szCs w:val="32"/>
        </w:rPr>
        <w:t>1206.08</w:t>
      </w:r>
      <w:r>
        <w:rPr>
          <w:rFonts w:ascii="仿宋_GB2312" w:eastAsia="仿宋_GB2312" w:cs="DengXian-Regular" w:hint="eastAsia"/>
          <w:sz w:val="32"/>
          <w:szCs w:val="32"/>
          <w:lang w:eastAsia="zh-CN"/>
        </w:rPr>
        <w:t>万元，</w:t>
      </w:r>
      <w:r>
        <w:rPr>
          <w:rFonts w:ascii="仿宋_GB2312" w:eastAsia="仿宋_GB2312" w:cs="DengXian-Regular" w:hint="eastAsia"/>
          <w:sz w:val="32"/>
          <w:szCs w:val="32"/>
        </w:rPr>
        <w:t>比2017年度减少122.9万元，降低0.92%，主要是美丽乡村建设、农村保洁员工资、一事一议资金、渗坑治理项目减少；本年支出1206.08万元，减少122.9万元，降低0.92%，主要是美丽乡村建设、农村保洁员工资、一事一议资金、渗坑治理项目减少。</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1166.08万元，比2017年度减少162.9万元；主要是美丽乡村建设、农村保洁员工资、一事一议资金、渗坑治理项目减少；本年支出1166.08万元，比2017年度减少162.9万元，降低12.25%，主要是美丽乡村建设、农村保洁员工资、一事一议资金、渗坑治理项目减少。</w:t>
      </w:r>
      <w:r>
        <w:rPr>
          <w:rFonts w:ascii="仿宋_GB2312" w:eastAsia="仿宋_GB2312" w:cs="DengXian-Regular" w:hint="eastAsia"/>
          <w:sz w:val="32"/>
          <w:szCs w:val="32"/>
          <w:highlight w:val="auto"/>
        </w:rPr>
        <w:t>政府性基金预算财政拨款本年收入40万元，比2017年度增加40</w:t>
      </w:r>
      <w:r>
        <w:rPr>
          <w:rFonts w:ascii="仿宋_GB2312" w:eastAsia="仿宋_GB2312" w:cs="DengXian-Regular" w:hint="eastAsia"/>
          <w:sz w:val="32"/>
          <w:szCs w:val="32"/>
        </w:rPr>
        <w:t>万元，增长100%，主要是对村街补助、农村环境治理项目增加；本年支出40万元，比2017年度增加40万元，增长100%，主要是对村街补助、农村环境治理项目增加。</w:t>
      </w:r>
    </w:p>
    <w:p>
      <w:pPr>
        <w:adjustRightInd w:val="0"/>
        <w:snapToGrid w:val="0"/>
        <w:spacing w:after="0" w:line="580" w:lineRule="exact"/>
        <w:jc w:val="center"/>
        <w:rPr>
          <w:rFonts w:ascii="仿宋_GB2312" w:eastAsia="仿宋_GB2312" w:cs="DengXian-Regular"/>
          <w:sz w:val="32"/>
          <w:szCs w:val="32"/>
        </w:rPr>
      </w:pPr>
      <w:r>
        <w:rPr>
          <w:rFonts w:eastAsia="仿宋_GB2312" w:hint="eastAsia"/>
          <w:sz w:val="32"/>
          <w:szCs w:val="32"/>
        </w:rPr>
        <w:t>图3：财政拨款收支情况</w:t>
      </w:r>
    </w:p>
    <w:p>
      <w:pPr>
        <w:adjustRightInd w:val="0"/>
        <w:snapToGrid w:val="0"/>
        <w:spacing w:after="0" w:line="580" w:lineRule="exact"/>
        <w:rPr>
          <w:rFonts w:ascii="仿宋_GB2312" w:eastAsia="仿宋_GB2312" w:cs="DengXian-Regular" w:hint="eastAsia"/>
          <w:sz w:val="32"/>
          <w:szCs w:val="32"/>
        </w:rPr>
      </w:pPr>
      <w:r>
        <w:rPr>
          <w:position w:val="-10"/>
        </w:rPr>
        <w:drawing>
          <wp:anchor distT="0" distB="0" distL="114300" distR="114300" simplePos="0" relativeHeight="20" behindDoc="0" locked="0" layoutInCell="1" hidden="0" allowOverlap="1">
            <wp:simplePos x="0" y="0"/>
            <wp:positionH relativeFrom="column">
              <wp:posOffset>404495</wp:posOffset>
            </wp:positionH>
            <wp:positionV relativeFrom="paragraph">
              <wp:posOffset>112395</wp:posOffset>
            </wp:positionV>
            <wp:extent cx="4591050" cy="2762250"/>
            <wp:effectExtent l="0" t="0" r="0" b="0"/>
            <wp:wrapSquare wrapText="bothSides"/>
            <wp:docPr id="5" name="图表 1"/>
            <wp:cNvGraphicFramePr>
              <a:graphicFrameLocks noChangeAspect="1"/>
            </wp:cNvGraphicFramePr>
            <a:graphic>
              <a:graphicData uri="http://schemas.openxmlformats.org/drawingml/2006/picture">
                <pic:pic>
                  <pic:nvPicPr>
                    <pic:cNvPr id="7" name="图表 1 7"/>
                    <pic:cNvPicPr/>
                  </pic:nvPicPr>
                  <pic:blipFill>
                    <a:blip r:embed="rId6"/>
                    <a:stretch>
                      <a:fillRect/>
                    </a:stretch>
                  </pic:blipFill>
                  <pic:spPr>
                    <a:xfrm rot="0">
                      <a:off x="0" y="0"/>
                      <a:ext cx="4591050" cy="2762250"/>
                    </a:xfrm>
                    <a:prstGeom prst="rect"/>
                    <a:noFill/>
                    <a:ln w="9525" cmpd="sng" cap="flat">
                      <a:noFill/>
                      <a:prstDash val="solid"/>
                      <a:miter/>
                    </a:ln>
                  </pic:spPr>
                </pic:pic>
              </a:graphicData>
            </a:graphic>
          </wp:anchor>
        </w:drawing>
      </w:r>
    </w:p>
    <w:p>
      <w:pPr>
        <w:adjustRightInd w:val="0"/>
        <w:snapToGrid w:val="0"/>
        <w:spacing w:after="0" w:line="580" w:lineRule="exact"/>
        <w:ind w:firstLineChars="200" w:firstLine="640"/>
        <w:rPr>
          <w:rFonts w:ascii="仿宋_GB2312" w:eastAsia="仿宋_GB2312" w:cs="DengXian-Regular"/>
          <w:sz w:val="32"/>
          <w:szCs w:val="32"/>
        </w:rPr>
      </w:pPr>
    </w:p>
    <w:p>
      <w:pPr>
        <w:spacing w:after="0" w:line="580" w:lineRule="exact"/>
        <w:ind w:firstLineChars="200" w:firstLine="640"/>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w:t>
      </w:r>
      <w:r>
        <w:rPr>
          <w:rFonts w:ascii="仿宋_GB2312" w:eastAsia="仿宋_GB2312" w:cs="DengXian-Regular" w:hint="eastAsia"/>
          <w:color w:val="auto"/>
          <w:sz w:val="32"/>
          <w:szCs w:val="32"/>
          <w:shd w:val="clear" w:color="auto" w:fill="auto"/>
          <w:highlight w:val="auto"/>
        </w:rPr>
        <w:t>财政拨款</w:t>
      </w:r>
      <w:r>
        <w:rPr>
          <w:rFonts w:ascii="仿宋_GB2312" w:eastAsia="仿宋_GB2312" w:cs="DengXian-Regular" w:hint="eastAsia"/>
          <w:color w:val="auto"/>
          <w:sz w:val="32"/>
          <w:szCs w:val="32"/>
          <w:shd w:val="clear" w:color="auto" w:fill="auto"/>
          <w:lang w:eastAsia="zh-CN"/>
          <w:highlight w:val="auto"/>
        </w:rPr>
        <w:t>本年</w:t>
      </w:r>
      <w:r>
        <w:rPr>
          <w:rFonts w:ascii="仿宋_GB2312" w:eastAsia="仿宋_GB2312" w:cs="DengXian-Regular" w:hint="eastAsia"/>
          <w:color w:val="auto"/>
          <w:sz w:val="32"/>
          <w:szCs w:val="32"/>
          <w:shd w:val="clear" w:color="auto" w:fill="auto"/>
          <w:highlight w:val="auto"/>
        </w:rPr>
        <w:t>收入</w:t>
      </w:r>
      <w:r>
        <w:rPr>
          <w:rFonts w:ascii="仿宋_GB2312" w:eastAsia="仿宋_GB2312" w:cs="DengXian-Regular" w:hint="eastAsia"/>
          <w:sz w:val="32"/>
          <w:szCs w:val="32"/>
          <w:highlight w:val="auto"/>
        </w:rPr>
        <w:t>1</w:t>
      </w:r>
      <w:r>
        <w:rPr>
          <w:rFonts w:ascii="仿宋_GB2312" w:eastAsia="仿宋_GB2312" w:cs="DengXian-Regular" w:hint="eastAsia"/>
          <w:sz w:val="32"/>
          <w:szCs w:val="32"/>
        </w:rPr>
        <w:t>206.08万元，完成年初预算的162.4%,比年初预算增加463.42万元，决算数大于预算数主要是人员经费、环境治理、信访维稳、对村街的补助项目增加；本年支出1206.08万元，完成年初预算的162.4%,比年初预算增加463.42万元，决算数大于预算数主要是人员经费、环境治理、信访维稳、对村街的补助项目增加。</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1166.08万元，完成年初预算165.95%，比年初预算增加463.42万元，决算数大于预算数主要是人员经费、环境治理、信访维稳、对村街的补助项目增加；支出完成年初预算165.95%%，比年初预算增加463.42万元，决算数大于预算数主要是人员经费、环境治理、信访维稳、对村街的补助项目增加。</w:t>
      </w:r>
      <w:r>
        <w:rPr>
          <w:rFonts w:ascii="仿宋_GB2312" w:eastAsia="仿宋_GB2312" w:cs="DengXian-Regular" w:hint="eastAsia"/>
          <w:sz w:val="32"/>
          <w:szCs w:val="32"/>
          <w:highlight w:val="auto"/>
        </w:rPr>
        <w:t>政府性基金预算财政拨款本</w:t>
      </w:r>
      <w:r>
        <w:rPr>
          <w:rFonts w:ascii="仿宋_GB2312" w:eastAsia="仿宋_GB2312" w:cs="DengXian-Regular" w:hint="eastAsia"/>
          <w:sz w:val="32"/>
          <w:szCs w:val="32"/>
        </w:rPr>
        <w:t>年收入完成年初预算100%，比年初预算增加</w:t>
      </w:r>
      <w:r>
        <w:rPr>
          <w:rFonts w:ascii="仿宋_GB2312" w:eastAsia="仿宋_GB2312" w:cs="DengXian-Regular" w:hint="eastAsia"/>
          <w:sz w:val="32"/>
          <w:szCs w:val="32"/>
          <w:lang w:val="en-US" w:eastAsia="zh-CN"/>
        </w:rPr>
        <w:t>40</w:t>
      </w:r>
      <w:r>
        <w:rPr>
          <w:rFonts w:ascii="仿宋_GB2312" w:eastAsia="仿宋_GB2312" w:cs="DengXian-Regular" w:hint="eastAsia"/>
          <w:sz w:val="32"/>
          <w:szCs w:val="32"/>
        </w:rPr>
        <w:t>万元，决算数大于预算数</w:t>
      </w:r>
      <w:r>
        <w:rPr>
          <w:rFonts w:ascii="仿宋_GB2312" w:eastAsia="仿宋_GB2312" w:cs="DengXian-Regular" w:hint="eastAsia"/>
          <w:sz w:val="32"/>
          <w:szCs w:val="32"/>
          <w:lang w:val="en-US" w:eastAsia="zh-CN"/>
        </w:rPr>
        <w:t>主要是</w:t>
      </w:r>
      <w:r>
        <w:rPr>
          <w:rFonts w:ascii="仿宋_GB2312" w:eastAsia="仿宋_GB2312" w:cs="DengXian-Regular" w:hint="eastAsia"/>
          <w:sz w:val="32"/>
          <w:szCs w:val="32"/>
        </w:rPr>
        <w:t>对村街补助、农村环境治理项目增加；支出完成年初预算100%，比年初预算增加</w:t>
      </w:r>
      <w:r>
        <w:rPr>
          <w:rFonts w:ascii="仿宋_GB2312" w:eastAsia="仿宋_GB2312" w:cs="DengXian-Regular" w:hint="eastAsia"/>
          <w:sz w:val="32"/>
          <w:szCs w:val="32"/>
          <w:lang w:val="en-US" w:eastAsia="zh-CN"/>
        </w:rPr>
        <w:t>40</w:t>
      </w:r>
      <w:r>
        <w:rPr>
          <w:rFonts w:ascii="仿宋_GB2312" w:eastAsia="仿宋_GB2312" w:cs="DengXian-Regular" w:hint="eastAsia"/>
          <w:sz w:val="32"/>
          <w:szCs w:val="32"/>
        </w:rPr>
        <w:t>万元，决算数大于预算数</w:t>
      </w:r>
      <w:r>
        <w:rPr>
          <w:rFonts w:ascii="仿宋_GB2312" w:eastAsia="仿宋_GB2312" w:cs="DengXian-Regular" w:hint="eastAsia"/>
          <w:sz w:val="32"/>
          <w:szCs w:val="32"/>
          <w:lang w:val="en-US" w:eastAsia="zh-CN"/>
        </w:rPr>
        <w:t>主要是</w:t>
      </w:r>
      <w:r>
        <w:rPr>
          <w:rFonts w:ascii="仿宋_GB2312" w:eastAsia="仿宋_GB2312" w:cs="DengXian-Regular" w:hint="eastAsia"/>
          <w:sz w:val="32"/>
          <w:szCs w:val="32"/>
        </w:rPr>
        <w:t>对村街补助、农村环境治理项目增加。</w:t>
      </w:r>
    </w:p>
    <w:p>
      <w:pPr>
        <w:adjustRightInd w:val="0"/>
        <w:snapToGrid w:val="0"/>
        <w:spacing w:after="0" w:line="580" w:lineRule="exact"/>
        <w:jc w:val="center"/>
        <w:rPr>
          <w:rFonts w:ascii="仿宋_GB2312" w:eastAsia="仿宋_GB2312" w:cs="DengXian-Regular"/>
          <w:sz w:val="24"/>
        </w:rPr>
      </w:pPr>
      <w:r>
        <w:rPr>
          <w:rFonts w:eastAsia="仿宋_GB2312" w:hint="eastAsia"/>
          <w:sz w:val="32"/>
          <w:szCs w:val="32"/>
        </w:rPr>
        <w:t>图4：财政拨款收支预决算对比情况</w:t>
      </w:r>
    </w:p>
    <w:p>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sz w:val="32"/>
          <w:szCs w:val="32"/>
        </w:rPr>
        <w:drawing>
          <wp:anchor distT="0" distB="0" distL="114300" distR="114300" simplePos="0" relativeHeight="22" behindDoc="0" locked="0" layoutInCell="1" hidden="0" allowOverlap="1">
            <wp:simplePos x="0" y="0"/>
            <wp:positionH relativeFrom="column">
              <wp:posOffset>309245</wp:posOffset>
            </wp:positionH>
            <wp:positionV relativeFrom="paragraph">
              <wp:posOffset>182245</wp:posOffset>
            </wp:positionV>
            <wp:extent cx="4591050" cy="2762250"/>
            <wp:effectExtent l="0" t="0" r="0" b="0"/>
            <wp:wrapSquare wrapText="bothSides"/>
            <wp:docPr id="8" name="图表 2"/>
            <wp:cNvGraphicFramePr>
              <a:graphicFrameLocks noChangeAspect="1"/>
            </wp:cNvGraphicFramePr>
            <a:graphic>
              <a:graphicData uri="http://schemas.openxmlformats.org/drawingml/2006/picture">
                <pic:pic>
                  <pic:nvPicPr>
                    <pic:cNvPr id="10" name="图表 2 10"/>
                    <pic:cNvPicPr/>
                  </pic:nvPicPr>
                  <pic:blipFill>
                    <a:blip r:embed="rId7"/>
                    <a:stretch>
                      <a:fillRect/>
                    </a:stretch>
                  </pic:blipFill>
                  <pic:spPr>
                    <a:xfrm rot="0">
                      <a:off x="0" y="0"/>
                      <a:ext cx="4591050" cy="2762250"/>
                    </a:xfrm>
                    <a:prstGeom prst="rect"/>
                    <a:noFill/>
                    <a:ln w="9525" cmpd="sng" cap="flat">
                      <a:noFill/>
                      <a:prstDash val="solid"/>
                      <a:miter/>
                    </a:ln>
                  </pic:spPr>
                </pic:pic>
              </a:graphicData>
            </a:graphic>
          </wp:anchor>
        </w:drawing>
      </w:r>
    </w:p>
    <w:p>
      <w:pPr>
        <w:adjustRightInd w:val="0"/>
        <w:snapToGrid w:val="0"/>
        <w:spacing w:after="0" w:line="580" w:lineRule="exact"/>
        <w:ind w:firstLineChars="200" w:firstLine="640"/>
        <w:rPr>
          <w:rFonts w:ascii="仿宋_GB2312" w:eastAsia="仿宋_GB2312" w:cs="DengXian-Regular"/>
          <w:sz w:val="32"/>
          <w:szCs w:val="32"/>
          <w:highlight w:val="yellow"/>
        </w:rPr>
      </w:pPr>
    </w:p>
    <w:p>
      <w:pPr>
        <w:adjustRightInd w:val="0"/>
        <w:snapToGrid w:val="0"/>
        <w:spacing w:after="0" w:line="580" w:lineRule="exact"/>
        <w:ind w:firstLineChars="200" w:firstLine="640"/>
        <w:rPr>
          <w:rFonts w:ascii="仿宋_GB2312" w:eastAsia="仿宋_GB2312" w:cs="DengXian-Regular"/>
          <w:sz w:val="32"/>
          <w:szCs w:val="32"/>
          <w:highlight w:val="yellow"/>
        </w:rPr>
      </w:pPr>
    </w:p>
    <w:p>
      <w:pPr>
        <w:adjustRightInd w:val="0"/>
        <w:snapToGrid w:val="0"/>
        <w:spacing w:after="0" w:line="580" w:lineRule="exact"/>
        <w:ind w:firstLineChars="200" w:firstLine="640"/>
        <w:rPr>
          <w:rFonts w:ascii="仿宋_GB2312" w:eastAsia="仿宋_GB2312" w:cs="DengXian-Regular" w:hint="eastAsia"/>
          <w:sz w:val="32"/>
          <w:szCs w:val="32"/>
          <w:highlight w:val="yellow"/>
        </w:rPr>
      </w:pPr>
    </w:p>
    <w:p>
      <w:pPr>
        <w:adjustRightInd w:val="0"/>
        <w:snapToGrid w:val="0"/>
        <w:spacing w:after="0" w:line="580" w:lineRule="exact"/>
        <w:ind w:firstLineChars="200" w:firstLine="640"/>
        <w:rPr>
          <w:rFonts w:ascii="仿宋_GB2312" w:eastAsia="仿宋_GB2312" w:cs="DengXian-Regular" w:hint="eastAsia"/>
          <w:sz w:val="32"/>
          <w:szCs w:val="32"/>
          <w:highlight w:val="yellow"/>
        </w:rPr>
      </w:pPr>
    </w:p>
    <w:p>
      <w:pPr>
        <w:adjustRightInd w:val="0"/>
        <w:snapToGrid w:val="0"/>
        <w:spacing w:after="0" w:line="580" w:lineRule="exact"/>
        <w:ind w:firstLineChars="200" w:firstLine="640"/>
        <w:rPr>
          <w:rFonts w:ascii="仿宋_GB2312" w:eastAsia="仿宋_GB2312" w:cs="DengXian-Regular" w:hint="eastAsia"/>
          <w:sz w:val="32"/>
          <w:szCs w:val="32"/>
          <w:highlight w:val="yellow"/>
        </w:rPr>
      </w:pPr>
    </w:p>
    <w:p>
      <w:pPr>
        <w:adjustRightInd w:val="0"/>
        <w:snapToGrid w:val="0"/>
        <w:spacing w:after="0" w:line="580" w:lineRule="exact"/>
        <w:ind w:firstLineChars="200" w:firstLine="640"/>
        <w:rPr>
          <w:rFonts w:ascii="仿宋_GB2312" w:eastAsia="仿宋_GB2312" w:cs="DengXian-Regular" w:hint="eastAsia"/>
          <w:sz w:val="32"/>
          <w:szCs w:val="32"/>
          <w:highlight w:val="yellow"/>
        </w:rPr>
      </w:pPr>
    </w:p>
    <w:p>
      <w:pPr>
        <w:adjustRightInd w:val="0"/>
        <w:snapToGrid w:val="0"/>
        <w:spacing w:after="0" w:line="580" w:lineRule="exact"/>
        <w:ind w:firstLineChars="200" w:firstLine="640"/>
        <w:rPr>
          <w:rFonts w:ascii="仿宋_GB2312" w:eastAsia="仿宋_GB2312" w:cs="DengXian-Regular"/>
          <w:sz w:val="32"/>
          <w:szCs w:val="32"/>
          <w:highlight w:val="yellow"/>
        </w:rPr>
      </w:pPr>
    </w:p>
    <w:p>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1206.08万元，主要用于以下方面一般公共服务（类）支出750.46万元，占62.22%；文化体育与传媒（类）支出5万元，占0.41%；社会保障和就业支出（类）支出34.6万元，占2.87%；医疗卫生与计划生育（类）支出17万元，占 1.41%；节能环保支出（类）支出49.68万元，占4.12%；城乡社区事务（类）支出1.7万元，占0.14%;农林水（类）支出283.74万元，占23.53%；资源勘探信息等（类）支出10万元，占0.83%；其他（类）支出53.9万元，占4.67%。</w:t>
      </w:r>
    </w:p>
    <w:p>
      <w:pPr>
        <w:adjustRightInd w:val="0"/>
        <w:snapToGrid w:val="0"/>
        <w:spacing w:after="0" w:line="580" w:lineRule="exact"/>
        <w:jc w:val="center"/>
        <w:rPr>
          <w:rFonts w:ascii="楷体_GB2312" w:eastAsia="楷体_GB2312" w:cs="DengXian-Bold"/>
          <w:b/>
          <w:bCs/>
          <w:sz w:val="32"/>
          <w:szCs w:val="32"/>
        </w:rPr>
      </w:pPr>
      <w:r>
        <w:rPr>
          <w:rFonts w:eastAsia="仿宋_GB2312" w:hint="eastAsia"/>
          <w:sz w:val="32"/>
          <w:szCs w:val="32"/>
        </w:rPr>
        <w:t>图5：财政拨款支出决算结构（按功能分类）</w:t>
      </w:r>
    </w:p>
    <w:p>
      <w:pPr>
        <w:adjustRightInd w:val="0"/>
        <w:snapToGrid w:val="0"/>
        <w:spacing w:after="0" w:line="580" w:lineRule="exact"/>
        <w:rPr>
          <w:rFonts w:ascii="楷体_GB2312" w:eastAsia="楷体_GB2312" w:cs="DengXian-Bold"/>
          <w:b/>
          <w:bCs/>
          <w:sz w:val="32"/>
          <w:szCs w:val="32"/>
        </w:rPr>
      </w:pPr>
      <w:r>
        <w:rPr>
          <w:rFonts w:ascii="楷体_GB2312" w:eastAsia="楷体_GB2312" w:cs="DengXian-Bold"/>
          <w:b/>
          <w:bCs/>
          <w:sz w:val="32"/>
          <w:szCs w:val="32"/>
        </w:rPr>
        <w:drawing>
          <wp:anchor distT="0" distB="0" distL="114300" distR="114300" simplePos="0" relativeHeight="24" behindDoc="0" locked="0" layoutInCell="1" hidden="0" allowOverlap="1">
            <wp:simplePos x="0" y="0"/>
            <wp:positionH relativeFrom="column">
              <wp:posOffset>442595</wp:posOffset>
            </wp:positionH>
            <wp:positionV relativeFrom="paragraph">
              <wp:posOffset>287020</wp:posOffset>
            </wp:positionV>
            <wp:extent cx="4591050" cy="2762250"/>
            <wp:effectExtent l="0" t="0" r="0" b="0"/>
            <wp:wrapSquare wrapText="bothSides"/>
            <wp:docPr id="11" name="图表 3"/>
            <wp:cNvGraphicFramePr>
              <a:graphicFrameLocks noChangeAspect="1"/>
            </wp:cNvGraphicFramePr>
            <a:graphic>
              <a:graphicData uri="http://schemas.openxmlformats.org/drawingml/2006/picture">
                <pic:pic>
                  <pic:nvPicPr>
                    <pic:cNvPr id="13" name="图表 3 13"/>
                    <pic:cNvPicPr/>
                  </pic:nvPicPr>
                  <pic:blipFill>
                    <a:blip r:embed="rId8"/>
                    <a:stretch>
                      <a:fillRect/>
                    </a:stretch>
                  </pic:blipFill>
                  <pic:spPr>
                    <a:xfrm rot="0">
                      <a:off x="0" y="0"/>
                      <a:ext cx="4591050" cy="2762250"/>
                    </a:xfrm>
                    <a:prstGeom prst="rect"/>
                    <a:noFill/>
                    <a:ln w="9525" cmpd="sng" cap="flat">
                      <a:noFill/>
                      <a:prstDash val="solid"/>
                      <a:miter/>
                    </a:ln>
                  </pic:spPr>
                </pic:pic>
              </a:graphicData>
            </a:graphic>
          </wp:anchor>
        </w:drawing>
      </w:r>
    </w:p>
    <w:p>
      <w:pPr>
        <w:adjustRightInd w:val="0"/>
        <w:snapToGrid w:val="0"/>
        <w:spacing w:after="0" w:line="580" w:lineRule="exact"/>
        <w:ind w:leftChars="200" w:left="420"/>
        <w:rPr>
          <w:rFonts w:ascii="楷体_GB2312" w:eastAsia="楷体_GB2312" w:cs="DengXian-Bold" w:hint="eastAsia"/>
          <w:b/>
          <w:bCs/>
          <w:sz w:val="32"/>
          <w:szCs w:val="32"/>
        </w:rPr>
      </w:pPr>
    </w:p>
    <w:p>
      <w:pPr>
        <w:adjustRightInd w:val="0"/>
        <w:snapToGrid w:val="0"/>
        <w:spacing w:after="0" w:line="580" w:lineRule="exact"/>
        <w:ind w:leftChars="200" w:left="420"/>
        <w:rPr>
          <w:rFonts w:ascii="楷体_GB2312" w:eastAsia="楷体_GB2312" w:cs="DengXian-Bold"/>
          <w:b/>
          <w:bCs/>
          <w:sz w:val="32"/>
          <w:szCs w:val="32"/>
        </w:rPr>
      </w:pPr>
    </w:p>
    <w:p>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年度一般公共预算财政拨款基本支出699.28万元，其中：人员经费 644.15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55.13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本部门201</w:t>
      </w:r>
      <w:r>
        <w:rPr>
          <w:rFonts w:eastAsia="仿宋_GB2312" w:hint="eastAsia"/>
          <w:sz w:val="32"/>
          <w:szCs w:val="32"/>
        </w:rPr>
        <w:t>8</w:t>
      </w:r>
      <w:r>
        <w:rPr>
          <w:rFonts w:eastAsia="仿宋_GB2312"/>
          <w:sz w:val="32"/>
          <w:szCs w:val="32"/>
        </w:rPr>
        <w:t>年度一般公共预算财政拨款“三公”经费支出共计</w:t>
      </w:r>
      <w:r>
        <w:rPr>
          <w:rFonts w:eastAsia="仿宋_GB2312" w:hint="eastAsia"/>
          <w:sz w:val="32"/>
          <w:szCs w:val="32"/>
          <w:lang w:val="en-US" w:eastAsia="zh-CN"/>
        </w:rPr>
        <w:t>9.5</w:t>
      </w:r>
      <w:r>
        <w:rPr>
          <w:rFonts w:eastAsia="仿宋_GB2312"/>
          <w:sz w:val="32"/>
          <w:szCs w:val="32"/>
        </w:rPr>
        <w:t>万元，</w:t>
      </w:r>
      <w:r>
        <w:rPr>
          <w:rFonts w:eastAsia="仿宋_GB2312" w:hint="eastAsia"/>
          <w:sz w:val="32"/>
          <w:szCs w:val="32"/>
        </w:rPr>
        <w:t>比</w:t>
      </w:r>
      <w:r>
        <w:rPr>
          <w:rFonts w:eastAsia="仿宋_GB2312"/>
          <w:sz w:val="32"/>
          <w:szCs w:val="32"/>
        </w:rPr>
        <w:t>年初预算</w:t>
      </w:r>
      <w:r>
        <w:rPr>
          <w:rFonts w:eastAsia="仿宋_GB2312" w:hint="eastAsia"/>
          <w:sz w:val="32"/>
          <w:szCs w:val="32"/>
          <w:lang w:eastAsia="zh-CN"/>
        </w:rPr>
        <w:t>增加</w:t>
      </w:r>
      <w:r>
        <w:rPr>
          <w:rFonts w:eastAsia="仿宋_GB2312" w:hint="eastAsia"/>
          <w:sz w:val="32"/>
          <w:szCs w:val="32"/>
          <w:lang w:val="en-US" w:eastAsia="zh-CN"/>
        </w:rPr>
        <w:t>0万元</w:t>
      </w:r>
      <w:r>
        <w:rPr>
          <w:rFonts w:eastAsia="仿宋_GB2312"/>
          <w:sz w:val="32"/>
          <w:szCs w:val="32"/>
        </w:rPr>
        <w:t>，增长</w:t>
      </w:r>
      <w:r>
        <w:rPr>
          <w:rFonts w:eastAsia="仿宋_GB2312" w:hint="eastAsia"/>
          <w:sz w:val="32"/>
          <w:szCs w:val="32"/>
          <w:lang w:val="en-US" w:eastAsia="zh-CN"/>
        </w:rPr>
        <w:t>0</w:t>
      </w:r>
      <w:r>
        <w:rPr>
          <w:rFonts w:eastAsia="仿宋_GB2312"/>
          <w:sz w:val="32"/>
          <w:szCs w:val="32"/>
        </w:rPr>
        <w:t>%，主要是</w:t>
      </w:r>
      <w:r>
        <w:rPr>
          <w:rFonts w:eastAsia="仿宋_GB2312" w:hint="eastAsia"/>
          <w:sz w:val="32"/>
          <w:szCs w:val="32"/>
          <w:lang w:eastAsia="zh-CN"/>
        </w:rPr>
        <w:t>无增减变化</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lang w:val="en-US" w:eastAsia="zh-CN"/>
        </w:rPr>
        <w:t>0</w:t>
      </w:r>
      <w:r>
        <w:rPr>
          <w:rFonts w:eastAsia="仿宋_GB2312"/>
          <w:sz w:val="32"/>
          <w:szCs w:val="32"/>
        </w:rPr>
        <w:t>万元，增长（降低）</w:t>
      </w:r>
      <w:r>
        <w:rPr>
          <w:rFonts w:eastAsia="仿宋_GB2312" w:hint="eastAsia"/>
          <w:sz w:val="32"/>
          <w:szCs w:val="32"/>
          <w:lang w:val="en-US" w:eastAsia="zh-CN"/>
        </w:rPr>
        <w:t>0</w:t>
      </w:r>
      <w:r>
        <w:rPr>
          <w:rFonts w:eastAsia="仿宋_GB2312"/>
          <w:sz w:val="32"/>
          <w:szCs w:val="32"/>
        </w:rPr>
        <w:t>%，主要是</w:t>
      </w:r>
      <w:r>
        <w:rPr>
          <w:rFonts w:eastAsia="仿宋_GB2312" w:hint="eastAsia"/>
          <w:sz w:val="32"/>
          <w:szCs w:val="32"/>
          <w:lang w:eastAsia="zh-CN"/>
        </w:rPr>
        <w:t>无增减变化</w:t>
      </w:r>
      <w:r>
        <w:rPr>
          <w:rFonts w:eastAsia="仿宋_GB2312"/>
          <w:sz w:val="32"/>
          <w:szCs w:val="32"/>
        </w:rPr>
        <w:t>。具体情况如下：</w:t>
      </w:r>
    </w:p>
    <w:p>
      <w:pPr>
        <w:adjustRightInd w:val="0"/>
        <w:snapToGrid w:val="0"/>
        <w:spacing w:line="584" w:lineRule="exact"/>
        <w:ind w:firstLineChars="200" w:firstLine="640"/>
        <w:rPr>
          <w:rFonts w:eastAsia="仿宋_GB2312"/>
          <w:sz w:val="32"/>
          <w:szCs w:val="32"/>
          <w:highlight w:val="yellow"/>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因公出国（境）团组0个、共0人/参加其他单位组织的因公出国（境）团组0个、共0人/无本单位组织的出国（境）团组。</w:t>
      </w:r>
      <w:r>
        <w:rPr>
          <w:rFonts w:eastAsia="仿宋_GB2312"/>
          <w:sz w:val="32"/>
          <w:szCs w:val="32"/>
        </w:rPr>
        <w:t>因公出国（境）费支出</w:t>
      </w:r>
      <w:r>
        <w:rPr>
          <w:rFonts w:eastAsia="仿宋_GB2312" w:hint="eastAsia"/>
          <w:sz w:val="32"/>
          <w:szCs w:val="32"/>
        </w:rPr>
        <w:t>比</w:t>
      </w:r>
      <w:r>
        <w:rPr>
          <w:rFonts w:eastAsia="仿宋_GB2312"/>
          <w:sz w:val="32"/>
          <w:szCs w:val="32"/>
        </w:rPr>
        <w:t>年初预算</w:t>
      </w:r>
      <w:r>
        <w:rPr>
          <w:rFonts w:eastAsia="仿宋_GB2312" w:hint="eastAsia"/>
          <w:sz w:val="32"/>
          <w:szCs w:val="32"/>
          <w:lang w:eastAsia="zh-CN"/>
        </w:rPr>
        <w:t>增加</w:t>
      </w:r>
      <w:r>
        <w:rPr>
          <w:rFonts w:eastAsia="仿宋_GB2312" w:hint="eastAsia"/>
          <w:sz w:val="32"/>
          <w:szCs w:val="32"/>
          <w:lang w:val="en-US" w:eastAsia="zh-CN"/>
        </w:rPr>
        <w:t>0万元，增长0%，</w:t>
      </w:r>
      <w:r>
        <w:rPr>
          <w:rFonts w:eastAsia="仿宋_GB2312" w:hint="eastAsia"/>
          <w:sz w:val="32"/>
          <w:szCs w:val="32"/>
        </w:rPr>
        <w:t>主要是未发生因公出国（境）费支出，比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lang w:eastAsia="zh-CN"/>
        </w:rPr>
        <w:t>增加</w:t>
      </w:r>
      <w:r>
        <w:rPr>
          <w:rFonts w:eastAsia="仿宋_GB2312" w:hint="eastAsia"/>
          <w:sz w:val="32"/>
          <w:szCs w:val="32"/>
          <w:lang w:val="en-US" w:eastAsia="zh-CN"/>
        </w:rPr>
        <w:t>0万元，增长0%</w:t>
      </w:r>
      <w:r>
        <w:rPr>
          <w:rFonts w:eastAsia="仿宋_GB2312" w:hint="eastAsia"/>
          <w:sz w:val="32"/>
          <w:szCs w:val="32"/>
        </w:rPr>
        <w:t>，主要是未发生因公出国（境）费支出</w:t>
      </w:r>
      <w:r>
        <w:rPr>
          <w:rFonts w:eastAsia="仿宋_GB2312"/>
          <w:sz w:val="32"/>
          <w:szCs w:val="32"/>
        </w:rPr>
        <w:t>。</w:t>
      </w:r>
    </w:p>
    <w:p>
      <w:pPr>
        <w:adjustRightInd w:val="0"/>
        <w:snapToGrid w:val="0"/>
        <w:spacing w:line="584" w:lineRule="exact"/>
        <w:ind w:firstLineChars="200" w:firstLine="640"/>
        <w:rPr>
          <w:rFonts w:eastAsia="仿宋_GB2312"/>
          <w:b/>
          <w:bCs/>
          <w:sz w:val="32"/>
          <w:szCs w:val="32"/>
        </w:rPr>
      </w:pPr>
      <w:r>
        <w:rPr>
          <w:rFonts w:eastAsia="楷体_GB2312"/>
          <w:b/>
          <w:bCs/>
          <w:sz w:val="32"/>
          <w:szCs w:val="32"/>
        </w:rPr>
        <w:t>（二）公务用车购置及运行维护费支出</w:t>
      </w:r>
      <w:r>
        <w:rPr>
          <w:rFonts w:eastAsia="楷体_GB2312" w:hint="eastAsia"/>
          <w:b/>
          <w:bCs/>
          <w:sz w:val="32"/>
          <w:szCs w:val="32"/>
        </w:rPr>
        <w:t>7</w:t>
      </w:r>
      <w:r>
        <w:rPr>
          <w:rFonts w:eastAsia="楷体_GB2312"/>
          <w:b/>
          <w:bCs/>
          <w:sz w:val="32"/>
          <w:szCs w:val="32"/>
        </w:rPr>
        <w:t>万元。</w:t>
      </w:r>
      <w:r>
        <w:rPr>
          <w:rFonts w:ascii="仿宋_GB2312" w:eastAsia="仿宋_GB2312" w:cs="DengXian-Regular" w:hint="eastAsia"/>
          <w:sz w:val="32"/>
          <w:szCs w:val="32"/>
        </w:rPr>
        <w:t>本部门2018年度公务用车购置及运行维护费比年初预算</w:t>
      </w:r>
      <w:r>
        <w:rPr>
          <w:rFonts w:eastAsia="仿宋_GB2312" w:hint="eastAsia"/>
          <w:sz w:val="32"/>
          <w:szCs w:val="32"/>
          <w:lang w:eastAsia="zh-CN"/>
        </w:rPr>
        <w:t>增加</w:t>
      </w:r>
      <w:r>
        <w:rPr>
          <w:rFonts w:eastAsia="仿宋_GB2312" w:hint="eastAsia"/>
          <w:sz w:val="32"/>
          <w:szCs w:val="32"/>
          <w:lang w:val="en-US" w:eastAsia="zh-CN"/>
        </w:rPr>
        <w:t>0万元，增长0%，</w:t>
      </w:r>
      <w:r>
        <w:rPr>
          <w:rFonts w:eastAsia="仿宋_GB2312"/>
          <w:sz w:val="32"/>
          <w:szCs w:val="32"/>
        </w:rPr>
        <w:t>主要是</w:t>
      </w:r>
      <w:r>
        <w:rPr>
          <w:rFonts w:eastAsia="仿宋_GB2312" w:hint="eastAsia"/>
          <w:sz w:val="32"/>
          <w:szCs w:val="32"/>
          <w:lang w:eastAsia="zh-CN"/>
        </w:rPr>
        <w:t>无增减变化</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w:t>
      </w:r>
      <w:r>
        <w:rPr>
          <w:rFonts w:eastAsia="仿宋_GB2312" w:hint="eastAsia"/>
          <w:sz w:val="32"/>
          <w:szCs w:val="32"/>
        </w:rPr>
        <w:t>决算</w:t>
      </w:r>
      <w:r>
        <w:rPr>
          <w:rFonts w:eastAsia="仿宋_GB2312" w:hint="eastAsia"/>
          <w:sz w:val="32"/>
          <w:szCs w:val="32"/>
          <w:lang w:eastAsia="zh-CN"/>
        </w:rPr>
        <w:t>增加</w:t>
      </w:r>
      <w:r>
        <w:rPr>
          <w:rFonts w:eastAsia="仿宋_GB2312" w:hint="eastAsia"/>
          <w:sz w:val="32"/>
          <w:szCs w:val="32"/>
          <w:lang w:val="en-US" w:eastAsia="zh-CN"/>
        </w:rPr>
        <w:t>0万元，增长0%，主要是无增减变化</w:t>
      </w:r>
      <w:r>
        <w:rPr>
          <w:rFonts w:eastAsia="仿宋_GB2312"/>
          <w:sz w:val="32"/>
          <w:szCs w:val="32"/>
        </w:rPr>
        <w:t>。</w:t>
      </w:r>
      <w:r>
        <w:rPr>
          <w:rFonts w:eastAsia="仿宋_GB2312"/>
          <w:b/>
          <w:bCs/>
          <w:sz w:val="32"/>
          <w:szCs w:val="32"/>
        </w:rPr>
        <w:t>其中：</w:t>
      </w:r>
    </w:p>
    <w:p>
      <w:pPr>
        <w:adjustRightInd w:val="0"/>
        <w:snapToGrid w:val="0"/>
        <w:spacing w:line="584" w:lineRule="exact"/>
        <w:ind w:firstLineChars="200" w:firstLine="640"/>
        <w:rPr>
          <w:rFonts w:eastAsia="仿宋_GB2312"/>
          <w:sz w:val="32"/>
          <w:szCs w:val="32"/>
          <w:highlight w:val="yellow"/>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年度公务用车购置数量</w:t>
      </w:r>
      <w:r>
        <w:rPr>
          <w:rFonts w:eastAsia="仿宋_GB2312" w:hint="eastAsia"/>
          <w:sz w:val="32"/>
          <w:szCs w:val="32"/>
        </w:rPr>
        <w:t>0</w:t>
      </w:r>
      <w:r>
        <w:rPr>
          <w:rFonts w:eastAsia="仿宋_GB2312"/>
          <w:sz w:val="32"/>
          <w:szCs w:val="32"/>
        </w:rPr>
        <w:t>辆。公务用车购置费支出</w:t>
      </w:r>
      <w:r>
        <w:rPr>
          <w:rFonts w:eastAsia="仿宋_GB2312" w:hint="eastAsia"/>
          <w:sz w:val="32"/>
          <w:szCs w:val="32"/>
        </w:rPr>
        <w:t>与</w:t>
      </w:r>
      <w:r>
        <w:rPr>
          <w:rFonts w:eastAsia="仿宋_GB2312"/>
          <w:sz w:val="32"/>
          <w:szCs w:val="32"/>
        </w:rPr>
        <w:t>年初预算</w:t>
      </w:r>
      <w:r>
        <w:rPr>
          <w:rFonts w:eastAsia="仿宋_GB2312" w:hint="eastAsia"/>
          <w:sz w:val="32"/>
          <w:szCs w:val="32"/>
          <w:lang w:eastAsia="zh-CN"/>
        </w:rPr>
        <w:t>增加</w:t>
      </w:r>
      <w:r>
        <w:rPr>
          <w:rFonts w:eastAsia="仿宋_GB2312" w:hint="eastAsia"/>
          <w:sz w:val="32"/>
          <w:szCs w:val="32"/>
          <w:lang w:val="en-US" w:eastAsia="zh-CN"/>
        </w:rPr>
        <w:t>0万元，增长0%</w:t>
      </w:r>
      <w:r>
        <w:rPr>
          <w:rFonts w:eastAsia="仿宋_GB2312" w:hint="eastAsia"/>
          <w:sz w:val="32"/>
          <w:szCs w:val="32"/>
          <w:lang w:eastAsia="zh-CN"/>
        </w:rPr>
        <w:t>，</w:t>
      </w:r>
      <w:r>
        <w:rPr>
          <w:rFonts w:eastAsia="仿宋_GB2312" w:hint="eastAsia"/>
          <w:sz w:val="32"/>
          <w:szCs w:val="32"/>
        </w:rPr>
        <w:t>主要是未发生“公共用车购置”经费支出，比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lang w:eastAsia="zh-CN"/>
        </w:rPr>
        <w:t>增加</w:t>
      </w:r>
      <w:r>
        <w:rPr>
          <w:rFonts w:eastAsia="仿宋_GB2312" w:hint="eastAsia"/>
          <w:sz w:val="32"/>
          <w:szCs w:val="32"/>
          <w:lang w:val="en-US" w:eastAsia="zh-CN"/>
        </w:rPr>
        <w:t>0万元，增长0%</w:t>
      </w:r>
      <w:r>
        <w:rPr>
          <w:rFonts w:eastAsia="仿宋_GB2312" w:hint="eastAsia"/>
          <w:sz w:val="32"/>
          <w:szCs w:val="32"/>
        </w:rPr>
        <w:t>，主要是未发生“公共用车购置”经费支出</w:t>
      </w:r>
      <w:r>
        <w:rPr>
          <w:rFonts w:eastAsia="仿宋_GB2312"/>
          <w:sz w:val="32"/>
          <w:szCs w:val="32"/>
        </w:rPr>
        <w:t>。</w:t>
      </w:r>
    </w:p>
    <w:p>
      <w:pPr>
        <w:adjustRightInd w:val="0"/>
        <w:snapToGrid w:val="0"/>
        <w:spacing w:line="584" w:lineRule="exact"/>
        <w:ind w:firstLineChars="200" w:firstLine="640"/>
        <w:rPr>
          <w:rFonts w:eastAsia="仿宋_GB2312"/>
          <w:sz w:val="32"/>
          <w:szCs w:val="32"/>
          <w:highlight w:val="yellow"/>
        </w:rPr>
      </w:pPr>
      <w:r>
        <w:rPr>
          <w:rFonts w:eastAsia="仿宋_GB2312"/>
          <w:b/>
          <w:sz w:val="32"/>
          <w:szCs w:val="32"/>
        </w:rPr>
        <w:t>公务用车运行维护费支出</w:t>
      </w:r>
      <w:r>
        <w:rPr>
          <w:rFonts w:eastAsia="仿宋_GB2312" w:hint="eastAsia"/>
          <w:b/>
          <w:sz w:val="32"/>
          <w:szCs w:val="32"/>
        </w:rPr>
        <w:t>7</w:t>
      </w:r>
      <w:r>
        <w:rPr>
          <w:rFonts w:eastAsia="仿宋_GB2312"/>
          <w:b/>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年末单位公务用车保有量</w:t>
      </w:r>
      <w:r>
        <w:rPr>
          <w:rFonts w:eastAsia="仿宋_GB2312" w:hint="eastAsia"/>
          <w:sz w:val="32"/>
          <w:szCs w:val="32"/>
        </w:rPr>
        <w:t>2</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w:t>
      </w:r>
      <w:r>
        <w:rPr>
          <w:rFonts w:eastAsia="仿宋_GB2312" w:hint="eastAsia"/>
          <w:sz w:val="32"/>
          <w:szCs w:val="32"/>
          <w:lang w:eastAsia="zh-CN"/>
        </w:rPr>
        <w:t>增加</w:t>
      </w:r>
      <w:r>
        <w:rPr>
          <w:rFonts w:eastAsia="仿宋_GB2312" w:hint="eastAsia"/>
          <w:sz w:val="32"/>
          <w:szCs w:val="32"/>
          <w:lang w:val="en-US" w:eastAsia="zh-CN"/>
        </w:rPr>
        <w:t>0万元，增长0%，主要是无增减变化</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lang w:eastAsia="zh-CN"/>
        </w:rPr>
        <w:t>增加</w:t>
      </w:r>
      <w:r>
        <w:rPr>
          <w:rFonts w:eastAsia="仿宋_GB2312" w:hint="eastAsia"/>
          <w:sz w:val="32"/>
          <w:szCs w:val="32"/>
          <w:lang w:val="en-US" w:eastAsia="zh-CN"/>
        </w:rPr>
        <w:t>0万元，增长0%，主要是无增减变化</w:t>
      </w:r>
      <w:r>
        <w:rPr>
          <w:rFonts w:eastAsia="仿宋_GB2312"/>
          <w:sz w:val="32"/>
          <w:szCs w:val="32"/>
        </w:rPr>
        <w:t>。</w:t>
      </w:r>
    </w:p>
    <w:p>
      <w:pPr>
        <w:adjustRightInd w:val="0"/>
        <w:snapToGrid w:val="0"/>
        <w:spacing w:line="584" w:lineRule="exact"/>
        <w:ind w:firstLineChars="200" w:firstLine="640"/>
        <w:rPr>
          <w:rFonts w:eastAsia="仿宋_GB2312"/>
          <w:sz w:val="32"/>
          <w:szCs w:val="32"/>
          <w:highlight w:val="yellow"/>
        </w:rPr>
      </w:pPr>
      <w:r>
        <w:rPr>
          <w:rFonts w:eastAsia="楷体_GB2312"/>
          <w:b/>
          <w:bCs/>
          <w:sz w:val="32"/>
          <w:szCs w:val="32"/>
        </w:rPr>
        <w:t>（三）公务接待费支出</w:t>
      </w:r>
      <w:r>
        <w:rPr>
          <w:rFonts w:eastAsia="楷体_GB2312" w:hint="eastAsia"/>
          <w:b/>
          <w:bCs/>
          <w:sz w:val="32"/>
          <w:szCs w:val="32"/>
        </w:rPr>
        <w:t>2.5</w:t>
      </w:r>
      <w:r>
        <w:rPr>
          <w:rFonts w:eastAsia="楷体_GB2312"/>
          <w:b/>
          <w:bCs/>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年度公务接待共</w:t>
      </w:r>
      <w:r>
        <w:rPr>
          <w:rFonts w:eastAsia="仿宋_GB2312" w:hint="eastAsia"/>
          <w:sz w:val="32"/>
          <w:szCs w:val="32"/>
        </w:rPr>
        <w:t>72</w:t>
      </w:r>
      <w:r>
        <w:rPr>
          <w:rFonts w:eastAsia="仿宋_GB2312"/>
          <w:sz w:val="32"/>
          <w:szCs w:val="32"/>
        </w:rPr>
        <w:t>批次、</w:t>
      </w:r>
      <w:r>
        <w:rPr>
          <w:rFonts w:eastAsia="仿宋_GB2312" w:hint="eastAsia"/>
          <w:sz w:val="32"/>
          <w:szCs w:val="32"/>
        </w:rPr>
        <w:t>852</w:t>
      </w:r>
      <w:r>
        <w:rPr>
          <w:rFonts w:eastAsia="仿宋_GB2312"/>
          <w:sz w:val="32"/>
          <w:szCs w:val="32"/>
        </w:rPr>
        <w:t>人次。公务接待费支出</w:t>
      </w:r>
      <w:r>
        <w:rPr>
          <w:rFonts w:eastAsia="仿宋_GB2312" w:hint="eastAsia"/>
          <w:sz w:val="32"/>
          <w:szCs w:val="32"/>
        </w:rPr>
        <w:t>比</w:t>
      </w:r>
      <w:r>
        <w:rPr>
          <w:rFonts w:eastAsia="仿宋_GB2312"/>
          <w:sz w:val="32"/>
          <w:szCs w:val="32"/>
        </w:rPr>
        <w:t>年初预算</w:t>
      </w:r>
      <w:r>
        <w:rPr>
          <w:rFonts w:eastAsia="仿宋_GB2312" w:hint="eastAsia"/>
          <w:sz w:val="32"/>
          <w:szCs w:val="32"/>
          <w:lang w:eastAsia="zh-CN"/>
        </w:rPr>
        <w:t>增加</w:t>
      </w:r>
      <w:r>
        <w:rPr>
          <w:rFonts w:eastAsia="仿宋_GB2312" w:hint="eastAsia"/>
          <w:sz w:val="32"/>
          <w:szCs w:val="32"/>
          <w:lang w:val="en-US" w:eastAsia="zh-CN"/>
        </w:rPr>
        <w:t>0万元，增长0%，主要是无增减变化</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lang w:eastAsia="zh-CN"/>
        </w:rPr>
        <w:t>增加</w:t>
      </w:r>
      <w:r>
        <w:rPr>
          <w:rFonts w:eastAsia="仿宋_GB2312" w:hint="eastAsia"/>
          <w:sz w:val="32"/>
          <w:szCs w:val="32"/>
          <w:lang w:val="en-US" w:eastAsia="zh-CN"/>
        </w:rPr>
        <w:t>0万元，增长0%，主要是无增减变化</w:t>
      </w:r>
      <w:r>
        <w:rPr>
          <w:rFonts w:eastAsia="仿宋_GB2312"/>
          <w:sz w:val="32"/>
          <w:szCs w:val="32"/>
        </w:rPr>
        <w:t>。</w:t>
      </w:r>
    </w:p>
    <w:p>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pPr>
        <w:pStyle w:val="66"/>
        <w:spacing w:line="240" w:lineRule="auto"/>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根据省、市、县财政预算绩效管理要求，按照 2018 年度财政工作计划，我单位开展了本级专项项目重点绩效评价。在项目的筛选方面，认真研究，严格把关，与项目主管科室进行沟通，对每个项目主要从开展的情况、产生的成效、存在的问题以及提出的建议等方面进行绩效评价，特别是项目的执行情况、资金的使用情况以及存在的问题更是评价的重点。</w:t>
      </w:r>
    </w:p>
    <w:p>
      <w:pPr>
        <w:numPr>
          <w:ilvl w:val="0"/>
          <w:numId w:val="2"/>
        </w:numPr>
        <w:adjustRightInd w:val="0"/>
        <w:snapToGrid w:val="0"/>
        <w:spacing w:after="0" w:line="580" w:lineRule="exact"/>
        <w:ind w:left="0" w:firstLineChars="200" w:firstLine="640"/>
        <w:rPr>
          <w:rFonts w:ascii="仿宋_GB2312" w:eastAsia="仿宋_GB2312" w:cs="DengXian-Regular"/>
          <w:sz w:val="32"/>
          <w:szCs w:val="32"/>
        </w:rPr>
      </w:pPr>
      <w:r>
        <w:rPr>
          <w:rFonts w:ascii="仿宋_GB2312" w:eastAsia="仿宋_GB2312" w:cs="DengXian-Regular" w:hint="eastAsia"/>
          <w:sz w:val="32"/>
          <w:szCs w:val="32"/>
        </w:rPr>
        <w:t>项目绩效自评结果。</w:t>
      </w:r>
    </w:p>
    <w:p>
      <w:pPr>
        <w:adjustRightInd w:val="0"/>
        <w:snapToGrid w:val="0"/>
        <w:spacing w:after="0" w:line="580" w:lineRule="exact"/>
        <w:ind w:firstLineChars="200" w:firstLine="640"/>
        <w:rPr>
          <w:rFonts w:ascii="仿宋_GB2312" w:eastAsia="仿宋_GB2312" w:cs="DengXian-Regular"/>
          <w:sz w:val="32"/>
          <w:szCs w:val="32"/>
        </w:rPr>
      </w:pPr>
      <w:r>
        <w:rPr>
          <w:rFonts w:eastAsia="仿宋_GB2312" w:hint="eastAsia"/>
          <w:sz w:val="32"/>
          <w:szCs w:val="32"/>
        </w:rPr>
        <w:t>为深入推进全过程预算绩效管理，不断完善项目管理，进一步落实支出责任，加快预算执行进度，更好地实现绩效目标，我镇对环境综合治理、造林绿化等项目开展绩效监控工作。建立了“部门职责-工作活动-预算项目”三个层级的绩效预算管理结构和绩效目标指标管理体系，预算编制进一步科学、规范、高效。</w:t>
      </w:r>
    </w:p>
    <w:p>
      <w:pPr>
        <w:numPr>
          <w:ilvl w:val="0"/>
          <w:numId w:val="2"/>
        </w:numPr>
        <w:adjustRightInd w:val="0"/>
        <w:snapToGrid w:val="0"/>
        <w:spacing w:after="0" w:line="580" w:lineRule="exact"/>
        <w:ind w:left="0" w:firstLineChars="200" w:firstLine="640"/>
        <w:rPr>
          <w:rFonts w:ascii="仿宋_GB2312" w:eastAsia="仿宋_GB2312" w:cs="DengXian-Regular"/>
          <w:sz w:val="32"/>
          <w:szCs w:val="32"/>
        </w:rPr>
      </w:pPr>
      <w:r>
        <w:rPr>
          <w:rFonts w:ascii="仿宋_GB2312" w:eastAsia="仿宋_GB2312" w:cs="DengXian-Regular" w:hint="eastAsia"/>
          <w:sz w:val="32"/>
          <w:szCs w:val="32"/>
        </w:rPr>
        <w:t>重点项目绩效评价结果</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“权村镇村街环境治理”项目，提升了全镇居民生活环境水平，改善村街环境。截止到 2018 年 12 月 31 日，该项目已完成并取得良好的口评</w:t>
      </w:r>
      <w:r>
        <w:rPr>
          <w:rFonts w:ascii="仿宋_GB2312" w:eastAsia="仿宋_GB2312" w:cs="DengXian-Regular" w:hint="eastAsia"/>
          <w:sz w:val="32"/>
          <w:szCs w:val="32"/>
          <w:lang w:val="en-US" w:eastAsia="zh-CN"/>
        </w:rPr>
        <w:t>,</w:t>
      </w:r>
      <w:r>
        <w:rPr>
          <w:rFonts w:ascii="仿宋_GB2312" w:eastAsia="仿宋_GB2312" w:cs="DengXian-Regular" w:hint="eastAsia"/>
          <w:sz w:val="32"/>
          <w:szCs w:val="32"/>
        </w:rPr>
        <w:t>此项自评结果为优秀。</w:t>
      </w:r>
    </w:p>
    <w:p>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（一）机关运行经费情况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本部门2018年度机关运行经费支出55.13万元，比年初预算数减少</w:t>
      </w:r>
      <w:r>
        <w:rPr>
          <w:rFonts w:eastAsia="仿宋_GB2312" w:hint="eastAsia"/>
          <w:sz w:val="32"/>
          <w:szCs w:val="32"/>
        </w:rPr>
        <w:t>7.11</w:t>
      </w:r>
      <w:r>
        <w:rPr>
          <w:rFonts w:ascii="仿宋_GB2312" w:eastAsia="仿宋_GB2312" w:cs="DengXian-Regular" w:hint="eastAsia"/>
          <w:sz w:val="32"/>
          <w:szCs w:val="32"/>
        </w:rPr>
        <w:t>万元，降低</w:t>
      </w:r>
      <w:r>
        <w:rPr>
          <w:rFonts w:eastAsia="仿宋_GB2312" w:hint="eastAsia"/>
          <w:sz w:val="32"/>
          <w:szCs w:val="32"/>
        </w:rPr>
        <w:t>11.42</w:t>
      </w:r>
      <w:r>
        <w:rPr>
          <w:rFonts w:eastAsia="仿宋_GB2312"/>
          <w:sz w:val="32"/>
          <w:szCs w:val="32"/>
        </w:rPr>
        <w:t>%</w:t>
      </w:r>
      <w:r>
        <w:rPr>
          <w:rFonts w:ascii="仿宋_GB2312" w:eastAsia="仿宋_GB2312" w:cs="DengXian-Regular" w:hint="eastAsia"/>
          <w:sz w:val="32"/>
          <w:szCs w:val="32"/>
        </w:rPr>
        <w:t>。主要是厉行节约，减少办公经费支出。</w:t>
      </w:r>
      <w:r>
        <w:rPr>
          <w:rFonts w:eastAsia="仿宋_GB2312"/>
          <w:sz w:val="32"/>
          <w:szCs w:val="32"/>
        </w:rPr>
        <w:t>较201</w:t>
      </w:r>
      <w:r>
        <w:rPr>
          <w:rFonts w:eastAsia="仿宋_GB2312" w:hint="eastAsia"/>
          <w:sz w:val="32"/>
          <w:szCs w:val="32"/>
        </w:rPr>
        <w:t>7</w:t>
      </w:r>
      <w:r>
        <w:rPr>
          <w:rFonts w:eastAsia="仿宋_GB2312"/>
          <w:sz w:val="32"/>
          <w:szCs w:val="32"/>
        </w:rPr>
        <w:t>年度决算减少</w:t>
      </w:r>
      <w:r>
        <w:rPr>
          <w:rFonts w:eastAsia="仿宋_GB2312" w:hint="eastAsia"/>
          <w:sz w:val="32"/>
          <w:szCs w:val="32"/>
        </w:rPr>
        <w:t>18.54</w:t>
      </w:r>
      <w:r>
        <w:rPr>
          <w:rFonts w:eastAsia="仿宋_GB2312"/>
          <w:sz w:val="32"/>
          <w:szCs w:val="32"/>
        </w:rPr>
        <w:t>万元，降低</w:t>
      </w:r>
      <w:r>
        <w:rPr>
          <w:rFonts w:eastAsia="仿宋_GB2312" w:hint="eastAsia"/>
          <w:sz w:val="32"/>
          <w:szCs w:val="32"/>
        </w:rPr>
        <w:t>25.17</w:t>
      </w:r>
      <w:r>
        <w:rPr>
          <w:rFonts w:eastAsia="仿宋_GB2312"/>
          <w:sz w:val="32"/>
          <w:szCs w:val="32"/>
        </w:rPr>
        <w:t>%，</w:t>
      </w:r>
      <w:r>
        <w:rPr>
          <w:rFonts w:ascii="仿宋_GB2312" w:eastAsia="仿宋_GB2312" w:cs="DengXian-Regular" w:hint="eastAsia"/>
          <w:sz w:val="32"/>
          <w:szCs w:val="32"/>
        </w:rPr>
        <w:t>主要是厉行节约，反对浪费，严控经费支出。</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（二）政府采购情况</w:t>
      </w:r>
    </w:p>
    <w:p>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本部门2018年度政府采购支出总额685.83万元，从采购类型来看，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万元、政府采购工程支出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 xml:space="preserve">万元、政府采购服务支出 </w:t>
      </w:r>
      <w:r>
        <w:rPr>
          <w:rFonts w:ascii="仿宋_GB2312" w:eastAsia="仿宋_GB2312" w:cs="仿宋_GB2312" w:hint="eastAsia"/>
          <w:color w:val="000000"/>
          <w:kern w:val="0"/>
          <w:sz w:val="32"/>
          <w:szCs w:val="32"/>
        </w:rPr>
        <w:t>685.83</w:t>
      </w:r>
      <w:r>
        <w:rPr>
          <w:rFonts w:ascii="仿宋_GB2312" w:eastAsia="仿宋_GB2312" w:cs="仿宋_GB2312"/>
          <w:color w:val="000000"/>
          <w:kern w:val="0"/>
          <w:sz w:val="32"/>
          <w:szCs w:val="32"/>
        </w:rPr>
        <w:t>万元。授予中小企业合同金</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100%，</w:t>
      </w:r>
      <w:r>
        <w:rPr>
          <w:rFonts w:ascii="仿宋_GB2312" w:eastAsia="仿宋_GB2312" w:cs="仿宋_GB2312"/>
          <w:color w:val="000000"/>
          <w:kern w:val="0"/>
          <w:sz w:val="32"/>
          <w:szCs w:val="32"/>
        </w:rPr>
        <w:t>其中授予小微企业合同金额</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 xml:space="preserve">万元，占政府采购支出总额的 </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（三）国有资产占用情况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2辆，与上年无增减变化，主要是应急保障用车。其中，副部（省）级及以上领导用车0辆，主要领导干部用车0辆，机要通信用车0辆，应急保障用车2辆，执法执勤用车0辆，特种专业技术用车0辆，离退休干部用车0辆，其他用车0辆，单位价值</w:t>
      </w:r>
      <w:r>
        <w:rPr>
          <w:rFonts w:ascii="仿宋_GB2312" w:eastAsia="仿宋_GB2312" w:cs="TimesNewRomanPSMT" w:hint="eastAsia"/>
          <w:sz w:val="32"/>
          <w:szCs w:val="32"/>
        </w:rPr>
        <w:t>50</w:t>
      </w:r>
      <w:r>
        <w:rPr>
          <w:rFonts w:ascii="仿宋_GB2312" w:eastAsia="仿宋_GB2312" w:cs="DengXian-Regular" w:hint="eastAsia"/>
          <w:sz w:val="32"/>
          <w:szCs w:val="32"/>
        </w:rPr>
        <w:t>万元以上通用设备0台，与上年度无增减变化，单位价值</w:t>
      </w:r>
      <w:r>
        <w:rPr>
          <w:rFonts w:ascii="仿宋_GB2312" w:eastAsia="仿宋_GB2312" w:cs="TimesNewRomanPSMT" w:hint="eastAsia"/>
          <w:sz w:val="32"/>
          <w:szCs w:val="32"/>
        </w:rPr>
        <w:t>100</w:t>
      </w:r>
      <w:r>
        <w:rPr>
          <w:rFonts w:ascii="仿宋_GB2312" w:eastAsia="仿宋_GB2312" w:cs="DengXian-Regular" w:hint="eastAsia"/>
          <w:sz w:val="32"/>
          <w:szCs w:val="32"/>
        </w:rPr>
        <w:t>万元以上专用设备0台，与上年度无增减变化。</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（四）其他需要说明的情况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1、本部门2018年度国有资本经营预算财政拨款无收支及结转结余情况，故国有资本经营预算财政拨款支出决算表以空表列示。</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Chars="200" w:firstLine="880"/>
        <w:jc w:val="left"/>
        <w:rPr>
          <w:rFonts w:ascii="宋体" w:eastAsia="宋体" w:cs="MS-UIGothic,Bold"/>
          <w:b/>
          <w:bCs/>
          <w:kern w:val="0"/>
          <w:sz w:val="44"/>
          <w:szCs w:val="44"/>
        </w:rPr>
        <w:sectPr>
          <w:pgSz w:w="11906" w:h="16838"/>
          <w:pgMar w:top="2098" w:right="1474" w:bottom="1984" w:left="1588" w:header="851" w:footer="992" w:gutter="0"/>
          <w:pgNumType/>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pPr>
        <w:widowControl/>
        <w:spacing w:line="1200" w:lineRule="exact"/>
        <w:jc w:val="center"/>
        <w:rPr>
          <w:color w:val="000000"/>
          <w:sz w:val="96"/>
          <w:szCs w:val="96"/>
        </w:rPr>
      </w:pPr>
      <w:r>
        <w:rPr>
          <w:rFonts w:ascii="黑体" w:eastAsia="黑体" w:hint="eastAsia"/>
          <w:color w:val="000000"/>
          <w:sz w:val="96"/>
          <w:szCs w:val="96"/>
        </w:rPr>
        <w:t>名词解释</w:t>
      </w:r>
    </w:p>
    <w:p>
      <w:pPr>
        <w:rPr>
          <w:rFonts w:ascii="宋体" w:cs="ArialUnicodeMS"/>
          <w:color w:val="000000"/>
          <w:kern w:val="0"/>
        </w:rPr>
        <w:sectPr>
          <w:pgSz w:w="11906" w:h="16838"/>
          <w:pgMar w:top="2098" w:right="1474" w:bottom="1984" w:left="1588" w:header="851" w:footer="992" w:gutter="0"/>
          <w:pgNumType/>
          <w:docGrid w:type="lines" w:linePitch="312" w:charSpace="0"/>
        </w:sectPr>
      </w:pP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Chars="200" w:firstLine="640"/>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p>
      <w:bookmarkStart w:id="0" w:name="_GoBack"/>
      <w:bookmarkEnd w:id="0"/>
    </w:p>
    <w:sectPr>
      <w:pgSz w:w="11906" w:h="16838"/>
      <w:pgMar w:top="2098" w:right="1474" w:bottom="1985" w:left="1588"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0030101010101"/>
    <w:charset w:val="86"/>
    <w:family w:val="auto"/>
    <w:pitch w:val="variable"/>
    <w:sig w:usb0="00000001" w:usb1="080E0000" w:usb2="00000000" w:usb3="00000000" w:csb0="00040000" w:csb1="00000000"/>
  </w:font>
  <w:font w:name="楷体">
    <w:panose1 w:val="00000000000000000000"/>
    <w:charset w:val="00"/>
    <w:family w:val="auto"/>
    <w:pitch w:val="variable"/>
    <w:sig w:usb0="00000000" w:usb1="00000000" w:usb2="00000000" w:usb3="00000000" w:csb0="00000000" w:csb1="00000000"/>
  </w:font>
  <w:font w:name="仿宋_GB2312">
    <w:panose1 w:val="02010609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ArialUnicodeMS">
    <w:panose1 w:val="00000000000000000000"/>
    <w:charset w:val="00"/>
    <w:family w:val="auto"/>
    <w:pitch w:val="variable"/>
    <w:sig w:usb0="00000000" w:usb1="00000000" w:usb2="00000000" w:usb3="00000000" w:csb0="00000000" w:csb1="00000000"/>
  </w:font>
  <w:font w:name="MS-UIGothic,Bold">
    <w:panose1 w:val="00000000000000000000"/>
    <w:charset w:val="00"/>
    <w:family w:val="auto"/>
    <w:pitch w:val="variable"/>
    <w:sig w:usb0="00000000" w:usb1="00000000" w:usb2="00000000" w:usb3="00000000" w:csb0="00000000" w:csb1="00000000"/>
  </w:font>
  <w:font w:name="宋体">
    <w:panose1 w:val="02010600030101010101"/>
    <w:charset w:val="86"/>
    <w:family w:val="auto"/>
    <w:pitch w:val="variable"/>
    <w:sig w:usb0="00000003" w:usb1="080E0000" w:usb2="00000000" w:usb3="00000000" w:csb0="00040001" w:csb1="00000000"/>
  </w:font>
  <w:font w:name="DengXian-Regular">
    <w:panose1 w:val="00000000000000000000"/>
    <w:charset w:val="00"/>
    <w:family w:val="auto"/>
    <w:pitch w:val="variable"/>
    <w:sig w:usb0="00000000" w:usb1="00000000" w:usb2="00000000" w:usb3="00000000" w:csb0="00000000" w:csb1="00000000"/>
  </w:font>
  <w:font w:name="楷体_GB2312">
    <w:panose1 w:val="02010609030101010101"/>
    <w:charset w:val="86"/>
    <w:family w:val="auto"/>
    <w:pitch w:val="variable"/>
    <w:sig w:usb0="00000001" w:usb1="080E0000" w:usb2="00000000" w:usb3="00000000" w:csb0="00040000" w:csb1="00000000"/>
  </w:font>
  <w:font w:name="DengXian-Bold">
    <w:panose1 w:val="00000000000000000000"/>
    <w:charset w:val="00"/>
    <w:family w:val="auto"/>
    <w:pitch w:val="variable"/>
    <w:sig w:usb0="00000000" w:usb1="00000000" w:usb2="00000000" w:usb3="00000000" w:csb0="00000000" w:csb1="00000000"/>
  </w:font>
  <w:font w:name="TimesNewRomanPSMT">
    <w:panose1 w:val="00000000000000000000"/>
    <w:charset w:val="00"/>
    <w:family w:val="auto"/>
    <w:pitch w:val="variable"/>
    <w:sig w:usb0="00000000" w:usb1="00000000" w:usb2="00000000" w:usb3="00000000" w:csb0="00000000" w:csb1="00000000"/>
  </w:font>
  <w:font w:name="Calibri">
    <w:panose1 w:val="020F0502020204030204"/>
    <w:charset w:val="00"/>
    <w:family w:val="auto"/>
    <w:pitch w:val="variable"/>
    <w:sig w:usb0="A00002EF" w:usb1="4000207B" w:usb2="00000000" w:usb3="00000000" w:csb0="2000009F" w:csb1="00000000"/>
  </w:font>
  <w:font w:name="小标宋">
    <w:panose1 w:val="00000000000000000000"/>
    <w:charset w:val="00"/>
    <w:family w:val="auto"/>
    <w:pitch w:val="variable"/>
    <w:sig w:usb0="00000000" w:usb1="00000000" w:usb2="00000000" w:usb3="00000000" w:csb0="00000000"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45DB9A87"/>
    <w:multiLevelType w:val="singleLevel"/>
    <w:tmpl w:val="45DB9A87"/>
    <w:lvl w:ilvl="0">
      <w:start w:val="3"/>
      <w:numFmt w:val="chineseCounting"/>
      <w:lvlRestart w:val="0"/>
      <w:suff w:val="nothing"/>
      <w:lvlText w:val="（%1）"/>
      <w:lvlJc w:val="left"/>
      <w:pPr>
        <w:tabs>
          <w:tab w:val="num" w:pos="0"/>
        </w:tabs>
        <w:ind w:left="0" w:hanging="0"/>
      </w:pPr>
      <w:rPr>
        <w:rFonts w:hint="eastAsia"/>
      </w:rPr>
    </w:lvl>
  </w:abstractNum>
  <w:abstractNum w:abstractNumId="1">
    <w:nsid w:val="32D011FE"/>
    <w:multiLevelType w:val="singleLevel"/>
    <w:tmpl w:val="32D011FE"/>
    <w:lvl w:ilvl="0">
      <w:start w:val="2"/>
      <w:numFmt w:val="chineseCounting"/>
      <w:lvlRestart w:val="0"/>
      <w:suff w:val="nothing"/>
      <w:lvlText w:val="（%1）"/>
      <w:lvlJc w:val="left"/>
      <w:pPr>
        <w:tabs>
          <w:tab w:val="num" w:pos="0"/>
        </w:tabs>
        <w:ind w:left="0" w:hanging="0"/>
      </w:pPr>
      <w:rPr>
        <w:rFonts w:hint="eastAsia"/>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after="160" w:line="480" w:lineRule="auto"/>
      <w:jc w:val="both"/>
    </w:pPr>
    <w:rPr>
      <w:rFonts w:ascii="Times New Roman" w:eastAsia="宋体" w:cs="Times New Roman" w:hAnsi="Times New Roman"/>
      <w:kern w:val="2"/>
      <w:sz w:val="21"/>
      <w:szCs w:val="24"/>
      <w:lang w:val="en-US" w:eastAsia="zh-CN" w:bidi="ar-SA"/>
    </w:rPr>
  </w:style>
  <w:style w:type="paragraph" w:styleId="1">
    <w:name w:val="heading 1"/>
    <w:next w:val="0"/>
    <w:pPr>
      <w:keepNext/>
      <w:keepLines/>
      <w:widowControl w:val="0"/>
      <w:spacing w:before="340" w:after="330" w:line="578" w:lineRule="auto"/>
      <w:jc w:val="both"/>
      <w:outlineLvl w:val="0"/>
    </w:pPr>
    <w:rPr>
      <w:rFonts w:ascii="Times New Roman" w:eastAsia="宋体" w:cs="Times New Roman" w:hAnsi="Times New Roman"/>
      <w:b/>
      <w:bCs/>
      <w:kern w:val="44"/>
      <w:sz w:val="44"/>
      <w:szCs w:val="44"/>
      <w:lang w:val="en-US" w:eastAsia="zh-CN" w:bidi="ar-SA"/>
    </w:rPr>
  </w:style>
  <w:style w:type="paragraph" w:styleId="2">
    <w:name w:val="heading 2"/>
    <w:next w:val="0"/>
    <w:pPr>
      <w:keepNext/>
      <w:keepLines/>
      <w:widowControl w:val="0"/>
      <w:spacing w:before="260" w:after="260" w:line="415" w:lineRule="auto"/>
      <w:jc w:val="both"/>
      <w:outlineLvl w:val="1"/>
    </w:pPr>
    <w:rPr>
      <w:rFonts w:ascii="Calibri" w:eastAsia="宋体" w:cs="Times New Roman" w:hAnsi="Calibri"/>
      <w:b/>
      <w:bCs/>
      <w:kern w:val="2"/>
      <w:sz w:val="32"/>
      <w:szCs w:val="32"/>
      <w:lang w:val="en-US" w:eastAsia="zh-CN" w:bidi="ar-SA"/>
    </w:rPr>
  </w:style>
  <w:style w:type="paragraph" w:styleId="3">
    <w:name w:val="heading 3"/>
    <w:next w:val="0"/>
    <w:pPr>
      <w:keepNext/>
      <w:keepLines/>
      <w:widowControl w:val="0"/>
      <w:spacing w:before="260" w:after="260" w:line="415" w:lineRule="auto"/>
      <w:jc w:val="both"/>
      <w:outlineLvl w:val="2"/>
    </w:pPr>
    <w:rPr>
      <w:rFonts w:ascii="Times New Roman" w:eastAsia="宋体" w:cs="Times New Roman" w:hAnsi="Times New Roman"/>
      <w:b/>
      <w:bCs/>
      <w:kern w:val="2"/>
      <w:sz w:val="32"/>
      <w:szCs w:val="32"/>
      <w:lang w:val="en-US" w:eastAsia="zh-CN" w:bidi="ar-SA"/>
    </w:rPr>
  </w:style>
  <w:style w:type="character" w:default="1" w:styleId="10">
    <w:name w:val="Default Paragraph Font"/>
  </w:style>
  <w:style w:type="paragraph" w:styleId="66">
    <w:name w:val="Body Text"/>
    <w:next w:val="19"/>
    <w:pPr>
      <w:widowControl w:val="0"/>
      <w:spacing w:after="0" w:line="240" w:lineRule="atLeast"/>
      <w:jc w:val="both"/>
    </w:pPr>
    <w:rPr>
      <w:rFonts w:ascii="Calibri" w:eastAsia="小标宋" w:cs="Times New Roman" w:hAnsi="Calibri"/>
      <w:kern w:val="2"/>
      <w:sz w:val="44"/>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image" Target="media/2.png"/><Relationship Id="rId3" Type="http://schemas.openxmlformats.org/officeDocument/2006/relationships/oleObject" Target="embeddings/oleObject1.bin"/><Relationship Id="rId4" Type="http://schemas.openxmlformats.org/officeDocument/2006/relationships/image" Target="media/4.png"/><Relationship Id="rId5" Type="http://schemas.openxmlformats.org/officeDocument/2006/relationships/oleObject" Target="embeddings/oleObject2.bin"/><Relationship Id="rId6" Type="http://schemas.openxmlformats.org/officeDocument/2006/relationships/image" Target="media/6.png"/><Relationship Id="rId7" Type="http://schemas.openxmlformats.org/officeDocument/2006/relationships/image" Target="media/9.png"/><Relationship Id="rId8" Type="http://schemas.openxmlformats.org/officeDocument/2006/relationships/image" Target="media/12.png"/><Relationship Id="rId9" Type="http://schemas.openxmlformats.org/officeDocument/2006/relationships/styles" Target="styles.xml"/><Relationship Id="rId10" Type="http://schemas.openxmlformats.org/officeDocument/2006/relationships/numbering" Target="numbering.xml"/><Relationship Id="rId11"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21</Pages>
  <Words>5553</Words>
  <Characters>6003</Characters>
  <Lines>368</Lines>
  <Paragraphs>141</Paragraphs>
  <CharactersWithSpaces>6022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Administrator</cp:lastModifiedBy>
  <cp:revision>1</cp:revision>
  <dcterms:created xsi:type="dcterms:W3CDTF">2021-05-26T03:35:15Z</dcterms:created>
  <dcterms:modified xsi:type="dcterms:W3CDTF">2021-05-26T03:35:30Z</dcterms:modified>
</cp:coreProperties>
</file>