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sz w:val="30"/>
          <w:szCs w:val="30"/>
        </w:rPr>
      </w:pPr>
    </w:p>
    <w:p>
      <w:pPr>
        <w:spacing w:line="584" w:lineRule="exact"/>
        <w:rPr>
          <w:sz w:val="30"/>
          <w:szCs w:val="30"/>
        </w:rPr>
      </w:pPr>
    </w:p>
    <w:p>
      <w:pPr>
        <w:spacing w:line="584" w:lineRule="exact"/>
        <w:rPr>
          <w:sz w:val="30"/>
          <w:szCs w:val="30"/>
        </w:rPr>
      </w:pPr>
    </w:p>
    <w:p>
      <w:pPr>
        <w:spacing w:line="584" w:lineRule="exact"/>
        <w:jc w:val="center"/>
        <w:rPr>
          <w:b/>
          <w:sz w:val="72"/>
          <w:szCs w:val="72"/>
        </w:rPr>
      </w:pPr>
    </w:p>
    <w:p>
      <w:pPr>
        <w:spacing w:line="584" w:lineRule="exact"/>
        <w:jc w:val="center"/>
        <w:rPr>
          <w:b/>
          <w:sz w:val="72"/>
          <w:szCs w:val="72"/>
        </w:rPr>
      </w:pPr>
    </w:p>
    <w:p>
      <w:pPr>
        <w:spacing w:line="1000" w:lineRule="exact"/>
        <w:jc w:val="center"/>
        <w:rPr>
          <w:color w:val="auto"/>
          <w:sz w:val="84"/>
          <w:szCs w:val="84"/>
        </w:rPr>
      </w:pPr>
      <w:r>
        <w:rPr>
          <w:color w:val="auto"/>
          <w:sz w:val="84"/>
          <w:szCs w:val="84"/>
          <w:lang w:val="en-US"/>
        </w:rPr>
        <w:t>2018</w:t>
      </w:r>
      <w:r>
        <w:rPr>
          <w:color w:val="auto"/>
          <w:sz w:val="84"/>
          <w:szCs w:val="84"/>
        </w:rPr>
        <w:t>年度部门决算公开</w:t>
      </w:r>
    </w:p>
    <w:p>
      <w:pPr>
        <w:spacing w:line="584" w:lineRule="exact"/>
        <w:jc w:val="center"/>
        <w:rPr>
          <w:b/>
          <w:sz w:val="72"/>
          <w:szCs w:val="72"/>
        </w:rPr>
      </w:pPr>
    </w:p>
    <w:p>
      <w:pPr>
        <w:spacing w:line="584" w:lineRule="exact"/>
        <w:jc w:val="center"/>
        <w:rPr>
          <w:b/>
          <w:sz w:val="72"/>
          <w:szCs w:val="72"/>
        </w:rPr>
      </w:pPr>
    </w:p>
    <w:p>
      <w:pPr>
        <w:spacing w:line="584" w:lineRule="exact"/>
        <w:jc w:val="center"/>
        <w:rPr>
          <w:b/>
          <w:sz w:val="72"/>
          <w:szCs w:val="72"/>
        </w:rPr>
      </w:pPr>
    </w:p>
    <w:p>
      <w:pPr>
        <w:spacing w:line="584" w:lineRule="exact"/>
        <w:jc w:val="center"/>
        <w:rPr>
          <w:b/>
          <w:sz w:val="72"/>
          <w:szCs w:val="72"/>
        </w:rPr>
      </w:pPr>
    </w:p>
    <w:p>
      <w:pPr>
        <w:spacing w:line="584" w:lineRule="exact"/>
        <w:jc w:val="center"/>
        <w:rPr>
          <w:b/>
          <w:sz w:val="72"/>
          <w:szCs w:val="72"/>
        </w:rPr>
      </w:pPr>
    </w:p>
    <w:p>
      <w:pPr>
        <w:spacing w:line="584" w:lineRule="exact"/>
        <w:jc w:val="center"/>
        <w:rPr>
          <w:b/>
          <w:sz w:val="44"/>
          <w:szCs w:val="44"/>
        </w:rPr>
      </w:pPr>
    </w:p>
    <w:p>
      <w:pPr>
        <w:spacing w:line="584" w:lineRule="exact"/>
        <w:jc w:val="center"/>
        <w:rPr>
          <w:b/>
          <w:sz w:val="44"/>
          <w:szCs w:val="44"/>
        </w:rPr>
      </w:pPr>
    </w:p>
    <w:p>
      <w:pPr>
        <w:spacing w:line="584" w:lineRule="exact"/>
        <w:jc w:val="center"/>
        <w:rPr>
          <w:b/>
          <w:sz w:val="44"/>
          <w:szCs w:val="44"/>
        </w:rPr>
      </w:pPr>
    </w:p>
    <w:p>
      <w:pPr>
        <w:spacing w:line="584" w:lineRule="exact"/>
        <w:jc w:val="center"/>
        <w:rPr>
          <w:b/>
          <w:sz w:val="44"/>
          <w:szCs w:val="44"/>
        </w:rPr>
      </w:pPr>
    </w:p>
    <w:p>
      <w:pPr>
        <w:spacing w:line="584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84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84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84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廊坊市大城县残疾人联合会</w:t>
      </w:r>
      <w:r>
        <w:rPr>
          <w:b/>
          <w:sz w:val="44"/>
          <w:szCs w:val="44"/>
        </w:rPr>
        <w:t>部门</w:t>
      </w:r>
    </w:p>
    <w:p>
      <w:pPr>
        <w:widowControl/>
        <w:spacing w:line="584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</w:p>
    <w:p>
      <w:pPr>
        <w:widowControl/>
        <w:spacing w:line="584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目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第一部分 </w:t>
      </w:r>
      <w:r>
        <w:rPr>
          <w:rFonts w:ascii="Calibri" w:hAnsi="Calibri" w:eastAsia="黑体" w:cs="Times New Roman"/>
          <w:sz w:val="32"/>
          <w:szCs w:val="32"/>
        </w:rPr>
        <w:t>部门概况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1273" w:firstLineChars="398"/>
        <w:textAlignment w:val="auto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一、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1273" w:firstLineChars="398"/>
        <w:textAlignment w:val="auto"/>
        <w:rPr>
          <w:rFonts w:hint="default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二、机构设置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 xml:space="preserve">第二部分 </w:t>
      </w:r>
      <w:r>
        <w:rPr>
          <w:rFonts w:hint="default" w:ascii="Calibri" w:hAnsi="Calibri" w:eastAsia="黑体" w:cs="Times New Roman"/>
          <w:sz w:val="32"/>
          <w:szCs w:val="32"/>
          <w:lang w:val="en-US" w:eastAsia="zh-CN"/>
        </w:rPr>
        <w:t>2018</w:t>
      </w:r>
      <w:r>
        <w:rPr>
          <w:rFonts w:ascii="Calibri" w:hAnsi="Calibri" w:eastAsia="黑体" w:cs="Times New Roman"/>
          <w:sz w:val="32"/>
          <w:szCs w:val="32"/>
        </w:rPr>
        <w:t>年度部门决算报表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</w:t>
      </w:r>
      <w:r>
        <w:rPr>
          <w:rFonts w:ascii="Times New Roman" w:hAnsi="Times New Roman" w:eastAsia="仿宋_GB2312" w:cs="Times New Roman"/>
          <w:sz w:val="32"/>
          <w:szCs w:val="32"/>
        </w:rPr>
        <w:t>收入支出决算总表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</w:t>
      </w:r>
      <w:r>
        <w:rPr>
          <w:rFonts w:ascii="Times New Roman" w:hAnsi="Times New Roman" w:eastAsia="仿宋_GB2312" w:cs="Times New Roman"/>
          <w:sz w:val="32"/>
          <w:szCs w:val="32"/>
        </w:rPr>
        <w:t>收入决算表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</w:t>
      </w:r>
      <w:r>
        <w:rPr>
          <w:rFonts w:ascii="Times New Roman" w:hAnsi="Times New Roman" w:eastAsia="仿宋_GB2312" w:cs="Times New Roman"/>
          <w:sz w:val="32"/>
          <w:szCs w:val="32"/>
        </w:rPr>
        <w:t>支出决算表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四、</w:t>
      </w:r>
      <w:r>
        <w:rPr>
          <w:rFonts w:ascii="Times New Roman" w:hAnsi="Times New Roman" w:eastAsia="仿宋_GB2312" w:cs="Times New Roman"/>
          <w:sz w:val="32"/>
          <w:szCs w:val="32"/>
        </w:rPr>
        <w:t>财政拨款收入支出决算总表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五、</w:t>
      </w:r>
      <w:r>
        <w:rPr>
          <w:rFonts w:ascii="Times New Roman" w:hAnsi="Times New Roman" w:eastAsia="仿宋_GB2312" w:cs="Times New Roman"/>
          <w:sz w:val="32"/>
          <w:szCs w:val="32"/>
        </w:rPr>
        <w:t>一般公共预算财政拨款支出决算表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六、</w:t>
      </w:r>
      <w:r>
        <w:rPr>
          <w:rFonts w:ascii="Times New Roman" w:hAnsi="Times New Roman" w:eastAsia="仿宋_GB2312" w:cs="Times New Roman"/>
          <w:sz w:val="32"/>
          <w:szCs w:val="32"/>
        </w:rPr>
        <w:t>一般公共预算财政拨款基本支出决算表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政府性基金预算财政拨款收入支出决算表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八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国有资本经营预算财政拨款支出决算表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“三公”经费及相关信息统计表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政府采购情况表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第三部分</w:t>
      </w:r>
      <w:r>
        <w:rPr>
          <w:rFonts w:ascii="Calibri" w:hAnsi="Calibri" w:eastAsia="黑体" w:cs="Times New Roman"/>
          <w:sz w:val="32"/>
          <w:szCs w:val="32"/>
        </w:rPr>
        <w:t xml:space="preserve"> </w:t>
      </w:r>
      <w:r>
        <w:rPr>
          <w:rFonts w:hint="eastAsia" w:ascii="Calibri" w:hAnsi="Calibri" w:eastAsia="黑体" w:cs="Times New Roman"/>
          <w:sz w:val="32"/>
          <w:szCs w:val="32"/>
          <w:lang w:eastAsia="zh-CN"/>
        </w:rPr>
        <w:t>大城县残疾人联合会</w:t>
      </w:r>
      <w:r>
        <w:rPr>
          <w:rFonts w:ascii="Calibri" w:hAnsi="Calibri" w:eastAsia="黑体" w:cs="Times New Roman"/>
          <w:sz w:val="32"/>
          <w:szCs w:val="32"/>
        </w:rPr>
        <w:t>部门</w:t>
      </w:r>
      <w:r>
        <w:rPr>
          <w:rFonts w:hint="default" w:ascii="Calibri" w:hAnsi="Calibri" w:eastAsia="黑体" w:cs="Times New Roman"/>
          <w:sz w:val="32"/>
          <w:szCs w:val="32"/>
          <w:lang w:val="en-US" w:eastAsia="zh-CN"/>
        </w:rPr>
        <w:t>2018</w:t>
      </w:r>
      <w:r>
        <w:rPr>
          <w:rFonts w:ascii="Calibri" w:hAnsi="Calibri" w:eastAsia="黑体" w:cs="Times New Roman"/>
          <w:sz w:val="32"/>
          <w:szCs w:val="32"/>
        </w:rPr>
        <w:t>年度部门决算情况说明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一般公共预算财政拨款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预算绩效管理工作开展情况说明</w:t>
      </w:r>
    </w:p>
    <w:p>
      <w:pPr>
        <w:widowControl/>
        <w:spacing w:after="160" w:line="580" w:lineRule="exact"/>
        <w:ind w:left="640"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七、其他重要事项的说明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　　　　　　</w:t>
      </w:r>
      <w:r>
        <w:rPr>
          <w:rFonts w:hint="eastAsia" w:eastAsia="黑体"/>
          <w:sz w:val="32"/>
          <w:szCs w:val="32"/>
          <w:lang w:val="en-US" w:eastAsia="zh-CN"/>
        </w:rPr>
        <w:t>第四部分　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0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widowControl/>
        <w:spacing w:after="160" w:line="480" w:lineRule="auto"/>
        <w:jc w:val="both"/>
        <w:rPr>
          <w:rFonts w:hint="eastAsia" w:ascii="黑体" w:hAnsi="黑体" w:eastAsia="黑体" w:cs="黑体"/>
          <w:color w:val="000000" w:themeColor="text1"/>
          <w:sz w:val="96"/>
          <w:szCs w:val="9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160" w:line="480" w:lineRule="auto"/>
        <w:jc w:val="both"/>
        <w:rPr>
          <w:rFonts w:hint="eastAsia" w:ascii="黑体" w:hAnsi="黑体" w:eastAsia="黑体" w:cs="黑体"/>
          <w:color w:val="000000" w:themeColor="text1"/>
          <w:sz w:val="96"/>
          <w:szCs w:val="9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160" w:line="480" w:lineRule="auto"/>
        <w:jc w:val="both"/>
        <w:rPr>
          <w:rFonts w:hint="eastAsia" w:ascii="黑体" w:hAnsi="黑体" w:eastAsia="黑体" w:cs="黑体"/>
          <w:color w:val="000000" w:themeColor="text1"/>
          <w:sz w:val="96"/>
          <w:szCs w:val="9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160" w:line="480" w:lineRule="auto"/>
        <w:jc w:val="both"/>
        <w:rPr>
          <w:rFonts w:hint="eastAsia" w:ascii="黑体" w:hAnsi="黑体" w:eastAsia="黑体" w:cs="黑体"/>
          <w:color w:val="000000" w:themeColor="text1"/>
          <w:sz w:val="96"/>
          <w:szCs w:val="9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160" w:line="480" w:lineRule="auto"/>
        <w:jc w:val="both"/>
        <w:rPr>
          <w:rFonts w:hint="eastAsia" w:ascii="黑体" w:hAnsi="黑体" w:eastAsia="黑体" w:cs="黑体"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96"/>
          <w:szCs w:val="96"/>
          <w:lang w:val="en-US" w:eastAsia="zh-CN"/>
          <w14:textFill>
            <w14:solidFill>
              <w14:schemeClr w14:val="tx1"/>
            </w14:solidFill>
          </w14:textFill>
        </w:rPr>
        <w:t xml:space="preserve">第一部分  </w:t>
      </w:r>
      <w:r>
        <w:rPr>
          <w:rFonts w:hint="eastAsia" w:ascii="黑体" w:hAnsi="黑体" w:eastAsia="黑体" w:cs="黑体"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  <w:t>部门概况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ascii="Calibri" w:hAnsi="Calibri" w:eastAsia="黑体" w:cs="Times New Roman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部门职责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1、听取残疾人意见，反映残疾人需求，维护残疾人的合法权益，为残疾人服务。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2、团结、教育残疾人遵纪守法，履行应尽的义务，发扬乐观进取精神，自尊、自信、自立，为社会主义建设贡献力量。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3、 弘扬人道主义，宣传残疾人事业，沟通政府、社会与残疾人之间的联系，动员社会理解、尊重、关心、帮助残疾人。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4、开展残疾人康复、教育、劳动就业、文化、体育、用品用具供应、福利、社会服务、无障碍设施和残疾预防工作；协调落实对残疾人的各种优惠政策，创造良好的环境和条件，扶助残疾人平等参与社会生活。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5、协助县政府研究、制定和实施残疾人事业的地方性政策、规划和计划。对有关领域进行指导和管理。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</w:t>
      </w:r>
      <w:r>
        <w:rPr>
          <w:rFonts w:hint="eastAsia" w:ascii="仿宋_GB2312" w:eastAsia="仿宋_GB2312"/>
          <w:sz w:val="32"/>
          <w:szCs w:val="32"/>
          <w:lang w:eastAsia="zh-CN"/>
        </w:rPr>
        <w:t>承担县政府残疾人工作委员会的日常工作，做好综合、组织、协调服务。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lang w:eastAsia="zh-CN"/>
        </w:rPr>
        <w:t>、协助各乡镇党委、政府，“两区”工委、管委，城区办党委、办事处做好残联工作。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8、负责对各类残疾人社会团体组织进行监督管理。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二、机构设置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textAlignment w:val="auto"/>
        <w:outlineLvl w:val="0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ArialUnicodeMS" w:hAnsiTheme="minorHAnsi"/>
          <w:kern w:val="0"/>
          <w:sz w:val="32"/>
          <w:szCs w:val="32"/>
        </w:rPr>
        <w:t>从决算编报单位构成看，纳入2018 年度本部门决算汇编范围的独立核算单位（以下简称“单位”）共</w:t>
      </w:r>
      <w:r>
        <w:rPr>
          <w:rFonts w:hint="eastAsia" w:ascii="仿宋_GB2312" w:eastAsia="仿宋_GB2312" w:cs="ArialUnicodeMS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rialUnicodeMS" w:hAnsiTheme="minorHAnsi"/>
          <w:kern w:val="0"/>
          <w:sz w:val="32"/>
          <w:szCs w:val="32"/>
        </w:rPr>
        <w:t>个</w:t>
      </w:r>
      <w:r>
        <w:rPr>
          <w:rFonts w:hint="eastAsia" w:ascii="仿宋_GB2312" w:eastAsia="仿宋_GB2312" w:cs="ArialUnicodeMS"/>
          <w:kern w:val="0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部门机构设置情况</w:t>
      </w:r>
    </w:p>
    <w:tbl>
      <w:tblPr>
        <w:tblStyle w:val="8"/>
        <w:tblpPr w:leftFromText="180" w:rightFromText="180" w:vertAnchor="text" w:horzAnchor="page" w:tblpXSpec="center" w:tblpY="10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650"/>
        <w:gridCol w:w="1984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820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 w:cs="ArialUnicodeMS" w:hAnsi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ArialUnicodeMS" w:hAnsiTheme="minorHAnsi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650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 w:cs="ArialUnicodeMS" w:hAnsi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ArialUnicodeMS" w:hAnsiTheme="minorHAnsi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84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 w:cs="ArialUnicodeMS" w:hAnsi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ArialUnicodeMS" w:hAnsiTheme="minorHAnsi"/>
                <w:b/>
                <w:bCs/>
                <w:kern w:val="0"/>
                <w:sz w:val="28"/>
                <w:szCs w:val="28"/>
              </w:rPr>
              <w:t>单位基本性质</w:t>
            </w:r>
          </w:p>
        </w:tc>
        <w:tc>
          <w:tcPr>
            <w:tcW w:w="3126" w:type="dxa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eastAsia="仿宋_GB2312" w:cs="ArialUnicodeMS" w:hAnsiTheme="minorHAns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ArialUnicodeMS" w:hAnsiTheme="minorHAnsi"/>
                <w:b/>
                <w:bCs/>
                <w:kern w:val="0"/>
                <w:sz w:val="28"/>
                <w:szCs w:val="28"/>
              </w:rPr>
              <w:t>经费形式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20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cs="ArialUnicodeMS" w:hAnsiTheme="minorHAns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ArialUnicodeMS" w:hAnsiTheme="minorHAnsi"/>
                <w:kern w:val="0"/>
                <w:sz w:val="28"/>
                <w:szCs w:val="28"/>
              </w:rPr>
              <w:t>1</w:t>
            </w:r>
          </w:p>
        </w:tc>
        <w:tc>
          <w:tcPr>
            <w:tcW w:w="3650" w:type="dxa"/>
          </w:tcPr>
          <w:p>
            <w:pPr>
              <w:spacing w:after="0" w:line="560" w:lineRule="exact"/>
              <w:rPr>
                <w:rFonts w:ascii="仿宋_GB2312" w:eastAsia="仿宋_GB2312" w:cs="ArialUnicodeMS" w:hAnsiTheme="minorHAnsi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ArialUnicodeMS" w:hAnsiTheme="minorHAnsi"/>
                <w:kern w:val="0"/>
                <w:sz w:val="28"/>
                <w:szCs w:val="28"/>
                <w:lang w:eastAsia="zh-CN"/>
              </w:rPr>
              <w:t>大城县残疾人联合会</w:t>
            </w:r>
            <w:r>
              <w:rPr>
                <w:rFonts w:hint="eastAsia" w:ascii="仿宋_GB2312" w:eastAsia="仿宋_GB2312" w:cs="ArialUnicodeMS" w:hAnsiTheme="minorHAnsi"/>
                <w:kern w:val="0"/>
                <w:sz w:val="28"/>
                <w:szCs w:val="28"/>
              </w:rPr>
              <w:t>(本级)</w:t>
            </w:r>
          </w:p>
        </w:tc>
        <w:tc>
          <w:tcPr>
            <w:tcW w:w="1984" w:type="dxa"/>
          </w:tcPr>
          <w:p>
            <w:pPr>
              <w:spacing w:after="0" w:line="560" w:lineRule="exact"/>
              <w:jc w:val="center"/>
              <w:rPr>
                <w:rFonts w:hint="default" w:ascii="仿宋_GB2312" w:eastAsia="仿宋_GB2312" w:cs="ArialUnicodeMS" w:hAnsiTheme="minorHAnsi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事业单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位</w:t>
            </w:r>
          </w:p>
        </w:tc>
        <w:tc>
          <w:tcPr>
            <w:tcW w:w="3126" w:type="dxa"/>
          </w:tcPr>
          <w:p>
            <w:pPr>
              <w:spacing w:after="0" w:line="560" w:lineRule="exact"/>
              <w:jc w:val="center"/>
              <w:rPr>
                <w:rFonts w:ascii="仿宋_GB2312" w:eastAsia="仿宋_GB2312" w:cs="ArialUnicodeMS" w:hAnsiTheme="minorHAnsi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财政性资金基本保证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58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560" w:lineRule="exact"/>
              <w:ind w:firstLine="560" w:firstLineChars="200"/>
              <w:jc w:val="left"/>
              <w:rPr>
                <w:rFonts w:ascii="仿宋_GB2312" w:eastAsia="仿宋_GB2312" w:cs="ArialUnicodeMS" w:hAnsiTheme="minorHAnsi"/>
                <w:kern w:val="0"/>
                <w:sz w:val="28"/>
                <w:szCs w:val="28"/>
              </w:rPr>
            </w:pPr>
          </w:p>
        </w:tc>
      </w:tr>
    </w:tbl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widowControl/>
        <w:spacing w:after="160" w:line="1200" w:lineRule="exact"/>
        <w:jc w:val="center"/>
        <w:rPr>
          <w:rFonts w:hint="eastAsia" w:ascii="黑体" w:hAnsi="黑体" w:eastAsia="黑体" w:cs="黑体"/>
          <w:color w:val="000000" w:themeColor="text1"/>
          <w:sz w:val="72"/>
          <w:szCs w:val="9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160" w:line="1200" w:lineRule="exact"/>
        <w:jc w:val="center"/>
        <w:rPr>
          <w:rFonts w:hint="eastAsia" w:ascii="黑体" w:hAnsi="黑体" w:eastAsia="黑体" w:cs="黑体"/>
          <w:color w:val="000000" w:themeColor="text1"/>
          <w:sz w:val="72"/>
          <w:szCs w:val="9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160" w:line="1200" w:lineRule="exact"/>
        <w:jc w:val="center"/>
        <w:rPr>
          <w:rFonts w:hint="eastAsia" w:ascii="黑体" w:hAnsi="黑体" w:eastAsia="黑体" w:cs="黑体"/>
          <w:color w:val="000000" w:themeColor="text1"/>
          <w:sz w:val="72"/>
          <w:szCs w:val="9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160" w:line="1200" w:lineRule="exact"/>
        <w:jc w:val="center"/>
        <w:rPr>
          <w:rFonts w:hint="eastAsia" w:ascii="黑体" w:hAnsi="黑体" w:eastAsia="黑体" w:cs="黑体"/>
          <w:color w:val="000000" w:themeColor="text1"/>
          <w:sz w:val="72"/>
          <w:szCs w:val="9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72"/>
          <w:szCs w:val="96"/>
          <w:lang w:val="en-US" w:eastAsia="zh-CN"/>
          <w14:textFill>
            <w14:solidFill>
              <w14:schemeClr w14:val="tx1"/>
            </w14:solidFill>
          </w14:textFill>
        </w:rPr>
        <w:t xml:space="preserve">第二部分 </w:t>
      </w:r>
    </w:p>
    <w:p>
      <w:pPr>
        <w:widowControl/>
        <w:spacing w:after="160" w:line="1200" w:lineRule="exact"/>
        <w:jc w:val="center"/>
        <w:rPr>
          <w:rFonts w:hint="eastAsia" w:ascii="黑体" w:hAnsi="黑体" w:eastAsia="黑体" w:cs="黑体"/>
          <w:color w:val="000000" w:themeColor="text1"/>
          <w:sz w:val="72"/>
          <w:szCs w:val="9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72"/>
          <w:szCs w:val="96"/>
          <w:lang w:val="en-US" w:eastAsia="zh-CN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黑体" w:hAnsi="黑体" w:eastAsia="黑体" w:cs="黑体"/>
          <w:color w:val="000000" w:themeColor="text1"/>
          <w:sz w:val="72"/>
          <w:szCs w:val="96"/>
          <w14:textFill>
            <w14:solidFill>
              <w14:schemeClr w14:val="tx1"/>
            </w14:solidFill>
          </w14:textFill>
        </w:rPr>
        <w:t>年度部门决算报表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（见附表）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eastAsia="黑体"/>
          <w:sz w:val="32"/>
          <w:szCs w:val="32"/>
          <w:lang w:val="en-US" w:eastAsia="zh-CN"/>
        </w:rPr>
      </w:pPr>
    </w:p>
    <w:p>
      <w:pPr>
        <w:widowControl/>
        <w:spacing w:after="160" w:line="1200" w:lineRule="exact"/>
        <w:jc w:val="center"/>
        <w:rPr>
          <w:rFonts w:hint="eastAsia" w:ascii="黑体" w:hAnsi="黑体" w:eastAsia="黑体" w:cs="黑体"/>
          <w:color w:val="000000" w:themeColor="text1"/>
          <w:sz w:val="96"/>
          <w:szCs w:val="9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160" w:line="1200" w:lineRule="exact"/>
        <w:jc w:val="center"/>
        <w:rPr>
          <w:rFonts w:hint="eastAsia" w:ascii="黑体" w:hAnsi="黑体" w:eastAsia="黑体" w:cs="黑体"/>
          <w:color w:val="000000" w:themeColor="text1"/>
          <w:sz w:val="96"/>
          <w:szCs w:val="9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160" w:line="1200" w:lineRule="exact"/>
        <w:jc w:val="center"/>
        <w:rPr>
          <w:rFonts w:hint="eastAsia" w:ascii="黑体" w:hAnsi="黑体" w:eastAsia="黑体" w:cs="黑体"/>
          <w:color w:val="000000" w:themeColor="text1"/>
          <w:sz w:val="96"/>
          <w:szCs w:val="9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160" w:line="1200" w:lineRule="exact"/>
        <w:jc w:val="center"/>
        <w:rPr>
          <w:rFonts w:hint="eastAsia" w:ascii="黑体" w:hAnsi="黑体" w:eastAsia="黑体" w:cs="黑体"/>
          <w:color w:val="000000" w:themeColor="text1"/>
          <w:sz w:val="96"/>
          <w:szCs w:val="9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96"/>
          <w:szCs w:val="96"/>
          <w:lang w:val="en-US" w:eastAsia="zh-CN"/>
          <w14:textFill>
            <w14:solidFill>
              <w14:schemeClr w14:val="tx1"/>
            </w14:solidFill>
          </w14:textFill>
        </w:rPr>
        <w:t xml:space="preserve">第三部分 </w:t>
      </w:r>
    </w:p>
    <w:p>
      <w:pPr>
        <w:widowControl/>
        <w:spacing w:after="160" w:line="1200" w:lineRule="exact"/>
        <w:jc w:val="center"/>
        <w:rPr>
          <w:rFonts w:hint="eastAsia" w:ascii="黑体" w:hAnsi="黑体" w:eastAsia="黑体" w:cs="黑体"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  <w:t>部门决算情况说明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一、收入支出决算总体情况说明</w:t>
      </w:r>
    </w:p>
    <w:p>
      <w:pPr>
        <w:adjustRightInd w:val="0"/>
        <w:snapToGrid w:val="0"/>
        <w:spacing w:after="0" w:line="580" w:lineRule="exact"/>
        <w:ind w:firstLine="640" w:firstLineChars="200"/>
        <w:rPr>
          <w:rFonts w:ascii="仿宋_GB2312" w:eastAsia="仿宋_GB2312" w:cs="DengXian-Regular"/>
          <w:sz w:val="32"/>
          <w:szCs w:val="32"/>
        </w:rPr>
      </w:pPr>
      <w:r>
        <w:rPr>
          <w:rFonts w:hint="eastAsia" w:ascii="仿宋_GB2312" w:eastAsia="仿宋_GB2312" w:cs="DengXian-Regular"/>
          <w:sz w:val="32"/>
          <w:szCs w:val="32"/>
        </w:rPr>
        <w:t>本部门2018年度收支总计（含结转和结余）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496.14</w:t>
      </w:r>
      <w:r>
        <w:rPr>
          <w:rFonts w:hint="eastAsia" w:ascii="仿宋_GB2312" w:eastAsia="仿宋_GB2312" w:cs="DengXian-Regular"/>
          <w:sz w:val="32"/>
          <w:szCs w:val="32"/>
        </w:rPr>
        <w:t>万元。与2017年度决算相比，收支各增加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88.24</w:t>
      </w:r>
      <w:r>
        <w:rPr>
          <w:rFonts w:hint="eastAsia" w:ascii="仿宋_GB2312" w:eastAsia="仿宋_GB2312" w:cs="DengXian-Regular"/>
          <w:sz w:val="32"/>
          <w:szCs w:val="32"/>
        </w:rPr>
        <w:t>万元，增长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21.63</w:t>
      </w:r>
      <w:r>
        <w:rPr>
          <w:rFonts w:hint="eastAsia" w:ascii="仿宋_GB2312" w:eastAsia="仿宋_GB2312" w:cs="DengXian-Regular"/>
          <w:sz w:val="32"/>
          <w:szCs w:val="32"/>
        </w:rPr>
        <w:t>%，主要是</w:t>
      </w:r>
      <w:r>
        <w:rPr>
          <w:rFonts w:hint="eastAsia" w:ascii="仿宋_GB2312" w:eastAsia="仿宋_GB2312" w:cs="DengXian-Regular"/>
          <w:sz w:val="32"/>
          <w:szCs w:val="32"/>
          <w:lang w:eastAsia="zh-CN"/>
        </w:rPr>
        <w:t>人员经费增加和基层残疾人专职委员经费等项目增加</w:t>
      </w:r>
      <w:r>
        <w:rPr>
          <w:rFonts w:hint="eastAsia" w:ascii="仿宋_GB2312" w:eastAsia="仿宋_GB2312" w:cs="DengXian-Regular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二、收入决算情况说明</w:t>
      </w:r>
    </w:p>
    <w:p>
      <w:pPr>
        <w:adjustRightInd w:val="0"/>
        <w:snapToGrid w:val="0"/>
        <w:spacing w:after="0" w:line="580" w:lineRule="exact"/>
        <w:ind w:firstLine="640" w:firstLineChars="200"/>
        <w:rPr>
          <w:rFonts w:ascii="仿宋_GB2312" w:eastAsia="仿宋_GB2312" w:cs="DengXian-Regular"/>
          <w:sz w:val="32"/>
          <w:szCs w:val="32"/>
        </w:rPr>
      </w:pPr>
      <w:r>
        <w:rPr>
          <w:rFonts w:hint="eastAsia" w:ascii="仿宋_GB2312" w:eastAsia="仿宋_GB2312" w:cs="DengXian-Regular"/>
          <w:sz w:val="32"/>
          <w:szCs w:val="32"/>
        </w:rPr>
        <w:t>本部门2018年度本年收入合计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360.25</w:t>
      </w:r>
      <w:r>
        <w:rPr>
          <w:rFonts w:hint="eastAsia" w:ascii="仿宋_GB2312" w:eastAsia="仿宋_GB2312" w:cs="DengXian-Regular"/>
          <w:sz w:val="32"/>
          <w:szCs w:val="32"/>
        </w:rPr>
        <w:t>万元，其中：财政拨款收入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275.39</w:t>
      </w:r>
      <w:r>
        <w:rPr>
          <w:rFonts w:hint="eastAsia" w:ascii="仿宋_GB2312" w:eastAsia="仿宋_GB2312" w:cs="DengXian-Regular"/>
          <w:sz w:val="32"/>
          <w:szCs w:val="32"/>
        </w:rPr>
        <w:t>万元，占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76.44</w:t>
      </w:r>
      <w:r>
        <w:rPr>
          <w:rFonts w:hint="eastAsia" w:ascii="仿宋_GB2312" w:eastAsia="仿宋_GB2312" w:cs="DengXian-Regular"/>
          <w:sz w:val="32"/>
          <w:szCs w:val="32"/>
        </w:rPr>
        <w:t>%；事业收入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无</w:t>
      </w:r>
      <w:r>
        <w:rPr>
          <w:rFonts w:hint="eastAsia" w:ascii="仿宋_GB2312" w:eastAsia="仿宋_GB2312" w:cs="DengXian-Regular"/>
          <w:sz w:val="32"/>
          <w:szCs w:val="32"/>
        </w:rPr>
        <w:t>；经营收入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无</w:t>
      </w:r>
      <w:r>
        <w:rPr>
          <w:rFonts w:hint="eastAsia" w:ascii="仿宋_GB2312" w:eastAsia="仿宋_GB2312" w:cs="DengXian-Regular"/>
          <w:sz w:val="32"/>
          <w:szCs w:val="32"/>
        </w:rPr>
        <w:t>；其他收入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84.86</w:t>
      </w:r>
      <w:r>
        <w:rPr>
          <w:rFonts w:hint="eastAsia" w:ascii="仿宋_GB2312" w:eastAsia="仿宋_GB2312" w:cs="DengXian-Regular"/>
          <w:sz w:val="32"/>
          <w:szCs w:val="32"/>
        </w:rPr>
        <w:t>万元，占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23.56</w:t>
      </w:r>
      <w:r>
        <w:rPr>
          <w:rFonts w:hint="eastAsia" w:ascii="仿宋_GB2312" w:eastAsia="仿宋_GB2312" w:cs="DengXian-Regular"/>
          <w:sz w:val="32"/>
          <w:szCs w:val="32"/>
        </w:rPr>
        <w:t>%。如图所示：</w:t>
      </w:r>
    </w:p>
    <w:p>
      <w:pPr>
        <w:adjustRightInd w:val="0"/>
        <w:snapToGrid w:val="0"/>
        <w:spacing w:line="584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图1：收入决算结构饼状图</w:t>
      </w:r>
    </w:p>
    <w:p>
      <w:pPr>
        <w:adjustRightInd w:val="0"/>
        <w:snapToGrid w:val="0"/>
        <w:spacing w:line="584" w:lineRule="exact"/>
        <w:jc w:val="center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788035</wp:posOffset>
            </wp:positionH>
            <wp:positionV relativeFrom="paragraph">
              <wp:posOffset>151765</wp:posOffset>
            </wp:positionV>
            <wp:extent cx="3672840" cy="2700020"/>
            <wp:effectExtent l="4445" t="4445" r="18415" b="19685"/>
            <wp:wrapTopAndBottom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三、支出决算情况说明</w:t>
      </w:r>
    </w:p>
    <w:p>
      <w:pPr>
        <w:adjustRightInd w:val="0"/>
        <w:snapToGrid w:val="0"/>
        <w:spacing w:after="0" w:line="580" w:lineRule="exact"/>
        <w:ind w:firstLine="640" w:firstLineChars="200"/>
        <w:rPr>
          <w:rFonts w:ascii="仿宋_GB2312" w:eastAsia="仿宋_GB2312" w:cs="DengXian-Regular"/>
          <w:sz w:val="32"/>
          <w:szCs w:val="32"/>
        </w:rPr>
      </w:pPr>
      <w:r>
        <w:rPr>
          <w:rFonts w:hint="eastAsia" w:ascii="仿宋_GB2312" w:eastAsia="仿宋_GB2312" w:cs="DengXian-Regular"/>
          <w:sz w:val="32"/>
          <w:szCs w:val="32"/>
        </w:rPr>
        <w:t>本部门2018年度本年支出合计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35</w:t>
      </w:r>
      <w:r>
        <w:rPr>
          <w:rFonts w:hint="default" w:ascii="仿宋_GB2312" w:eastAsia="仿宋_GB2312" w:cs="DengXian-Regular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.67</w:t>
      </w:r>
      <w:r>
        <w:rPr>
          <w:rFonts w:hint="eastAsia" w:ascii="仿宋_GB2312" w:eastAsia="仿宋_GB2312" w:cs="DengXian-Regular"/>
          <w:sz w:val="32"/>
          <w:szCs w:val="32"/>
        </w:rPr>
        <w:t>万元，其中：基本支出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106.49</w:t>
      </w:r>
      <w:r>
        <w:rPr>
          <w:rFonts w:hint="eastAsia" w:ascii="仿宋_GB2312" w:eastAsia="仿宋_GB2312" w:cs="DengXian-Regular"/>
          <w:sz w:val="32"/>
          <w:szCs w:val="32"/>
        </w:rPr>
        <w:t>万元，占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29.61</w:t>
      </w:r>
      <w:r>
        <w:rPr>
          <w:rFonts w:hint="eastAsia" w:ascii="仿宋_GB2312" w:eastAsia="仿宋_GB2312" w:cs="DengXian-Regular"/>
          <w:sz w:val="32"/>
          <w:szCs w:val="32"/>
        </w:rPr>
        <w:t>%；项目支出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252.18</w:t>
      </w:r>
      <w:r>
        <w:rPr>
          <w:rFonts w:hint="eastAsia" w:ascii="仿宋_GB2312" w:eastAsia="仿宋_GB2312" w:cs="DengXian-Regular"/>
          <w:sz w:val="32"/>
          <w:szCs w:val="32"/>
        </w:rPr>
        <w:t>万元，占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70.11</w:t>
      </w:r>
      <w:r>
        <w:rPr>
          <w:rFonts w:hint="eastAsia" w:ascii="仿宋_GB2312" w:eastAsia="仿宋_GB2312" w:cs="DengXian-Regular"/>
          <w:sz w:val="32"/>
          <w:szCs w:val="32"/>
        </w:rPr>
        <w:t>%；经营支出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万元，占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%。如图所示：</w:t>
      </w:r>
    </w:p>
    <w:p>
      <w:pPr>
        <w:adjustRightInd w:val="0"/>
        <w:snapToGrid w:val="0"/>
        <w:spacing w:after="0" w:line="5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图2：支出决算结构饼状图</w:t>
      </w:r>
    </w:p>
    <w:p>
      <w:pPr>
        <w:adjustRightInd w:val="0"/>
        <w:snapToGrid w:val="0"/>
        <w:spacing w:after="0" w:line="58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263525</wp:posOffset>
            </wp:positionV>
            <wp:extent cx="4498340" cy="2117090"/>
            <wp:effectExtent l="4445" t="4445" r="12065" b="12065"/>
            <wp:wrapTopAndBottom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四、财政拨款收入支出决算总体情况说明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（一）财政拨款收支与201</w:t>
      </w:r>
      <w:r>
        <w:rPr>
          <w:rFonts w:hint="eastAsia" w:eastAsia="楷体_GB2312"/>
          <w:b/>
          <w:bCs/>
          <w:sz w:val="32"/>
          <w:szCs w:val="32"/>
          <w:lang w:val="en-US" w:eastAsia="zh-CN"/>
        </w:rPr>
        <w:t>7</w:t>
      </w:r>
      <w:r>
        <w:rPr>
          <w:rFonts w:eastAsia="楷体_GB2312"/>
          <w:b/>
          <w:bCs/>
          <w:sz w:val="32"/>
          <w:szCs w:val="32"/>
        </w:rPr>
        <w:t xml:space="preserve"> 年度决算对比情况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eastAsia="仿宋_GB2312" w:cs="DengXian-Regular"/>
          <w:sz w:val="32"/>
          <w:szCs w:val="32"/>
        </w:rPr>
        <w:t>本部门2018年度财政拨款本年收入</w:t>
      </w:r>
      <w:r>
        <w:rPr>
          <w:rFonts w:hint="eastAsia" w:eastAsia="仿宋_GB2312"/>
          <w:sz w:val="32"/>
          <w:szCs w:val="32"/>
          <w:lang w:val="en-US" w:eastAsia="zh-CN"/>
        </w:rPr>
        <w:t>275.39</w:t>
      </w:r>
      <w:r>
        <w:rPr>
          <w:rFonts w:hint="eastAsia" w:ascii="仿宋_GB2312" w:eastAsia="仿宋_GB2312" w:cs="DengXian-Regular"/>
          <w:sz w:val="32"/>
          <w:szCs w:val="32"/>
        </w:rPr>
        <w:t>万元,比2017年度</w:t>
      </w:r>
      <w:r>
        <w:rPr>
          <w:rFonts w:hint="eastAsia" w:eastAsia="仿宋_GB2312"/>
          <w:sz w:val="32"/>
          <w:szCs w:val="32"/>
          <w:lang w:val="en-US" w:eastAsia="zh-CN"/>
        </w:rPr>
        <w:t>减少129.01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减少31.9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2018年度取消了残疾人参合资金项目，增加专职委员经费项目，人员经费略有增加</w:t>
      </w:r>
      <w:r>
        <w:rPr>
          <w:rFonts w:hint="eastAsia" w:ascii="仿宋_GB2312" w:eastAsia="仿宋_GB2312" w:cs="DengXian-Regular"/>
          <w:sz w:val="32"/>
          <w:szCs w:val="32"/>
          <w:lang w:eastAsia="zh-CN"/>
        </w:rPr>
        <w:t>；</w:t>
      </w:r>
      <w:r>
        <w:rPr>
          <w:rFonts w:hint="eastAsia" w:ascii="仿宋_GB2312" w:eastAsia="仿宋_GB2312" w:cs="DengXian-Regular"/>
          <w:sz w:val="32"/>
          <w:szCs w:val="32"/>
        </w:rPr>
        <w:t>本年支出</w:t>
      </w:r>
      <w:r>
        <w:rPr>
          <w:rFonts w:hint="eastAsia" w:eastAsia="仿宋_GB2312"/>
          <w:sz w:val="32"/>
          <w:szCs w:val="32"/>
          <w:lang w:val="en-US" w:eastAsia="zh-CN"/>
        </w:rPr>
        <w:t>358.67</w:t>
      </w:r>
      <w:r>
        <w:rPr>
          <w:rFonts w:eastAsia="仿宋_GB2312"/>
          <w:sz w:val="32"/>
          <w:szCs w:val="32"/>
        </w:rPr>
        <w:t>万元、支出</w:t>
      </w:r>
      <w:r>
        <w:rPr>
          <w:rFonts w:hint="eastAsia" w:eastAsia="仿宋_GB2312"/>
          <w:sz w:val="32"/>
          <w:szCs w:val="32"/>
          <w:lang w:val="en-US" w:eastAsia="zh-CN"/>
        </w:rPr>
        <w:t>增加86.97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增加32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增加专职委员经费项目和上级专项资金增加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after="0" w:line="580" w:lineRule="exact"/>
        <w:ind w:firstLine="640" w:firstLineChars="200"/>
        <w:rPr>
          <w:rFonts w:ascii="仿宋_GB2312" w:eastAsia="仿宋_GB2312" w:cs="DengXian-Regular"/>
          <w:sz w:val="32"/>
          <w:szCs w:val="32"/>
        </w:rPr>
      </w:pPr>
      <w:r>
        <w:rPr>
          <w:rFonts w:hint="eastAsia" w:ascii="仿宋_GB2312" w:eastAsia="仿宋_GB2312" w:cs="DengXian-Regular"/>
          <w:sz w:val="32"/>
          <w:szCs w:val="32"/>
        </w:rPr>
        <w:t>其中：一般公共预算财政拨款本年收入</w:t>
      </w:r>
      <w:r>
        <w:rPr>
          <w:rFonts w:hint="eastAsia" w:eastAsia="仿宋_GB2312"/>
          <w:sz w:val="32"/>
          <w:szCs w:val="32"/>
          <w:lang w:val="en-US" w:eastAsia="zh-CN"/>
        </w:rPr>
        <w:t>272.69</w:t>
      </w:r>
      <w:r>
        <w:rPr>
          <w:rFonts w:hint="eastAsia" w:ascii="仿宋_GB2312" w:eastAsia="仿宋_GB2312" w:cs="DengXian-Regular"/>
          <w:sz w:val="32"/>
          <w:szCs w:val="32"/>
        </w:rPr>
        <w:t>万元，比2017年度</w:t>
      </w:r>
      <w:r>
        <w:rPr>
          <w:rFonts w:hint="eastAsia" w:eastAsia="仿宋_GB2312"/>
          <w:sz w:val="32"/>
          <w:szCs w:val="32"/>
          <w:lang w:val="en-US" w:eastAsia="zh-CN"/>
        </w:rPr>
        <w:t>减少114.21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降低29.52</w:t>
      </w:r>
      <w:r>
        <w:rPr>
          <w:rFonts w:eastAsia="仿宋_GB2312"/>
          <w:sz w:val="32"/>
          <w:szCs w:val="32"/>
        </w:rPr>
        <w:t>%，</w:t>
      </w:r>
      <w:r>
        <w:rPr>
          <w:rFonts w:eastAsia="仿宋_GB2312"/>
          <w:color w:val="auto"/>
          <w:sz w:val="32"/>
          <w:szCs w:val="32"/>
        </w:rPr>
        <w:t>主要原因是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2018年减少残疾人参合资金</w:t>
      </w:r>
      <w:r>
        <w:rPr>
          <w:rFonts w:hint="eastAsia" w:ascii="仿宋_GB2312" w:eastAsia="仿宋_GB2312" w:cs="DengXian-Regular"/>
          <w:sz w:val="32"/>
          <w:szCs w:val="32"/>
        </w:rPr>
        <w:t>；本年支出</w:t>
      </w:r>
      <w:r>
        <w:rPr>
          <w:rFonts w:hint="eastAsia" w:eastAsia="仿宋_GB2312"/>
          <w:sz w:val="32"/>
          <w:szCs w:val="32"/>
          <w:lang w:val="en-US" w:eastAsia="zh-CN"/>
        </w:rPr>
        <w:t>347.74</w:t>
      </w:r>
      <w:r>
        <w:rPr>
          <w:rFonts w:hint="eastAsia" w:ascii="仿宋_GB2312" w:eastAsia="仿宋_GB2312" w:cs="DengXian-Regular"/>
          <w:sz w:val="32"/>
          <w:szCs w:val="32"/>
        </w:rPr>
        <w:t>万元，比2017年度</w:t>
      </w:r>
      <w:r>
        <w:rPr>
          <w:rFonts w:hint="eastAsia" w:eastAsia="仿宋_GB2312"/>
          <w:sz w:val="32"/>
          <w:szCs w:val="32"/>
          <w:lang w:val="en-US" w:eastAsia="zh-CN"/>
        </w:rPr>
        <w:t>增加85.31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增加32.5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default" w:eastAsia="仿宋_GB2312"/>
          <w:sz w:val="32"/>
          <w:szCs w:val="32"/>
          <w:lang w:val="en-US" w:eastAsia="zh-CN"/>
        </w:rPr>
        <w:t>201</w:t>
      </w:r>
      <w:r>
        <w:rPr>
          <w:rFonts w:hint="eastAsia" w:eastAsia="仿宋_GB2312"/>
          <w:sz w:val="32"/>
          <w:szCs w:val="32"/>
          <w:lang w:val="en-US" w:eastAsia="zh-CN"/>
        </w:rPr>
        <w:t>7年项目资金结转2018年支出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after="0" w:line="580" w:lineRule="exact"/>
        <w:ind w:firstLine="640" w:firstLineChars="200"/>
        <w:rPr>
          <w:rFonts w:hint="eastAsia" w:ascii="仿宋_GB2312" w:eastAsia="仿宋_GB2312" w:cs="DengXian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DengXian-Regular"/>
          <w:sz w:val="32"/>
          <w:szCs w:val="32"/>
        </w:rPr>
        <w:t>政府性基金预算财政拨款本年收入</w:t>
      </w:r>
      <w:r>
        <w:rPr>
          <w:rFonts w:hint="eastAsia" w:eastAsia="仿宋_GB2312"/>
          <w:sz w:val="32"/>
          <w:szCs w:val="32"/>
          <w:lang w:val="en-US" w:eastAsia="zh-CN"/>
        </w:rPr>
        <w:t>2.7</w:t>
      </w:r>
      <w:r>
        <w:rPr>
          <w:rFonts w:hint="eastAsia" w:ascii="仿宋_GB2312" w:eastAsia="仿宋_GB2312" w:cs="DengXian-Regular"/>
          <w:sz w:val="32"/>
          <w:szCs w:val="32"/>
        </w:rPr>
        <w:t>万元，比2017年度</w:t>
      </w:r>
      <w:r>
        <w:rPr>
          <w:rFonts w:hint="eastAsia" w:eastAsia="仿宋_GB2312"/>
          <w:sz w:val="32"/>
          <w:szCs w:val="32"/>
          <w:lang w:val="en-US" w:eastAsia="zh-CN"/>
        </w:rPr>
        <w:t>减少14.8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val="en-US" w:eastAsia="zh-CN"/>
        </w:rPr>
        <w:t>降低84.57%</w:t>
      </w:r>
      <w:r>
        <w:rPr>
          <w:rFonts w:eastAsia="仿宋_GB2312"/>
          <w:sz w:val="32"/>
          <w:szCs w:val="32"/>
        </w:rPr>
        <w:t>，主要原因是</w:t>
      </w:r>
      <w:r>
        <w:rPr>
          <w:rFonts w:hint="eastAsia" w:eastAsia="仿宋_GB2312"/>
          <w:sz w:val="32"/>
          <w:szCs w:val="32"/>
          <w:lang w:val="en-US" w:eastAsia="zh-CN"/>
        </w:rPr>
        <w:t>上级下拨政府性基金减少</w:t>
      </w:r>
      <w:r>
        <w:rPr>
          <w:rFonts w:hint="eastAsia" w:ascii="仿宋_GB2312" w:eastAsia="仿宋_GB2312" w:cs="DengXian-Regular"/>
          <w:sz w:val="32"/>
          <w:szCs w:val="32"/>
        </w:rPr>
        <w:t>；本年支出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10.93</w:t>
      </w:r>
      <w:r>
        <w:rPr>
          <w:rFonts w:hint="eastAsia" w:ascii="仿宋_GB2312" w:eastAsia="仿宋_GB2312" w:cs="DengXian-Regular"/>
          <w:sz w:val="32"/>
          <w:szCs w:val="32"/>
        </w:rPr>
        <w:t>万元，比2017年度增加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1.66</w:t>
      </w:r>
      <w:r>
        <w:rPr>
          <w:rFonts w:hint="eastAsia" w:ascii="仿宋_GB2312" w:eastAsia="仿宋_GB2312" w:cs="DengXian-Regular"/>
          <w:sz w:val="32"/>
          <w:szCs w:val="32"/>
        </w:rPr>
        <w:t>万元，增长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17.91</w:t>
      </w:r>
      <w:r>
        <w:rPr>
          <w:rFonts w:hint="eastAsia" w:ascii="仿宋_GB2312" w:eastAsia="仿宋_GB2312" w:cs="DengXian-Regular"/>
          <w:sz w:val="32"/>
          <w:szCs w:val="32"/>
        </w:rPr>
        <w:t>%，主要是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去年结转资金今年支出。</w:t>
      </w:r>
    </w:p>
    <w:p>
      <w:pPr>
        <w:adjustRightInd w:val="0"/>
        <w:snapToGrid w:val="0"/>
        <w:spacing w:after="0" w:line="58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图3：财政拨款收支情况</w:t>
      </w:r>
    </w:p>
    <w:p>
      <w:pPr>
        <w:adjustRightInd w:val="0"/>
        <w:snapToGrid w:val="0"/>
        <w:spacing w:after="0" w:line="58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347345</wp:posOffset>
            </wp:positionH>
            <wp:positionV relativeFrom="page">
              <wp:posOffset>4089400</wp:posOffset>
            </wp:positionV>
            <wp:extent cx="4920615" cy="2868295"/>
            <wp:effectExtent l="4445" t="4445" r="8890" b="22860"/>
            <wp:wrapTopAndBottom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eastAsia="仿宋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（二）财政拨款收支与年初预算数对比情况</w:t>
      </w:r>
    </w:p>
    <w:p>
      <w:pPr>
        <w:adjustRightInd w:val="0"/>
        <w:snapToGrid w:val="0"/>
        <w:spacing w:after="0" w:line="580" w:lineRule="exact"/>
        <w:ind w:firstLine="640" w:firstLineChars="200"/>
        <w:rPr>
          <w:rFonts w:ascii="仿宋_GB2312" w:eastAsia="仿宋_GB2312" w:cs="DengXian-Regular"/>
          <w:sz w:val="32"/>
          <w:szCs w:val="32"/>
        </w:rPr>
      </w:pPr>
      <w:r>
        <w:rPr>
          <w:rFonts w:hint="eastAsia" w:ascii="仿宋_GB2312" w:eastAsia="仿宋_GB2312" w:cs="DengXian-Regular"/>
          <w:sz w:val="32"/>
          <w:szCs w:val="32"/>
        </w:rPr>
        <w:t>本部门2018年度财政拨款本年收入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275.39</w:t>
      </w:r>
      <w:r>
        <w:rPr>
          <w:rFonts w:hint="eastAsia" w:ascii="仿宋_GB2312" w:eastAsia="仿宋_GB2312" w:cs="DengXian-Regular"/>
          <w:sz w:val="32"/>
          <w:szCs w:val="32"/>
        </w:rPr>
        <w:t>万元，完成年初预算的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83.38</w:t>
      </w:r>
      <w:r>
        <w:rPr>
          <w:rFonts w:hint="eastAsia" w:ascii="仿宋_GB2312" w:eastAsia="仿宋_GB2312" w:cs="DengXian-Regular"/>
          <w:sz w:val="32"/>
          <w:szCs w:val="32"/>
        </w:rPr>
        <w:t>%,比年初预算减少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54.89</w:t>
      </w:r>
      <w:r>
        <w:rPr>
          <w:rFonts w:hint="eastAsia" w:ascii="仿宋_GB2312" w:eastAsia="仿宋_GB2312" w:cs="DengXian-Regular"/>
          <w:sz w:val="32"/>
          <w:szCs w:val="32"/>
        </w:rPr>
        <w:t>万元，决算数小于预算数主要是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一般行政事务管理资金调整和部分项目资金结转下年</w:t>
      </w:r>
      <w:r>
        <w:rPr>
          <w:rFonts w:hint="eastAsia" w:ascii="仿宋_GB2312" w:eastAsia="仿宋_GB2312" w:cs="DengXian-Regular"/>
          <w:sz w:val="32"/>
          <w:szCs w:val="32"/>
        </w:rPr>
        <w:t>；本年支出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358.67</w:t>
      </w:r>
      <w:r>
        <w:rPr>
          <w:rFonts w:hint="eastAsia" w:ascii="仿宋_GB2312" w:eastAsia="仿宋_GB2312" w:cs="DengXian-Regular"/>
          <w:sz w:val="32"/>
          <w:szCs w:val="32"/>
        </w:rPr>
        <w:t>万元，完成年初预算的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108.6</w:t>
      </w:r>
      <w:r>
        <w:rPr>
          <w:rFonts w:hint="eastAsia" w:ascii="仿宋_GB2312" w:eastAsia="仿宋_GB2312" w:cs="DengXian-Regular"/>
          <w:sz w:val="32"/>
          <w:szCs w:val="32"/>
        </w:rPr>
        <w:t>%,比年初预算增加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28.39</w:t>
      </w:r>
      <w:r>
        <w:rPr>
          <w:rFonts w:hint="eastAsia" w:ascii="仿宋_GB2312" w:eastAsia="仿宋_GB2312" w:cs="DengXian-Regular"/>
          <w:sz w:val="32"/>
          <w:szCs w:val="32"/>
        </w:rPr>
        <w:t>万元，决算数大于预算数主要是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增加上年结转资金</w:t>
      </w:r>
      <w:r>
        <w:rPr>
          <w:rFonts w:hint="eastAsia" w:ascii="仿宋_GB2312" w:eastAsia="仿宋_GB2312" w:cs="DengXian-Regular"/>
          <w:sz w:val="32"/>
          <w:szCs w:val="32"/>
        </w:rPr>
        <w:t>。</w:t>
      </w:r>
    </w:p>
    <w:p>
      <w:pPr>
        <w:adjustRightInd w:val="0"/>
        <w:snapToGrid w:val="0"/>
        <w:spacing w:after="0" w:line="580" w:lineRule="exact"/>
        <w:ind w:firstLine="640" w:firstLineChars="200"/>
        <w:rPr>
          <w:rFonts w:ascii="仿宋_GB2312" w:eastAsia="仿宋_GB2312" w:cs="DengXian-Regular"/>
          <w:sz w:val="32"/>
          <w:szCs w:val="32"/>
        </w:rPr>
      </w:pPr>
      <w:r>
        <w:rPr>
          <w:rFonts w:hint="eastAsia" w:ascii="仿宋_GB2312" w:eastAsia="仿宋_GB2312" w:cs="DengXian-Regular"/>
          <w:sz w:val="32"/>
          <w:szCs w:val="32"/>
        </w:rPr>
        <w:t>其中，一般公共预算财政拨款本年收入完成年初预算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87</w:t>
      </w:r>
      <w:r>
        <w:rPr>
          <w:rFonts w:hint="eastAsia" w:ascii="仿宋_GB2312" w:eastAsia="仿宋_GB2312" w:cs="DengXian-Regular"/>
          <w:sz w:val="32"/>
          <w:szCs w:val="32"/>
        </w:rPr>
        <w:t>%，比年初预算减少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40.76</w:t>
      </w:r>
      <w:r>
        <w:rPr>
          <w:rFonts w:hint="eastAsia" w:ascii="仿宋_GB2312" w:eastAsia="仿宋_GB2312" w:cs="DengXian-Regular"/>
          <w:sz w:val="32"/>
          <w:szCs w:val="32"/>
        </w:rPr>
        <w:t>万元，决算数小于预算数主要是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项目调整和项目没有完成</w:t>
      </w:r>
      <w:r>
        <w:rPr>
          <w:rFonts w:hint="eastAsia" w:ascii="仿宋_GB2312" w:eastAsia="仿宋_GB2312" w:cs="DengXian-Regular"/>
          <w:sz w:val="32"/>
          <w:szCs w:val="32"/>
        </w:rPr>
        <w:t>；支出完成年初预算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110.93</w:t>
      </w:r>
      <w:r>
        <w:rPr>
          <w:rFonts w:hint="eastAsia" w:ascii="仿宋_GB2312" w:eastAsia="仿宋_GB2312" w:cs="DengXian-Regular"/>
          <w:sz w:val="32"/>
          <w:szCs w:val="32"/>
        </w:rPr>
        <w:t>%，比年初预算增加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34.29</w:t>
      </w:r>
      <w:r>
        <w:rPr>
          <w:rFonts w:hint="eastAsia" w:ascii="仿宋_GB2312" w:eastAsia="仿宋_GB2312" w:cs="DengXian-Regular"/>
          <w:sz w:val="32"/>
          <w:szCs w:val="32"/>
        </w:rPr>
        <w:t>万元，决算数大于预算数主要是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支出上年结转资金</w:t>
      </w:r>
      <w:r>
        <w:rPr>
          <w:rFonts w:hint="eastAsia" w:ascii="仿宋_GB2312" w:eastAsia="仿宋_GB2312" w:cs="DengXian-Regular"/>
          <w:sz w:val="32"/>
          <w:szCs w:val="32"/>
        </w:rPr>
        <w:t>。政府性基金预算财政拨款本年收入完成年初预算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16.42</w:t>
      </w:r>
      <w:r>
        <w:rPr>
          <w:rFonts w:hint="eastAsia" w:ascii="仿宋_GB2312" w:eastAsia="仿宋_GB2312" w:cs="DengXian-Regular"/>
          <w:sz w:val="32"/>
          <w:szCs w:val="32"/>
        </w:rPr>
        <w:t>%，比年初预算减少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14.13</w:t>
      </w:r>
      <w:r>
        <w:rPr>
          <w:rFonts w:hint="eastAsia" w:ascii="仿宋_GB2312" w:eastAsia="仿宋_GB2312" w:cs="DengXian-Regular"/>
          <w:sz w:val="32"/>
          <w:szCs w:val="32"/>
        </w:rPr>
        <w:t>万元，决算数小于预算数主要是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年初预算基金数有误</w:t>
      </w:r>
      <w:r>
        <w:rPr>
          <w:rFonts w:hint="eastAsia" w:ascii="仿宋_GB2312" w:eastAsia="仿宋_GB2312" w:cs="DengXian-Regular"/>
          <w:sz w:val="32"/>
          <w:szCs w:val="32"/>
        </w:rPr>
        <w:t>；支出完成年初预算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55.02</w:t>
      </w:r>
      <w:r>
        <w:rPr>
          <w:rFonts w:hint="eastAsia" w:ascii="仿宋_GB2312" w:eastAsia="仿宋_GB2312" w:cs="DengXian-Regular"/>
          <w:sz w:val="32"/>
          <w:szCs w:val="32"/>
        </w:rPr>
        <w:t>%，比年初预算减少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5.9</w:t>
      </w:r>
      <w:r>
        <w:rPr>
          <w:rFonts w:hint="eastAsia" w:ascii="仿宋_GB2312" w:eastAsia="仿宋_GB2312" w:cs="DengXian-Regular"/>
          <w:sz w:val="32"/>
          <w:szCs w:val="32"/>
        </w:rPr>
        <w:t>万元，决算数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小于预算</w:t>
      </w:r>
      <w:r>
        <w:rPr>
          <w:rFonts w:hint="eastAsia" w:ascii="仿宋_GB2312" w:eastAsia="仿宋_GB2312" w:cs="DengXian-Regular"/>
          <w:sz w:val="32"/>
          <w:szCs w:val="32"/>
        </w:rPr>
        <w:t>数主要是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年初基金数有误</w:t>
      </w:r>
      <w:r>
        <w:rPr>
          <w:rFonts w:hint="eastAsia" w:ascii="仿宋_GB2312" w:eastAsia="仿宋_GB2312" w:cs="DengXian-Regular"/>
          <w:sz w:val="32"/>
          <w:szCs w:val="32"/>
        </w:rPr>
        <w:t>。</w:t>
      </w:r>
    </w:p>
    <w:p>
      <w:pPr>
        <w:adjustRightInd w:val="0"/>
        <w:snapToGrid w:val="0"/>
        <w:spacing w:after="0" w:line="580" w:lineRule="exact"/>
        <w:jc w:val="center"/>
        <w:rPr>
          <w:rFonts w:ascii="仿宋_GB2312" w:eastAsia="仿宋_GB2312" w:cs="DengXian-Regular"/>
          <w:sz w:val="24"/>
        </w:rPr>
      </w:pPr>
      <w:r>
        <w:rPr>
          <w:rFonts w:hint="eastAsia" w:eastAsia="仿宋_GB2312"/>
          <w:sz w:val="32"/>
          <w:szCs w:val="32"/>
        </w:rPr>
        <w:t>图4：财政拨款收支预决算对比情况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222885</wp:posOffset>
            </wp:positionV>
            <wp:extent cx="4171315" cy="2263775"/>
            <wp:effectExtent l="4445" t="5080" r="15240" b="17145"/>
            <wp:wrapSquare wrapText="bothSides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eastAsia" w:ascii="楷体_GB2312" w:eastAsia="楷体_GB2312" w:cs="DengXian-Bold"/>
          <w:b/>
          <w:bCs/>
          <w:sz w:val="32"/>
          <w:szCs w:val="32"/>
        </w:rPr>
      </w:pPr>
      <w:r>
        <w:rPr>
          <w:rFonts w:hint="eastAsia" w:ascii="楷体_GB2312" w:eastAsia="楷体_GB2312" w:cs="DengXian-Bold"/>
          <w:b/>
          <w:bCs/>
          <w:sz w:val="32"/>
          <w:szCs w:val="32"/>
        </w:rPr>
        <w:t>财政拨款支出决算结构情况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/>
        <w:textAlignment w:val="auto"/>
        <w:rPr>
          <w:rFonts w:hint="eastAsia" w:ascii="仿宋_GB2312" w:eastAsia="仿宋_GB2312" w:cs="DengXian-Regular"/>
          <w:sz w:val="32"/>
          <w:szCs w:val="32"/>
          <w:lang w:val="en-US" w:eastAsia="zh-CN"/>
        </w:rPr>
      </w:pPr>
      <w:r>
        <w:rPr>
          <w:rFonts w:hint="eastAsia" w:ascii="仿宋_GB2312" w:eastAsia="仿宋_GB2312" w:cs="DengXian-Regular"/>
          <w:sz w:val="32"/>
          <w:szCs w:val="32"/>
        </w:rPr>
        <w:t>2018 年度财政拨款支出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358.67</w:t>
      </w:r>
      <w:r>
        <w:rPr>
          <w:rFonts w:hint="eastAsia" w:ascii="仿宋_GB2312" w:eastAsia="仿宋_GB2312" w:cs="DengXian-Regular"/>
          <w:sz w:val="32"/>
          <w:szCs w:val="32"/>
        </w:rPr>
        <w:t>万元，主要用于以下方面</w:t>
      </w:r>
      <w:r>
        <w:rPr>
          <w:rFonts w:hint="eastAsia" w:ascii="仿宋_GB2312" w:eastAsia="仿宋_GB2312" w:cs="DengXian-Regular"/>
          <w:sz w:val="32"/>
          <w:szCs w:val="32"/>
          <w:lang w:eastAsia="zh-CN"/>
        </w:rPr>
        <w:t>：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社会保障和就业支出345.07万元，占96.21%；医疗卫生与计划生育支出2.67万元，占0.74%；其它支出10.93万元，占3.05%。</w:t>
      </w:r>
    </w:p>
    <w:p>
      <w:pPr>
        <w:adjustRightInd w:val="0"/>
        <w:snapToGrid w:val="0"/>
        <w:spacing w:after="0" w:line="58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default" w:ascii="仿宋_GB2312" w:eastAsia="仿宋_GB2312" w:cs="DengXian-Regular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461645</wp:posOffset>
            </wp:positionV>
            <wp:extent cx="4709795" cy="2772410"/>
            <wp:effectExtent l="4445" t="4445" r="10160" b="23495"/>
            <wp:wrapSquare wrapText="bothSides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hint="eastAsia" w:eastAsia="仿宋_GB2312"/>
          <w:sz w:val="32"/>
          <w:szCs w:val="32"/>
        </w:rPr>
        <w:t>图5：财政拨款支出决算结构（按功能分类）</w:t>
      </w:r>
    </w:p>
    <w:p>
      <w:pPr>
        <w:adjustRightInd w:val="0"/>
        <w:snapToGrid w:val="0"/>
        <w:spacing w:after="0" w:line="580" w:lineRule="exact"/>
        <w:jc w:val="center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after="0" w:line="580" w:lineRule="exact"/>
        <w:jc w:val="center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after="0" w:line="580" w:lineRule="exact"/>
        <w:jc w:val="center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after="0" w:line="580" w:lineRule="exact"/>
        <w:jc w:val="center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after="0" w:line="580" w:lineRule="exact"/>
        <w:jc w:val="center"/>
        <w:rPr>
          <w:rFonts w:hint="eastAsia" w:eastAsia="仿宋_GB2312"/>
          <w:sz w:val="32"/>
          <w:szCs w:val="32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/>
        <w:textAlignment w:val="auto"/>
        <w:rPr>
          <w:rFonts w:hint="default" w:ascii="仿宋_GB2312" w:eastAsia="仿宋_GB2312" w:cs="DengXian-Regular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/>
        <w:textAlignment w:val="auto"/>
        <w:rPr>
          <w:rFonts w:hint="default" w:ascii="仿宋_GB2312" w:eastAsia="仿宋_GB2312" w:cs="DengXian-Regular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/>
        <w:textAlignment w:val="auto"/>
        <w:rPr>
          <w:rFonts w:hint="default" w:ascii="仿宋_GB2312" w:eastAsia="仿宋_GB2312" w:cs="DengXian-Regular"/>
          <w:sz w:val="32"/>
          <w:szCs w:val="32"/>
          <w:lang w:val="en-US" w:eastAsia="zh-CN"/>
        </w:rPr>
      </w:pPr>
    </w:p>
    <w:p>
      <w:pPr>
        <w:adjustRightInd w:val="0"/>
        <w:snapToGrid w:val="0"/>
        <w:spacing w:after="0" w:line="580" w:lineRule="exact"/>
        <w:ind w:left="420" w:leftChars="200"/>
        <w:rPr>
          <w:rFonts w:ascii="楷体_GB2312" w:eastAsia="楷体_GB2312" w:cs="DengXian-Bold"/>
          <w:b/>
          <w:bCs/>
          <w:sz w:val="32"/>
          <w:szCs w:val="32"/>
        </w:rPr>
      </w:pPr>
      <w:r>
        <w:rPr>
          <w:rFonts w:hint="eastAsia" w:ascii="楷体_GB2312" w:eastAsia="楷体_GB2312" w:cs="DengXian-Bold"/>
          <w:b/>
          <w:bCs/>
          <w:sz w:val="32"/>
          <w:szCs w:val="32"/>
        </w:rPr>
        <w:t>（四）一般公共预算财政拨款基本支出决算情况说明</w:t>
      </w:r>
    </w:p>
    <w:p>
      <w:pPr>
        <w:adjustRightInd w:val="0"/>
        <w:snapToGrid w:val="0"/>
        <w:spacing w:after="0"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eastAsia="仿宋_GB2312" w:cs="DengXian-Regular"/>
          <w:sz w:val="32"/>
          <w:szCs w:val="32"/>
        </w:rPr>
        <w:t>2018 年度一般公共预算财政拨款基本支出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106.48</w:t>
      </w:r>
      <w:r>
        <w:rPr>
          <w:rFonts w:hint="eastAsia" w:ascii="仿宋_GB2312" w:eastAsia="仿宋_GB2312" w:cs="DengXian-Regular"/>
          <w:sz w:val="32"/>
          <w:szCs w:val="32"/>
        </w:rPr>
        <w:t>万元，其中：人员经费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98.41</w:t>
      </w:r>
      <w:r>
        <w:rPr>
          <w:rFonts w:hint="eastAsia" w:ascii="仿宋_GB2312" w:eastAsia="仿宋_GB2312" w:cs="DengXian-Regular"/>
          <w:sz w:val="32"/>
          <w:szCs w:val="32"/>
        </w:rPr>
        <w:t>万元，主要包括基本工资、津贴补贴、奖金、绩效工资、机关事业单位基本养老保险缴费、职业年金缴费、职工基本医疗保险缴费、其他社会保障缴费、其他工资福利支出；公用经费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8.07</w:t>
      </w:r>
      <w:r>
        <w:rPr>
          <w:rFonts w:hint="eastAsia" w:ascii="仿宋_GB2312" w:eastAsia="仿宋_GB2312" w:cs="DengXian-Regular"/>
          <w:sz w:val="32"/>
          <w:szCs w:val="32"/>
        </w:rPr>
        <w:t>万元，主要包括办公费、邮电费、取暖费、物业管理费、差旅费、公务用车运行维护费、其他交通费用。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五、一般公共预算财政拨款“三公”经费支出决算情况说明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本部门</w:t>
      </w:r>
      <w:r>
        <w:rPr>
          <w:rFonts w:eastAsia="仿宋_GB2312"/>
          <w:sz w:val="32"/>
          <w:szCs w:val="32"/>
          <w:lang w:val="en-US"/>
        </w:rPr>
        <w:t>2018</w:t>
      </w:r>
      <w:r>
        <w:rPr>
          <w:rFonts w:eastAsia="仿宋_GB2312"/>
          <w:sz w:val="32"/>
          <w:szCs w:val="32"/>
        </w:rPr>
        <w:t>年度一般公共预算财政拨款“三公”经费支出共计</w:t>
      </w:r>
      <w:r>
        <w:rPr>
          <w:rFonts w:hint="eastAsia" w:eastAsia="仿宋_GB2312"/>
          <w:sz w:val="32"/>
          <w:szCs w:val="32"/>
          <w:lang w:val="en-US" w:eastAsia="zh-CN"/>
        </w:rPr>
        <w:t>1.61</w:t>
      </w:r>
      <w:r>
        <w:rPr>
          <w:rFonts w:eastAsia="仿宋_GB2312"/>
          <w:sz w:val="32"/>
          <w:szCs w:val="32"/>
        </w:rPr>
        <w:t>万元，较年初预算减少</w:t>
      </w:r>
      <w:r>
        <w:rPr>
          <w:rFonts w:hint="eastAsia" w:eastAsia="仿宋_GB2312"/>
          <w:sz w:val="32"/>
          <w:szCs w:val="32"/>
          <w:lang w:val="en-US" w:eastAsia="zh-CN"/>
        </w:rPr>
        <w:t>1.89</w:t>
      </w:r>
      <w:r>
        <w:rPr>
          <w:rFonts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54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按照上级精神，坚持</w:t>
      </w:r>
      <w:r>
        <w:rPr>
          <w:rFonts w:hint="eastAsia" w:ascii="仿宋_GB2312" w:hAnsi="宋体" w:eastAsia="仿宋_GB2312"/>
          <w:sz w:val="32"/>
          <w:lang w:val="en-US" w:eastAsia="zh-CN"/>
        </w:rPr>
        <w:t>厉行节约</w:t>
      </w:r>
      <w:r>
        <w:rPr>
          <w:rFonts w:eastAsia="仿宋_GB2312"/>
          <w:sz w:val="32"/>
          <w:szCs w:val="32"/>
        </w:rPr>
        <w:t>；较201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年度决算减少</w:t>
      </w:r>
      <w:r>
        <w:rPr>
          <w:rFonts w:hint="eastAsia" w:eastAsia="仿宋_GB2312"/>
          <w:sz w:val="32"/>
          <w:szCs w:val="32"/>
          <w:lang w:val="en-US" w:eastAsia="zh-CN"/>
        </w:rPr>
        <w:t>0.61</w:t>
      </w:r>
      <w:r>
        <w:rPr>
          <w:rFonts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27.48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执行</w:t>
      </w:r>
      <w:r>
        <w:rPr>
          <w:rFonts w:hint="eastAsia" w:ascii="仿宋_GB2312" w:hAnsi="宋体" w:eastAsia="仿宋_GB2312"/>
          <w:sz w:val="32"/>
          <w:lang w:val="en-US" w:eastAsia="zh-CN"/>
        </w:rPr>
        <w:t>厉行节约和没有公务招待支出</w:t>
      </w:r>
      <w:r>
        <w:rPr>
          <w:rFonts w:eastAsia="仿宋_GB2312"/>
          <w:sz w:val="32"/>
          <w:szCs w:val="32"/>
        </w:rPr>
        <w:t>。具体情况如下：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因公出国（境）费支出</w:t>
      </w:r>
      <w:r>
        <w:rPr>
          <w:rFonts w:hint="eastAsia" w:eastAsia="楷体_GB2312"/>
          <w:b/>
          <w:bCs/>
          <w:sz w:val="32"/>
          <w:szCs w:val="32"/>
          <w:lang w:val="en-US" w:eastAsia="zh-CN"/>
        </w:rPr>
        <w:t>0</w:t>
      </w:r>
      <w:r>
        <w:rPr>
          <w:rFonts w:eastAsia="楷体_GB2312"/>
          <w:b/>
          <w:bCs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本部门201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年度</w:t>
      </w:r>
      <w:r>
        <w:rPr>
          <w:rFonts w:hint="eastAsia" w:ascii="仿宋_GB2312" w:eastAsia="仿宋_GB2312" w:cs="DengXian-Regular"/>
          <w:sz w:val="32"/>
          <w:szCs w:val="32"/>
        </w:rPr>
        <w:t>因公出国（境）团组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个、共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人参加其他单位组织的因公出国（境）团组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个、无本单位组织的出国（境）团组。</w:t>
      </w:r>
      <w:r>
        <w:rPr>
          <w:rFonts w:eastAsia="仿宋_GB2312"/>
          <w:sz w:val="32"/>
          <w:szCs w:val="32"/>
        </w:rPr>
        <w:t>因公出国（境）费支出</w:t>
      </w:r>
      <w:r>
        <w:rPr>
          <w:rFonts w:hint="eastAsia" w:eastAsia="仿宋_GB2312"/>
          <w:sz w:val="32"/>
          <w:szCs w:val="32"/>
        </w:rPr>
        <w:t>比</w:t>
      </w:r>
      <w:r>
        <w:rPr>
          <w:rFonts w:eastAsia="仿宋_GB2312"/>
          <w:sz w:val="32"/>
          <w:szCs w:val="32"/>
        </w:rPr>
        <w:t>年初预算增加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万元，增长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%；</w:t>
      </w:r>
      <w:r>
        <w:rPr>
          <w:rFonts w:hint="eastAsia" w:eastAsia="仿宋_GB2312"/>
          <w:sz w:val="32"/>
          <w:szCs w:val="32"/>
        </w:rPr>
        <w:t>比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年度决算增加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万元，增长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%。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eastAsia="仿宋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公务用车购置及运行维护费支出</w:t>
      </w:r>
      <w:r>
        <w:rPr>
          <w:rFonts w:hint="eastAsia" w:eastAsia="楷体_GB2312"/>
          <w:b/>
          <w:bCs/>
          <w:sz w:val="32"/>
          <w:szCs w:val="32"/>
          <w:lang w:val="en-US" w:eastAsia="zh-CN"/>
        </w:rPr>
        <w:t>1.61</w:t>
      </w:r>
      <w:r>
        <w:rPr>
          <w:rFonts w:eastAsia="楷体_GB2312"/>
          <w:b/>
          <w:bCs/>
          <w:sz w:val="32"/>
          <w:szCs w:val="32"/>
        </w:rPr>
        <w:t>万元。</w:t>
      </w:r>
      <w:r>
        <w:rPr>
          <w:rFonts w:hint="eastAsia" w:ascii="仿宋_GB2312" w:eastAsia="仿宋_GB2312" w:cs="DengXian-Regular"/>
          <w:sz w:val="32"/>
          <w:szCs w:val="32"/>
        </w:rPr>
        <w:t>本部门2018年度公务用车购置及运行维护费比年初预算</w:t>
      </w:r>
      <w:r>
        <w:rPr>
          <w:rFonts w:eastAsia="仿宋_GB2312"/>
          <w:sz w:val="32"/>
          <w:szCs w:val="32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1.9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ascii="仿宋_GB2312" w:eastAsia="仿宋_GB2312" w:cs="DengXian-Regular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降低</w:t>
      </w:r>
      <w:r>
        <w:rPr>
          <w:rFonts w:hint="eastAsia" w:eastAsia="仿宋_GB2312"/>
          <w:sz w:val="32"/>
          <w:szCs w:val="32"/>
          <w:lang w:val="en-US" w:eastAsia="zh-CN"/>
        </w:rPr>
        <w:t>54.29</w:t>
      </w:r>
      <w:r>
        <w:rPr>
          <w:rFonts w:eastAsia="仿宋_GB2312"/>
          <w:sz w:val="32"/>
          <w:szCs w:val="32"/>
        </w:rPr>
        <w:t>%</w:t>
      </w:r>
      <w:r>
        <w:rPr>
          <w:rFonts w:hint="eastAsia" w:ascii="仿宋_GB2312" w:eastAsia="仿宋_GB2312" w:cs="DengXian-Regular"/>
          <w:sz w:val="32"/>
          <w:szCs w:val="32"/>
        </w:rPr>
        <w:t>,主要是</w:t>
      </w:r>
      <w:r>
        <w:rPr>
          <w:rFonts w:hint="eastAsia" w:ascii="仿宋_GB2312" w:eastAsia="仿宋_GB2312" w:cs="DengXian-Regular"/>
          <w:sz w:val="32"/>
          <w:szCs w:val="32"/>
          <w:lang w:eastAsia="zh-CN"/>
        </w:rPr>
        <w:t>新车维修费用少和坚持厉行节约，减少出车节约资源</w:t>
      </w:r>
      <w:r>
        <w:rPr>
          <w:rFonts w:hint="eastAsia" w:ascii="仿宋_GB2312" w:eastAsia="仿宋_GB2312" w:cs="DengXian-Regular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比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年度决算减少</w:t>
      </w:r>
      <w:r>
        <w:rPr>
          <w:rFonts w:hint="eastAsia" w:eastAsia="仿宋_GB2312"/>
          <w:sz w:val="32"/>
          <w:szCs w:val="32"/>
          <w:lang w:val="en-US" w:eastAsia="zh-CN"/>
        </w:rPr>
        <w:t>0.61</w:t>
      </w:r>
      <w:r>
        <w:rPr>
          <w:rFonts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27.48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eastAsia="仿宋_GB2312"/>
          <w:sz w:val="32"/>
          <w:szCs w:val="32"/>
          <w:lang w:eastAsia="zh-CN"/>
        </w:rPr>
        <w:t>维修费用减少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bCs/>
          <w:sz w:val="32"/>
          <w:szCs w:val="32"/>
        </w:rPr>
        <w:t>其中：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公务用车购置费支出</w:t>
      </w:r>
      <w:r>
        <w:rPr>
          <w:rFonts w:hint="eastAsia" w:eastAsia="仿宋_GB2312"/>
          <w:b/>
          <w:sz w:val="32"/>
          <w:szCs w:val="32"/>
          <w:lang w:val="en-US" w:eastAsia="zh-CN"/>
        </w:rPr>
        <w:t>0</w:t>
      </w:r>
      <w:r>
        <w:rPr>
          <w:rFonts w:eastAsia="仿宋_GB2312"/>
          <w:b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本部门</w:t>
      </w:r>
      <w:r>
        <w:rPr>
          <w:rFonts w:eastAsia="仿宋_GB2312"/>
          <w:sz w:val="32"/>
          <w:szCs w:val="32"/>
          <w:lang w:val="en-US"/>
        </w:rPr>
        <w:t>2018</w:t>
      </w:r>
      <w:r>
        <w:rPr>
          <w:rFonts w:eastAsia="仿宋_GB2312"/>
          <w:sz w:val="32"/>
          <w:szCs w:val="32"/>
        </w:rPr>
        <w:t>年度公务用车购置</w:t>
      </w:r>
      <w:r>
        <w:rPr>
          <w:rFonts w:hint="eastAsia" w:eastAsia="仿宋_GB2312"/>
          <w:sz w:val="32"/>
          <w:szCs w:val="32"/>
        </w:rPr>
        <w:t>数</w:t>
      </w:r>
      <w:r>
        <w:rPr>
          <w:rFonts w:eastAsia="仿宋_GB2312"/>
          <w:sz w:val="32"/>
          <w:szCs w:val="32"/>
        </w:rPr>
        <w:t>量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辆。公务用车购置费支出</w:t>
      </w:r>
      <w:r>
        <w:rPr>
          <w:rFonts w:hint="eastAsia" w:eastAsia="仿宋_GB2312"/>
          <w:sz w:val="32"/>
          <w:szCs w:val="32"/>
        </w:rPr>
        <w:t>比</w:t>
      </w:r>
      <w:r>
        <w:rPr>
          <w:rFonts w:eastAsia="仿宋_GB2312"/>
          <w:sz w:val="32"/>
          <w:szCs w:val="32"/>
        </w:rPr>
        <w:t>年初预算增加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万元，增长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%，；</w:t>
      </w:r>
      <w:r>
        <w:rPr>
          <w:rFonts w:hint="eastAsia" w:eastAsia="仿宋_GB2312"/>
          <w:sz w:val="32"/>
          <w:szCs w:val="32"/>
        </w:rPr>
        <w:t>比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年度决算增加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万元，增长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公务用车运行维护费支出</w:t>
      </w:r>
      <w:r>
        <w:rPr>
          <w:rFonts w:hint="eastAsia" w:eastAsia="仿宋_GB2312"/>
          <w:b/>
          <w:sz w:val="32"/>
          <w:szCs w:val="32"/>
          <w:lang w:val="en-US" w:eastAsia="zh-CN"/>
        </w:rPr>
        <w:t>1.61</w:t>
      </w:r>
      <w:r>
        <w:rPr>
          <w:rFonts w:eastAsia="仿宋_GB2312"/>
          <w:b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本部门</w:t>
      </w:r>
      <w:r>
        <w:rPr>
          <w:rFonts w:eastAsia="仿宋_GB2312"/>
          <w:sz w:val="32"/>
          <w:szCs w:val="32"/>
          <w:lang w:val="en-US"/>
        </w:rPr>
        <w:t>2018</w:t>
      </w:r>
      <w:r>
        <w:rPr>
          <w:rFonts w:eastAsia="仿宋_GB2312"/>
          <w:sz w:val="32"/>
          <w:szCs w:val="32"/>
        </w:rPr>
        <w:t>年末单位公务用车保有量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辆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其中待报废一辆）</w:t>
      </w:r>
      <w:r>
        <w:rPr>
          <w:rFonts w:eastAsia="仿宋_GB2312"/>
          <w:sz w:val="32"/>
          <w:szCs w:val="32"/>
        </w:rPr>
        <w:t>。公车运行维护费支出较年初预算减少</w:t>
      </w:r>
      <w:r>
        <w:rPr>
          <w:rFonts w:hint="eastAsia" w:eastAsia="仿宋_GB2312"/>
          <w:sz w:val="32"/>
          <w:szCs w:val="32"/>
          <w:lang w:val="en-US" w:eastAsia="zh-CN"/>
        </w:rPr>
        <w:t>1.89</w:t>
      </w:r>
      <w:r>
        <w:rPr>
          <w:rFonts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54</w:t>
      </w:r>
      <w:r>
        <w:rPr>
          <w:rFonts w:eastAsia="仿宋_GB2312"/>
          <w:sz w:val="32"/>
          <w:szCs w:val="32"/>
        </w:rPr>
        <w:t>%,主要原因是</w:t>
      </w:r>
      <w:r>
        <w:rPr>
          <w:rFonts w:hint="eastAsia" w:eastAsia="仿宋_GB2312"/>
          <w:sz w:val="32"/>
          <w:szCs w:val="32"/>
          <w:lang w:val="en-US" w:eastAsia="zh-CN"/>
        </w:rPr>
        <w:t>减少维修和执行</w:t>
      </w:r>
      <w:r>
        <w:rPr>
          <w:rFonts w:hint="eastAsia" w:ascii="仿宋_GB2312" w:hAnsi="宋体" w:eastAsia="仿宋_GB2312"/>
          <w:sz w:val="32"/>
          <w:lang w:val="en-US" w:eastAsia="zh-CN"/>
        </w:rPr>
        <w:t>厉行节约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eastAsia="zh-CN"/>
        </w:rPr>
        <w:t>比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年度决算减少</w:t>
      </w:r>
      <w:r>
        <w:rPr>
          <w:rFonts w:hint="eastAsia" w:eastAsia="仿宋_GB2312"/>
          <w:sz w:val="32"/>
          <w:szCs w:val="32"/>
          <w:lang w:val="en-US" w:eastAsia="zh-CN"/>
        </w:rPr>
        <w:t>0.61</w:t>
      </w:r>
      <w:r>
        <w:rPr>
          <w:rFonts w:eastAsia="仿宋_GB2312"/>
          <w:sz w:val="32"/>
          <w:szCs w:val="32"/>
        </w:rPr>
        <w:t>万元，降低</w:t>
      </w:r>
      <w:r>
        <w:rPr>
          <w:rFonts w:hint="eastAsia" w:eastAsia="仿宋_GB2312"/>
          <w:sz w:val="32"/>
          <w:szCs w:val="32"/>
          <w:lang w:val="en-US" w:eastAsia="zh-CN"/>
        </w:rPr>
        <w:t>27.48</w:t>
      </w:r>
      <w:r>
        <w:rPr>
          <w:rFonts w:eastAsia="仿宋_GB2312"/>
          <w:sz w:val="32"/>
          <w:szCs w:val="32"/>
        </w:rPr>
        <w:t>%，主要原因是</w:t>
      </w:r>
      <w:r>
        <w:rPr>
          <w:rFonts w:hint="eastAsia" w:eastAsia="仿宋_GB2312"/>
          <w:sz w:val="32"/>
          <w:szCs w:val="32"/>
          <w:lang w:val="en-US" w:eastAsia="zh-CN"/>
        </w:rPr>
        <w:t>更换新的公务用车减少维修和执行</w:t>
      </w:r>
      <w:r>
        <w:rPr>
          <w:rFonts w:hint="eastAsia" w:ascii="仿宋_GB2312" w:hAnsi="宋体" w:eastAsia="仿宋_GB2312"/>
          <w:sz w:val="32"/>
          <w:lang w:val="en-US" w:eastAsia="zh-CN"/>
        </w:rPr>
        <w:t>厉行节约</w:t>
      </w:r>
      <w:r>
        <w:rPr>
          <w:rFonts w:eastAsia="仿宋_GB2312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default" w:ascii="仿宋_GB2312" w:hAnsi="宋体" w:eastAsia="仿宋_GB2312"/>
          <w:sz w:val="32"/>
          <w:lang w:val="en-US" w:eastAsia="zh-CN"/>
        </w:rPr>
      </w:pPr>
      <w:r>
        <w:rPr>
          <w:rFonts w:eastAsia="楷体_GB2312"/>
          <w:b/>
          <w:bCs/>
          <w:sz w:val="32"/>
          <w:szCs w:val="32"/>
        </w:rPr>
        <w:t>（三）公务接待费支出</w:t>
      </w:r>
      <w:r>
        <w:rPr>
          <w:rFonts w:hint="eastAsia" w:eastAsia="楷体_GB2312"/>
          <w:b/>
          <w:bCs/>
          <w:sz w:val="32"/>
          <w:szCs w:val="32"/>
          <w:lang w:val="en-US" w:eastAsia="zh-CN"/>
        </w:rPr>
        <w:t>0</w:t>
      </w:r>
      <w:r>
        <w:rPr>
          <w:rFonts w:eastAsia="楷体_GB2312"/>
          <w:b/>
          <w:bCs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本部门201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年度公务接待共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批次、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人次。公务接待费支出</w:t>
      </w:r>
      <w:r>
        <w:rPr>
          <w:rFonts w:hint="eastAsia" w:eastAsia="仿宋_GB2312"/>
          <w:sz w:val="32"/>
          <w:szCs w:val="32"/>
        </w:rPr>
        <w:t>比</w:t>
      </w:r>
      <w:r>
        <w:rPr>
          <w:rFonts w:eastAsia="仿宋_GB2312"/>
          <w:sz w:val="32"/>
          <w:szCs w:val="32"/>
        </w:rPr>
        <w:t>年初预算增加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万元，增长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%；</w:t>
      </w:r>
      <w:r>
        <w:rPr>
          <w:rFonts w:hint="eastAsia" w:eastAsia="仿宋_GB2312"/>
          <w:sz w:val="32"/>
          <w:szCs w:val="32"/>
        </w:rPr>
        <w:t>比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年度决算增加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万元，增长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%。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六、预算绩效管理工作开展情况说明</w:t>
      </w:r>
    </w:p>
    <w:p>
      <w:pPr>
        <w:pageBreakBefore w:val="0"/>
        <w:numPr>
          <w:ilvl w:val="0"/>
          <w:numId w:val="3"/>
        </w:num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" w:eastAsia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楷体_GB2312"/>
          <w:b/>
          <w:bCs/>
          <w:sz w:val="32"/>
          <w:szCs w:val="32"/>
          <w:lang w:eastAsia="zh-CN"/>
        </w:rPr>
        <w:t>预算绩效管理工作开展情况。</w:t>
      </w:r>
    </w:p>
    <w:p>
      <w:pPr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  <w:lang w:eastAsia="zh-CN"/>
        </w:rPr>
        <w:t>根据县财政预算管理要求，本单位以“部门职责</w:t>
      </w:r>
      <w:r>
        <w:rPr>
          <w:rFonts w:hint="eastAsia" w:ascii="仿宋" w:eastAsia="仿宋"/>
          <w:sz w:val="32"/>
          <w:szCs w:val="32"/>
          <w:lang w:val="en-US" w:eastAsia="zh-CN"/>
        </w:rPr>
        <w:t>-工作活动</w:t>
      </w:r>
      <w:r>
        <w:rPr>
          <w:rFonts w:hint="eastAsia" w:ascii="仿宋" w:eastAsia="仿宋"/>
          <w:sz w:val="32"/>
          <w:szCs w:val="32"/>
          <w:lang w:eastAsia="zh-CN"/>
        </w:rPr>
        <w:t>”为依据，确定部门预算项目和预算额度，清晰描述预算项目开支范围和内容，确定预算项目的绩效目标、绩效指标和评价标准，</w:t>
      </w:r>
      <w:r>
        <w:rPr>
          <w:rFonts w:hint="eastAsia" w:ascii="仿宋" w:eastAsia="仿宋"/>
          <w:sz w:val="32"/>
          <w:szCs w:val="32"/>
          <w:lang w:val="en-US" w:eastAsia="zh-CN"/>
        </w:rPr>
        <w:t>绩效评价结果为优秀/良好/一般，</w:t>
      </w:r>
      <w:r>
        <w:rPr>
          <w:rFonts w:hint="eastAsia" w:ascii="仿宋" w:eastAsia="仿宋"/>
          <w:sz w:val="32"/>
          <w:szCs w:val="32"/>
          <w:lang w:eastAsia="zh-CN"/>
        </w:rPr>
        <w:t>为预算绩效控制、绩效分析、绩效评价打下好的基础。</w:t>
      </w:r>
    </w:p>
    <w:p>
      <w:pPr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spacing w:line="580" w:lineRule="exact"/>
        <w:ind w:left="641"/>
        <w:textAlignment w:val="auto"/>
        <w:rPr>
          <w:rFonts w:hint="eastAsia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/>
          <w:bCs/>
          <w:sz w:val="32"/>
          <w:szCs w:val="32"/>
          <w:lang w:val="en-US" w:eastAsia="zh-CN"/>
        </w:rPr>
        <w:t>2.</w:t>
      </w:r>
      <w:r>
        <w:rPr>
          <w:rFonts w:hint="eastAsia" w:eastAsia="楷体_GB2312"/>
          <w:b/>
          <w:bCs/>
          <w:sz w:val="32"/>
          <w:szCs w:val="32"/>
          <w:lang w:val="en-US" w:eastAsia="zh-CN"/>
        </w:rPr>
        <w:t>预算项目绩效评价开展情况。</w:t>
      </w:r>
    </w:p>
    <w:p>
      <w:pPr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spacing w:line="580" w:lineRule="exact"/>
        <w:ind w:left="641"/>
        <w:textAlignment w:val="auto"/>
        <w:rPr>
          <w:rFonts w:hint="eastAsia" w:ascii="仿宋" w:eastAsia="仿宋"/>
          <w:bCs/>
          <w:sz w:val="32"/>
          <w:szCs w:val="32"/>
          <w:lang w:eastAsia="zh-CN"/>
        </w:rPr>
      </w:pPr>
      <w:r>
        <w:rPr>
          <w:rFonts w:hint="eastAsia" w:ascii="仿宋" w:eastAsia="仿宋"/>
          <w:bCs/>
          <w:sz w:val="32"/>
          <w:szCs w:val="32"/>
          <w:lang w:val="en-US" w:eastAsia="zh-CN"/>
        </w:rPr>
        <w:t>（1）</w:t>
      </w:r>
      <w:r>
        <w:rPr>
          <w:rFonts w:hint="eastAsia" w:ascii="仿宋" w:eastAsia="仿宋"/>
          <w:bCs/>
          <w:sz w:val="32"/>
          <w:szCs w:val="32"/>
          <w:lang w:eastAsia="zh-CN"/>
        </w:rPr>
        <w:t>残疾人法律维权绩效评价开展情况。</w:t>
      </w:r>
    </w:p>
    <w:p>
      <w:pPr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eastAsia="zh-CN"/>
        </w:rPr>
        <w:t xml:space="preserve">    健全了残疾人法律服务体系，切实保障残疾人合法权益；城乡无障碍环境建设全面推进；残疾人的诉求能够得到及时解决，保障了残疾人出行权利。维护了残疾人合法权益。</w:t>
      </w:r>
      <w:r>
        <w:rPr>
          <w:rFonts w:hint="eastAsia" w:ascii="仿宋" w:eastAsia="仿宋"/>
          <w:sz w:val="32"/>
          <w:szCs w:val="32"/>
          <w:lang w:val="en-US" w:eastAsia="zh-CN"/>
        </w:rPr>
        <w:t>此项目绩效评价结果为优秀。</w:t>
      </w:r>
    </w:p>
    <w:p>
      <w:pPr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641"/>
        <w:textAlignment w:val="auto"/>
        <w:rPr>
          <w:rFonts w:hint="eastAsia" w:ascii="仿宋" w:eastAsia="仿宋"/>
          <w:b/>
          <w:sz w:val="32"/>
          <w:szCs w:val="32"/>
          <w:lang w:eastAsia="zh-CN"/>
        </w:rPr>
      </w:pPr>
      <w:r>
        <w:rPr>
          <w:rFonts w:hint="eastAsia" w:ascii="仿宋" w:eastAsia="仿宋"/>
          <w:bCs/>
          <w:sz w:val="32"/>
          <w:szCs w:val="32"/>
          <w:lang w:val="en-US" w:eastAsia="zh-CN"/>
        </w:rPr>
        <w:t>（2）</w:t>
      </w:r>
      <w:r>
        <w:rPr>
          <w:rFonts w:hint="eastAsia" w:ascii="仿宋" w:eastAsia="仿宋"/>
          <w:bCs/>
          <w:sz w:val="32"/>
          <w:szCs w:val="32"/>
          <w:lang w:eastAsia="zh-CN"/>
        </w:rPr>
        <w:t>残疾人服务绩效评价开展情况</w:t>
      </w:r>
    </w:p>
    <w:p>
      <w:pPr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641"/>
        <w:textAlignment w:val="auto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  <w:lang w:eastAsia="zh-CN"/>
        </w:rPr>
        <w:t>通过开展康复、扶贫、教育培训等活动，直接为残疾人服务；逐步实现残疾人“人人享有康复服务”；保障贫困和重度残疾人基本生活，提高了残疾儿童义务教育入学率和残疾人就业率，丰富残疾人文体生活。促进了残疾人增收致富；对当年考入高等学校的贫困残疾大学生及残疾人家庭子女实施资助；提高残疾人就业率。通过媒体宣传广泛深入，丰富了残疾人文体生活，残疾人文化体育比赛成绩优良，助残志愿者与残疾人对接良好。</w:t>
      </w:r>
      <w:r>
        <w:rPr>
          <w:rFonts w:hint="eastAsia" w:ascii="仿宋" w:eastAsia="仿宋"/>
          <w:sz w:val="32"/>
          <w:szCs w:val="32"/>
          <w:lang w:val="en-US" w:eastAsia="zh-CN"/>
        </w:rPr>
        <w:t>此项目绩效评价结果为良好。</w:t>
      </w:r>
    </w:p>
    <w:p>
      <w:pPr>
        <w:pageBreakBefore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641"/>
        <w:textAlignment w:val="auto"/>
        <w:rPr>
          <w:rFonts w:hint="eastAsia" w:ascii="仿宋" w:eastAsia="仿宋"/>
          <w:bCs/>
          <w:sz w:val="32"/>
          <w:szCs w:val="32"/>
          <w:lang w:eastAsia="zh-CN"/>
        </w:rPr>
      </w:pPr>
      <w:r>
        <w:rPr>
          <w:rFonts w:hint="eastAsia" w:ascii="仿宋" w:eastAsia="仿宋"/>
          <w:bCs/>
          <w:sz w:val="32"/>
          <w:szCs w:val="32"/>
          <w:lang w:val="en-US" w:eastAsia="zh-CN"/>
        </w:rPr>
        <w:t>（3）</w:t>
      </w:r>
      <w:r>
        <w:rPr>
          <w:rFonts w:hint="eastAsia" w:ascii="仿宋" w:eastAsia="仿宋"/>
          <w:bCs/>
          <w:sz w:val="32"/>
          <w:szCs w:val="32"/>
          <w:lang w:eastAsia="zh-CN"/>
        </w:rPr>
        <w:t>残疾人综合业务管理绩效评价开展情况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left"/>
        <w:textAlignment w:val="auto"/>
        <w:outlineLvl w:val="9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  <w:lang w:eastAsia="zh-CN"/>
        </w:rPr>
        <w:t>对持证残疾人需求情况进行了调查，对残疾人状况进行动态监测，加强和规范残疾人基层组织建设，加大残疾人就业保障金的征收力度，加强残疾人工作信息化建设和基础研究；摸清残疾人底数，增强基层服务残疾人的能力，确保残疾人就业保障金的稳定增收；构建残疾人公共服务网络化平台。发挥了专门协会桥梁纽带作用，提高了残疾人证办证率；</w:t>
      </w:r>
      <w:r>
        <w:rPr>
          <w:rFonts w:hint="default" w:ascii="仿宋" w:eastAsia="仿宋"/>
          <w:sz w:val="32"/>
          <w:szCs w:val="32"/>
          <w:lang w:val="en-US" w:eastAsia="zh-CN"/>
        </w:rPr>
        <w:t>2018</w:t>
      </w:r>
      <w:r>
        <w:rPr>
          <w:rFonts w:hint="eastAsia" w:ascii="仿宋" w:eastAsia="仿宋"/>
          <w:sz w:val="32"/>
          <w:szCs w:val="32"/>
          <w:lang w:eastAsia="zh-CN"/>
        </w:rPr>
        <w:t>年我单位各项工作顺利进行。</w:t>
      </w:r>
      <w:r>
        <w:rPr>
          <w:rFonts w:hint="eastAsia" w:ascii="仿宋" w:eastAsia="仿宋"/>
          <w:sz w:val="32"/>
          <w:szCs w:val="32"/>
          <w:lang w:val="en-US" w:eastAsia="zh-CN"/>
        </w:rPr>
        <w:t>此项目绩效评价结果为优秀。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七、其他重要事项的说明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80" w:lineRule="exact"/>
        <w:ind w:firstLine="643" w:firstLineChars="200"/>
        <w:textAlignment w:val="auto"/>
        <w:rPr>
          <w:rFonts w:hint="eastAsia" w:ascii="Times New Roman" w:hAnsi="Times New Roman" w:eastAsia="楷体_GB2312" w:cs="Times New Roman"/>
          <w:lang w:val="en-US" w:eastAsia="zh-CN"/>
        </w:rPr>
      </w:pPr>
      <w:r>
        <w:rPr>
          <w:rFonts w:hint="eastAsia" w:ascii="Times New Roman" w:hAnsi="Times New Roman" w:eastAsia="楷体_GB2312" w:cs="Times New Roman"/>
          <w:lang w:val="en-US" w:eastAsia="zh-CN"/>
        </w:rPr>
        <w:t>（一）机关运行经费情况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    本单位为事业单位，无机关运行经费。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80" w:lineRule="exact"/>
        <w:ind w:firstLine="643" w:firstLineChars="200"/>
        <w:textAlignment w:val="auto"/>
        <w:rPr>
          <w:rFonts w:hint="eastAsia" w:ascii="Times New Roman" w:hAnsi="Times New Roman" w:eastAsia="楷体_GB2312" w:cs="Times New Roman"/>
          <w:lang w:val="en-US" w:eastAsia="zh-CN"/>
        </w:rPr>
      </w:pPr>
      <w:r>
        <w:rPr>
          <w:rFonts w:hint="eastAsia" w:ascii="Times New Roman" w:hAnsi="Times New Roman" w:eastAsia="楷体_GB2312" w:cs="Times New Roman"/>
          <w:lang w:val="en-US" w:eastAsia="zh-CN"/>
        </w:rPr>
        <w:t>（二）政府采购情况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 w:cs="DengXian-Regular"/>
          <w:sz w:val="32"/>
          <w:szCs w:val="32"/>
        </w:rPr>
        <w:t>本部门2018年度政府采购支出总额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0.77</w:t>
      </w:r>
      <w:r>
        <w:rPr>
          <w:rFonts w:hint="eastAsia" w:ascii="仿宋_GB2312" w:eastAsia="仿宋_GB2312" w:cs="DengXian-Regular"/>
          <w:sz w:val="32"/>
          <w:szCs w:val="32"/>
        </w:rPr>
        <w:t>万元，从采购类型来看，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政府采购货物支出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0.77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万元、政府采购工程支出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万元、政府采购服务支出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万元。授予中小企业合同金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万元，其中授予小微企业合同金额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  <w:r>
        <w:rPr>
          <w:rFonts w:hint="default" w:ascii="Calibri" w:hAnsi="Calibri" w:eastAsia="仿宋_GB2312" w:cs="Times New Roman"/>
          <w:kern w:val="0"/>
          <w:sz w:val="32"/>
          <w:szCs w:val="32"/>
          <w:lang w:val="en-US" w:eastAsia="zh-CN"/>
        </w:rPr>
        <w:t>2018</w:t>
      </w:r>
      <w:r>
        <w:rPr>
          <w:rFonts w:hint="eastAsia" w:ascii="Calibri" w:hAnsi="Calibri" w:eastAsia="仿宋_GB2312" w:cs="Times New Roman"/>
          <w:kern w:val="0"/>
          <w:sz w:val="32"/>
          <w:szCs w:val="32"/>
          <w:lang w:val="en-US" w:eastAsia="zh-CN"/>
        </w:rPr>
        <w:t>年大城县残疾人联合会无采购内容。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80" w:lineRule="exact"/>
        <w:ind w:firstLine="643" w:firstLineChars="200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lang w:val="en-US" w:eastAsia="zh-CN"/>
        </w:rPr>
        <w:t>（三）国有资产占用情况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Calibri" w:hAnsi="Calibri" w:eastAsia="仿宋_GB2312" w:cs="Times New Roman"/>
          <w:color w:val="3E3E3E"/>
          <w:sz w:val="32"/>
          <w:szCs w:val="32"/>
        </w:rPr>
      </w:pPr>
      <w:r>
        <w:rPr>
          <w:rFonts w:ascii="Calibri" w:hAnsi="Calibri" w:eastAsia="仿宋_GB2312" w:cs="Times New Roman"/>
          <w:color w:val="3E3E3E"/>
          <w:sz w:val="32"/>
          <w:szCs w:val="32"/>
        </w:rPr>
        <w:t>截至</w:t>
      </w:r>
      <w:r>
        <w:rPr>
          <w:rFonts w:hint="default" w:ascii="Calibri" w:hAnsi="Calibri" w:eastAsia="仿宋_GB2312" w:cs="Times New Roman"/>
          <w:color w:val="3E3E3E"/>
          <w:sz w:val="32"/>
          <w:szCs w:val="32"/>
          <w:lang w:val="en-US" w:eastAsia="zh-CN"/>
        </w:rPr>
        <w:t>2018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年12月31日，本部门共有车辆</w:t>
      </w:r>
      <w:r>
        <w:rPr>
          <w:rFonts w:hint="eastAsia" w:ascii="Calibri" w:hAnsi="Calibri" w:eastAsia="仿宋_GB2312" w:cs="Times New Roman"/>
          <w:color w:val="3E3E3E"/>
          <w:sz w:val="32"/>
          <w:szCs w:val="32"/>
          <w:lang w:val="en-US" w:eastAsia="zh-CN"/>
        </w:rPr>
        <w:t>2</w:t>
      </w:r>
      <w:r>
        <w:rPr>
          <w:rFonts w:ascii="Calibri" w:hAnsi="Calibri" w:eastAsia="仿宋_GB2312" w:cs="Times New Roman"/>
          <w:color w:val="3E3E3E"/>
          <w:sz w:val="32"/>
          <w:szCs w:val="32"/>
        </w:rPr>
        <w:t>辆，</w:t>
      </w:r>
      <w:r>
        <w:rPr>
          <w:rFonts w:hint="eastAsia" w:ascii="仿宋_GB2312" w:eastAsia="仿宋_GB2312" w:cs="DengXian-Regular"/>
          <w:sz w:val="32"/>
          <w:szCs w:val="32"/>
        </w:rPr>
        <w:t>比上年增加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辆。其中，副部（省）级及以上领导用车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辆，主要领导干部用车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辆，机要通信用车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辆，应急保障用车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辆，执法执勤用车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辆，特种专业技术用车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DengXian-Regular"/>
          <w:sz w:val="32"/>
          <w:szCs w:val="32"/>
        </w:rPr>
        <w:t>辆，离退休干部用车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辆，其他用车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DengXian-Regular"/>
          <w:sz w:val="32"/>
          <w:szCs w:val="32"/>
        </w:rPr>
        <w:t>辆，其他用车主要是</w:t>
      </w:r>
      <w:r>
        <w:rPr>
          <w:rFonts w:hint="eastAsia" w:ascii="Calibri" w:hAnsi="Calibri" w:eastAsia="仿宋_GB2312" w:cs="Times New Roman"/>
          <w:color w:val="3E3E3E"/>
          <w:sz w:val="32"/>
          <w:szCs w:val="32"/>
          <w:lang w:eastAsia="zh-CN"/>
        </w:rPr>
        <w:t>待报废车辆</w:t>
      </w:r>
      <w:r>
        <w:rPr>
          <w:rFonts w:hint="eastAsia" w:ascii="Calibri" w:hAnsi="Calibri" w:eastAsia="仿宋_GB2312" w:cs="Times New Roman"/>
          <w:color w:val="3E3E3E"/>
          <w:sz w:val="32"/>
          <w:szCs w:val="32"/>
          <w:lang w:val="en-US" w:eastAsia="zh-CN"/>
        </w:rPr>
        <w:t>1辆</w:t>
      </w:r>
      <w:r>
        <w:rPr>
          <w:rFonts w:hint="eastAsia" w:ascii="仿宋_GB2312" w:eastAsia="仿宋_GB2312" w:cs="DengXian-Regular"/>
          <w:sz w:val="32"/>
          <w:szCs w:val="32"/>
        </w:rPr>
        <w:t>；单位价值</w:t>
      </w:r>
      <w:r>
        <w:rPr>
          <w:rFonts w:hint="eastAsia" w:ascii="仿宋_GB2312" w:hAnsi="TimesNewRomanPSMT" w:eastAsia="仿宋_GB2312" w:cs="TimesNewRomanPSMT"/>
          <w:sz w:val="32"/>
          <w:szCs w:val="32"/>
        </w:rPr>
        <w:t>50</w:t>
      </w:r>
      <w:r>
        <w:rPr>
          <w:rFonts w:hint="eastAsia" w:ascii="仿宋_GB2312" w:eastAsia="仿宋_GB2312" w:cs="DengXian-Regular"/>
          <w:sz w:val="32"/>
          <w:szCs w:val="32"/>
        </w:rPr>
        <w:t>万元以上通用设备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台（套），比上年增加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套，单位价值</w:t>
      </w:r>
      <w:r>
        <w:rPr>
          <w:rFonts w:hint="eastAsia" w:ascii="仿宋_GB2312" w:hAnsi="TimesNewRomanPSMT" w:eastAsia="仿宋_GB2312" w:cs="TimesNewRomanPSMT"/>
          <w:sz w:val="32"/>
          <w:szCs w:val="32"/>
        </w:rPr>
        <w:t>100</w:t>
      </w:r>
      <w:r>
        <w:rPr>
          <w:rFonts w:hint="eastAsia" w:ascii="仿宋_GB2312" w:eastAsia="仿宋_GB2312" w:cs="DengXian-Regular"/>
          <w:sz w:val="32"/>
          <w:szCs w:val="32"/>
        </w:rPr>
        <w:t>万元以上专用设备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台（套）比上年增加</w:t>
      </w:r>
      <w:r>
        <w:rPr>
          <w:rFonts w:hint="eastAsia" w:ascii="仿宋_GB2312" w:eastAsia="仿宋_GB2312" w:cs="DengXian-Regular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DengXian-Regular"/>
          <w:sz w:val="32"/>
          <w:szCs w:val="32"/>
        </w:rPr>
        <w:t>套。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before="0" w:after="0" w:line="580" w:lineRule="exact"/>
        <w:ind w:firstLine="643" w:firstLineChars="200"/>
        <w:textAlignment w:val="auto"/>
        <w:rPr>
          <w:rFonts w:hint="eastAsia" w:ascii="Times New Roman" w:hAnsi="Times New Roman" w:eastAsia="楷体_GB2312" w:cs="Times New Roman"/>
          <w:lang w:val="en-US" w:eastAsia="zh-CN"/>
        </w:rPr>
      </w:pPr>
      <w:r>
        <w:rPr>
          <w:rFonts w:hint="eastAsia" w:ascii="Times New Roman" w:hAnsi="Times New Roman" w:eastAsia="楷体_GB2312" w:cs="Times New Roman"/>
          <w:lang w:val="en-US" w:eastAsia="zh-CN"/>
        </w:rPr>
        <w:t>（四）其他需要说明的情况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1、本部门</w:t>
      </w:r>
      <w:r>
        <w:rPr>
          <w:rFonts w:eastAsia="仿宋_GB2312"/>
          <w:sz w:val="32"/>
          <w:szCs w:val="32"/>
          <w:lang w:val="en-US"/>
        </w:rPr>
        <w:t>2018</w:t>
      </w:r>
      <w:r>
        <w:rPr>
          <w:rFonts w:eastAsia="仿宋_GB2312"/>
          <w:sz w:val="32"/>
          <w:szCs w:val="32"/>
        </w:rPr>
        <w:t>年度</w:t>
      </w:r>
      <w:r>
        <w:rPr>
          <w:rFonts w:hint="eastAsia" w:eastAsia="仿宋_GB2312"/>
          <w:sz w:val="32"/>
          <w:szCs w:val="32"/>
          <w:lang w:val="en-US" w:eastAsia="zh-CN"/>
        </w:rPr>
        <w:t>国有资本经营预算财政拨款</w:t>
      </w:r>
      <w:r>
        <w:rPr>
          <w:rFonts w:eastAsia="仿宋_GB2312"/>
          <w:sz w:val="32"/>
          <w:szCs w:val="32"/>
        </w:rPr>
        <w:t>无收支及结转结余情况，故</w:t>
      </w:r>
      <w:r>
        <w:rPr>
          <w:rFonts w:hint="eastAsia" w:eastAsia="仿宋_GB2312"/>
          <w:sz w:val="32"/>
          <w:szCs w:val="32"/>
          <w:lang w:val="en-US" w:eastAsia="zh-CN"/>
        </w:rPr>
        <w:t>国有资本经营预算财政拨款收入支出决算</w:t>
      </w:r>
      <w:r>
        <w:rPr>
          <w:rFonts w:eastAsia="仿宋_GB2312"/>
          <w:sz w:val="32"/>
          <w:szCs w:val="32"/>
        </w:rPr>
        <w:t>表以空表列示。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2、由于决算公开表格中金额数值应当保留两位小数，公开数据为四舍五入计算结果，个别数据合计项与分项之和存在小数点后差额，特此说明。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     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Calibri" w:hAnsi="Calibri" w:eastAsia="黑体" w:cs="Times New Roman"/>
          <w:sz w:val="32"/>
          <w:szCs w:val="32"/>
          <w:lang w:val="en-US" w:eastAsia="zh-CN"/>
        </w:rPr>
      </w:pPr>
    </w:p>
    <w:p>
      <w:pPr>
        <w:widowControl/>
        <w:spacing w:after="160" w:line="1200" w:lineRule="exact"/>
        <w:jc w:val="center"/>
        <w:rPr>
          <w:rFonts w:hint="eastAsia" w:ascii="黑体" w:hAnsi="黑体" w:eastAsia="黑体" w:cs="黑体"/>
          <w:color w:val="000000" w:themeColor="text1"/>
          <w:sz w:val="96"/>
          <w:szCs w:val="9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160" w:line="1200" w:lineRule="exact"/>
        <w:jc w:val="center"/>
        <w:rPr>
          <w:rFonts w:hint="eastAsia" w:ascii="黑体" w:hAnsi="黑体" w:eastAsia="黑体" w:cs="黑体"/>
          <w:color w:val="000000" w:themeColor="text1"/>
          <w:sz w:val="96"/>
          <w:szCs w:val="9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160" w:line="1200" w:lineRule="exact"/>
        <w:jc w:val="center"/>
        <w:rPr>
          <w:rFonts w:hint="eastAsia" w:ascii="黑体" w:hAnsi="黑体" w:eastAsia="黑体" w:cs="黑体"/>
          <w:color w:val="000000" w:themeColor="text1"/>
          <w:sz w:val="96"/>
          <w:szCs w:val="9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160" w:line="1200" w:lineRule="exact"/>
        <w:jc w:val="center"/>
        <w:rPr>
          <w:rFonts w:hint="eastAsia" w:ascii="黑体" w:hAnsi="黑体" w:eastAsia="黑体" w:cs="黑体"/>
          <w:color w:val="000000" w:themeColor="text1"/>
          <w:sz w:val="96"/>
          <w:szCs w:val="9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96"/>
          <w:szCs w:val="96"/>
          <w:lang w:val="en-US" w:eastAsia="zh-CN"/>
          <w14:textFill>
            <w14:solidFill>
              <w14:schemeClr w14:val="tx1"/>
            </w14:solidFill>
          </w14:textFill>
        </w:rPr>
        <w:t>第四部分</w:t>
      </w:r>
    </w:p>
    <w:p>
      <w:pPr>
        <w:widowControl/>
        <w:spacing w:after="160" w:line="1200" w:lineRule="exact"/>
        <w:jc w:val="center"/>
        <w:rPr>
          <w:rFonts w:hint="eastAsia" w:ascii="黑体" w:hAnsi="黑体" w:eastAsia="黑体" w:cs="黑体"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  <w:t>名词解释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jc w:val="left"/>
        <w:textAlignment w:val="auto"/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jc w:val="left"/>
        <w:textAlignment w:val="auto"/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jc w:val="left"/>
        <w:textAlignment w:val="auto"/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jc w:val="left"/>
        <w:textAlignment w:val="auto"/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jc w:val="left"/>
        <w:textAlignment w:val="auto"/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jc w:val="left"/>
        <w:textAlignment w:val="auto"/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jc w:val="left"/>
        <w:textAlignment w:val="auto"/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jc w:val="left"/>
        <w:textAlignment w:val="auto"/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jc w:val="left"/>
        <w:textAlignment w:val="auto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一）</w:t>
      </w:r>
      <w:r>
        <w:rPr>
          <w:rFonts w:ascii="Calibri" w:hAnsi="Calibri" w:eastAsia="仿宋_GB2312" w:cs="Times New Roman"/>
          <w:b/>
          <w:bCs/>
          <w:sz w:val="32"/>
          <w:szCs w:val="32"/>
        </w:rPr>
        <w:t>一般公共预算财政拨款收入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指事业单位通过预算从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instrText xml:space="preserve"> HYPERLINK "http://www.baidu.com/s?wd=%E8%B4%A2%E6%94%BF%E9%83%A8%E9%97%A8&amp;tn=44039180_cpr&amp;fenlei=mv6quAkxTZn0IZRqIHckPjm4nH00T1dWPHmYnj-huhcvnyN9PWPb0ZwV5Hcvrjm3rH6sPfKWUMw85HfYnjn4nH6sgvPsT6KdThsqpZwYTjCEQLGCpyw9Uz4Bmy-bIi4WUvYETgN-TLwGUv3EnWR4PH63PWD1" \t "https://zhidao.baidu.com/question/_blank" </w:instrTex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Calibri" w:hAnsi="Calibri" w:eastAsia="仿宋_GB2312" w:cs="Times New Roman"/>
          <w:sz w:val="32"/>
          <w:szCs w:val="32"/>
        </w:rPr>
        <w:t>财政部门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>取得的和通过主管部门从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instrText xml:space="preserve"> HYPERLINK "http://www.baidu.com/s?wd=%E8%B4%A2%E6%94%BF%E9%83%A8%E9%97%A8&amp;tn=44039180_cpr&amp;fenlei=mv6quAkxTZn0IZRqIHckPjm4nH00T1dWPHmYnj-huhcvnyN9PWPb0ZwV5Hcvrjm3rH6sPfKWUMw85HfYnjn4nH6sgvPsT6KdThsqpZwYTjCEQLGCpyw9Uz4Bmy-bIi4WUvYETgN-TLwGUv3EnWR4PH63PWD1" \t "https://zhidao.baidu.com/question/_blank" </w:instrTex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Calibri" w:hAnsi="Calibri" w:eastAsia="仿宋_GB2312" w:cs="Times New Roman"/>
          <w:sz w:val="32"/>
          <w:szCs w:val="32"/>
        </w:rPr>
        <w:t>财政部门</w:t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fldChar w:fldCharType="end"/>
      </w:r>
      <w:r>
        <w:rPr>
          <w:rFonts w:hint="default" w:ascii="Calibri" w:hAnsi="Calibri" w:eastAsia="仿宋_GB2312" w:cs="Times New Roman"/>
          <w:sz w:val="32"/>
          <w:szCs w:val="32"/>
          <w:lang w:val="en-US" w:eastAsia="zh-CN"/>
        </w:rPr>
        <w:t xml:space="preserve">取得的各类事业经费，包括正常经费和专项资金。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jc w:val="left"/>
        <w:textAlignment w:val="auto"/>
        <w:rPr>
          <w:rFonts w:hint="eastAsia" w:ascii="Calibri" w:hAnsi="Calibri" w:eastAsia="仿宋_GB2312" w:cs="Times New Roman"/>
          <w:sz w:val="32"/>
          <w:szCs w:val="32"/>
          <w:lang w:eastAsia="zh-CN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二）</w:t>
      </w:r>
      <w:r>
        <w:rPr>
          <w:rFonts w:ascii="Calibri" w:hAnsi="Calibri" w:eastAsia="仿宋_GB2312" w:cs="Times New Roman"/>
          <w:b/>
          <w:bCs/>
          <w:sz w:val="32"/>
          <w:szCs w:val="32"/>
        </w:rPr>
        <w:t>事业收入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ascii="Calibri" w:hAnsi="Calibri" w:eastAsia="仿宋_GB2312" w:cs="Times New Roman"/>
          <w:sz w:val="32"/>
          <w:szCs w:val="32"/>
        </w:rPr>
        <w:fldChar w:fldCharType="begin"/>
      </w:r>
      <w:r>
        <w:rPr>
          <w:rFonts w:ascii="Calibri" w:hAnsi="Calibri" w:eastAsia="仿宋_GB2312" w:cs="Times New Roman"/>
          <w:sz w:val="32"/>
          <w:szCs w:val="32"/>
        </w:rPr>
        <w:instrText xml:space="preserve"> HYPERLINK "http://www.baidu.com/s?wd=%E4%BA%8B%E4%B8%9A%E6%94%B6%E5%85%A5&amp;tn=44039180_cpr&amp;fenlei=mv6quAkxTZn0IZRqIHckPjm4nH00T1dWPHmYnj-huhcvnyN9PWPb0ZwV5Hcvrjm3rH6sPfKWUMw85HfYnjn4nH6sgvPsT6KdThsqpZwYTjCEQLGCpyw9Uz4Bmy-bIi4WUvYETgN-TLwGUv3EnWR4PH63PWD1" \t "https://zhidao.baidu.com/question/_blank" </w:instrText>
      </w:r>
      <w:r>
        <w:rPr>
          <w:rFonts w:ascii="Calibri" w:hAnsi="Calibri" w:eastAsia="仿宋_GB2312" w:cs="Times New Roman"/>
          <w:sz w:val="32"/>
          <w:szCs w:val="32"/>
        </w:rPr>
        <w:fldChar w:fldCharType="separate"/>
      </w:r>
      <w:r>
        <w:rPr>
          <w:rFonts w:ascii="Calibri" w:hAnsi="Calibri" w:eastAsia="仿宋_GB2312" w:cs="Times New Roman"/>
          <w:sz w:val="32"/>
          <w:szCs w:val="32"/>
        </w:rPr>
        <w:fldChar w:fldCharType="end"/>
      </w:r>
      <w:r>
        <w:rPr>
          <w:rFonts w:ascii="Calibri" w:hAnsi="Calibri" w:eastAsia="仿宋_GB2312" w:cs="Times New Roman"/>
          <w:sz w:val="32"/>
          <w:szCs w:val="32"/>
        </w:rPr>
        <w:t>是指事业单位开展专业活动及辅助活动所取得的收入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textAlignment w:val="auto"/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三）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其他收入：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指事业单位取得的除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instrText xml:space="preserve"> HYPERLINK "http://www.baidu.com/s?wd=%E8%B4%A2%E6%94%BF%E8%A1%A5%E5%8A%A9%E6%94%B6%E5%85%A5&amp;tn=44039180_cpr&amp;fenlei=mv6quAkxTZn0IZRqIHckPjm4nH00T1d9rjbvuW7BrHb4PhfkmhmL0ZwV5Hcvrjm3rH6sPfKWUMw85HfYnjn4nH6sgvPsT6KdThsqpZwYTjCEQLGCpyw9Uz4Bmy-bIi4WUvYETgN-TLwGUv3EPjR1PjTkrjfY" \t "https://zhidao.baidu.com/question/_blank" </w:instrTex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财政补助收入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instrText xml:space="preserve"> HYPERLINK "http://www.baidu.com/s?wd=%E4%B8%8A%E7%BA%A7%E8%A1%A5%E5%8A%A9%E6%94%B6%E5%85%A5&amp;tn=44039180_cpr&amp;fenlei=mv6quAkxTZn0IZRqIHckPjm4nH00T1d9rjbvuW7BrHb4PhfkmhmL0ZwV5Hcvrjm3rH6sPfKWUMw85HfYnjn4nH6sgvPsT6KdThsqpZwYTjCEQLGCpyw9Uz4Bmy-bIi4WUvYETgN-TLwGUv3EPjR1PjTkrjfY" \t "https://zhidao.baidu.com/question/_blank" </w:instrTex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上级补助收入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、拨入专款、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instrText xml:space="preserve"> HYPERLINK "http://www.baidu.com/s?wd=%E4%BA%8B%E4%B8%9A%E6%94%B6%E5%85%A5&amp;tn=44039180_cpr&amp;fenlei=mv6quAkxTZn0IZRqIHckPjm4nH00T1d9rjbvuW7BrHb4PhfkmhmL0ZwV5Hcvrjm3rH6sPfKWUMw85HfYnjn4nH6sgvPsT6KdThsqpZwYTjCEQLGCpyw9Uz4Bmy-bIi4WUvYETgN-TLwGUv3EPjR1PjTkrjfY" \t "https://zhidao.baidu.com/question/_blank" </w:instrTex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事业收入</w:t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  <w:t>、经费收入、附属单位缴款以外的各项收入。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jc w:val="left"/>
        <w:textAlignment w:val="auto"/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（四）基本支出：</w:t>
      </w:r>
      <w:r>
        <w:rPr>
          <w:rFonts w:hint="eastAsia" w:ascii="Calibri" w:hAnsi="Calibri" w:eastAsia="仿宋_GB2312" w:cs="Times New Roman"/>
          <w:sz w:val="32"/>
          <w:szCs w:val="32"/>
          <w:lang w:val="en-US" w:eastAsia="zh-CN"/>
        </w:rPr>
        <w:t>指行政事业单位为保障其机构正常运转、完成日常工作任务而编制的年度基本支出计划，内容包括人员经费和日常公用经费两部分。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jc w:val="left"/>
        <w:textAlignment w:val="auto"/>
        <w:rPr>
          <w:rFonts w:hint="eastAsia" w:ascii="Calibri" w:hAnsi="Calibri" w:eastAsia="仿宋_GB2312" w:cs="Times New Roman"/>
          <w:sz w:val="32"/>
          <w:szCs w:val="32"/>
          <w:lang w:eastAsia="zh-CN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五）</w:t>
      </w:r>
      <w:r>
        <w:rPr>
          <w:rFonts w:ascii="Calibri" w:hAnsi="Calibri" w:eastAsia="仿宋_GB2312" w:cs="Times New Roman"/>
          <w:b/>
          <w:bCs/>
          <w:sz w:val="32"/>
          <w:szCs w:val="32"/>
        </w:rPr>
        <w:t>项目支出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项目支出是指行政事业单位为完成特定的工作任务或事业发展目标，在基本的预算支出以外，财政预算专款安排的支出。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jc w:val="left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六）</w:t>
      </w:r>
      <w:r>
        <w:rPr>
          <w:rFonts w:ascii="Calibri" w:hAnsi="Calibri" w:eastAsia="仿宋_GB2312" w:cs="Times New Roman"/>
          <w:b/>
          <w:bCs/>
          <w:sz w:val="32"/>
          <w:szCs w:val="32"/>
        </w:rPr>
        <w:t>年初结转和结余：</w:t>
      </w:r>
      <w:r>
        <w:rPr>
          <w:rFonts w:eastAsia="仿宋_GB2312"/>
          <w:color w:val="000000"/>
          <w:kern w:val="0"/>
          <w:sz w:val="32"/>
          <w:szCs w:val="32"/>
        </w:rPr>
        <w:t>指以前年度尚未完成、结转到本年仍按原规定用途继续使用的资金，或项目已完成等产生的结余资金。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七）</w:t>
      </w:r>
      <w:r>
        <w:rPr>
          <w:rFonts w:ascii="Calibri" w:hAnsi="Calibri" w:eastAsia="仿宋_GB2312" w:cs="Times New Roman"/>
          <w:b/>
          <w:bCs/>
          <w:sz w:val="32"/>
          <w:szCs w:val="32"/>
        </w:rPr>
        <w:t>“三公”经费：</w:t>
      </w:r>
      <w:r>
        <w:rPr>
          <w:rFonts w:eastAsia="仿宋_GB2312"/>
          <w:color w:val="000000"/>
          <w:kern w:val="0"/>
          <w:sz w:val="32"/>
          <w:szCs w:val="32"/>
        </w:rPr>
        <w:t>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jc w:val="left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八）</w:t>
      </w:r>
      <w:r>
        <w:rPr>
          <w:rFonts w:ascii="Calibri" w:hAnsi="Calibri" w:eastAsia="仿宋_GB2312" w:cs="Times New Roman"/>
          <w:b/>
          <w:bCs/>
          <w:sz w:val="32"/>
          <w:szCs w:val="32"/>
        </w:rPr>
        <w:t>其他交通费用：</w:t>
      </w:r>
      <w:r>
        <w:rPr>
          <w:rFonts w:eastAsia="仿宋_GB2312"/>
          <w:color w:val="000000"/>
          <w:kern w:val="0"/>
          <w:sz w:val="32"/>
          <w:szCs w:val="32"/>
        </w:rPr>
        <w:t>填列单位除公务用车运行维护费以外的其他交通费用。如飞机、船舶等的燃料费、维修费、过桥过路费、保险费、出租车费用、公务交通补贴等。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3" w:firstLineChars="200"/>
        <w:jc w:val="left"/>
        <w:textAlignment w:val="auto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Calibri" w:hAnsi="Calibri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Calibri" w:hAnsi="Calibri" w:eastAsia="仿宋_GB2312" w:cs="Times New Roman"/>
          <w:b/>
          <w:bCs/>
          <w:sz w:val="32"/>
          <w:szCs w:val="32"/>
          <w:lang w:val="en-US" w:eastAsia="zh-CN"/>
        </w:rPr>
        <w:t>九）</w:t>
      </w:r>
      <w:r>
        <w:rPr>
          <w:rFonts w:ascii="Calibri" w:hAnsi="Calibri" w:eastAsia="仿宋_GB2312" w:cs="Times New Roman"/>
          <w:b/>
          <w:bCs/>
          <w:sz w:val="32"/>
          <w:szCs w:val="32"/>
        </w:rPr>
        <w:t>公务用车购置：</w:t>
      </w:r>
      <w:r>
        <w:rPr>
          <w:rFonts w:eastAsia="仿宋_GB2312"/>
          <w:color w:val="000000"/>
          <w:kern w:val="0"/>
          <w:sz w:val="32"/>
          <w:szCs w:val="32"/>
        </w:rPr>
        <w:t>填列单位公务用车车辆购置支出（含车辆购置税）。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80" w:lineRule="exact"/>
        <w:ind w:left="0" w:right="0" w:firstLine="640" w:firstLineChars="200"/>
        <w:jc w:val="left"/>
        <w:textAlignment w:val="auto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right"/>
        <w:textAlignment w:val="auto"/>
        <w:rPr>
          <w:rFonts w:hint="eastAsia" w:ascii="仿宋_GB2312" w:hAnsi="黑体" w:eastAsia="仿宋_GB2312" w:cs="Times New Roman"/>
          <w:sz w:val="32"/>
          <w:szCs w:val="32"/>
          <w:lang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 xml:space="preserve">                   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UnicodeMS">
    <w:altName w:val="Malgun Gothic"/>
    <w:panose1 w:val="00000000000000000000"/>
    <w:charset w:val="81"/>
    <w:family w:val="auto"/>
    <w:pitch w:val="default"/>
    <w:sig w:usb0="00000000" w:usb1="00000000" w:usb2="00000010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ngXian-Regular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engXian-Bold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TimesNewRomanPS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83873B"/>
    <w:multiLevelType w:val="singleLevel"/>
    <w:tmpl w:val="B183873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14993AD"/>
    <w:multiLevelType w:val="singleLevel"/>
    <w:tmpl w:val="414993A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C3280DD"/>
    <w:multiLevelType w:val="multilevel"/>
    <w:tmpl w:val="7C3280DD"/>
    <w:lvl w:ilvl="0" w:tentative="0">
      <w:start w:val="1"/>
      <w:numFmt w:val="decimal"/>
      <w:lvlText w:val="%1."/>
      <w:lvlJc w:val="left"/>
      <w:pPr>
        <w:tabs>
          <w:tab w:val="left" w:pos="1001"/>
        </w:tabs>
        <w:ind w:left="1001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1481"/>
        </w:tabs>
        <w:ind w:left="148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1"/>
        </w:tabs>
        <w:ind w:left="1901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1"/>
        </w:tabs>
        <w:ind w:left="232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1"/>
        </w:tabs>
        <w:ind w:left="274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1"/>
        </w:tabs>
        <w:ind w:left="3161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1"/>
        </w:tabs>
        <w:ind w:left="358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1"/>
        </w:tabs>
        <w:ind w:left="400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1"/>
        </w:tabs>
        <w:ind w:left="442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87"/>
    <w:rsid w:val="003739BA"/>
    <w:rsid w:val="00413287"/>
    <w:rsid w:val="005817C9"/>
    <w:rsid w:val="01181E22"/>
    <w:rsid w:val="019B34A1"/>
    <w:rsid w:val="028E13C2"/>
    <w:rsid w:val="05082ED0"/>
    <w:rsid w:val="0B557CE3"/>
    <w:rsid w:val="0B634118"/>
    <w:rsid w:val="10BF5691"/>
    <w:rsid w:val="130D37E5"/>
    <w:rsid w:val="14C75758"/>
    <w:rsid w:val="15261BA0"/>
    <w:rsid w:val="15E45E6A"/>
    <w:rsid w:val="1C5B5378"/>
    <w:rsid w:val="223C0C20"/>
    <w:rsid w:val="22642FAA"/>
    <w:rsid w:val="243F482E"/>
    <w:rsid w:val="249F060D"/>
    <w:rsid w:val="2950432C"/>
    <w:rsid w:val="296E39E6"/>
    <w:rsid w:val="2A21787E"/>
    <w:rsid w:val="2C34435F"/>
    <w:rsid w:val="2C5C6253"/>
    <w:rsid w:val="2C9F7F2A"/>
    <w:rsid w:val="30591EE1"/>
    <w:rsid w:val="37A811DE"/>
    <w:rsid w:val="39C415F0"/>
    <w:rsid w:val="3C33395E"/>
    <w:rsid w:val="3C4C1719"/>
    <w:rsid w:val="3C6E6D1E"/>
    <w:rsid w:val="3D195264"/>
    <w:rsid w:val="3E640131"/>
    <w:rsid w:val="3F5412CC"/>
    <w:rsid w:val="3FAC3208"/>
    <w:rsid w:val="46181C70"/>
    <w:rsid w:val="48BE1214"/>
    <w:rsid w:val="4A197310"/>
    <w:rsid w:val="4AF068EF"/>
    <w:rsid w:val="4DA77244"/>
    <w:rsid w:val="53FE117E"/>
    <w:rsid w:val="54B409B4"/>
    <w:rsid w:val="55A53F36"/>
    <w:rsid w:val="58430E82"/>
    <w:rsid w:val="5A2B2065"/>
    <w:rsid w:val="5DA048A2"/>
    <w:rsid w:val="60E54B57"/>
    <w:rsid w:val="62E47E27"/>
    <w:rsid w:val="63650DA4"/>
    <w:rsid w:val="647F72AE"/>
    <w:rsid w:val="65C30CDE"/>
    <w:rsid w:val="66982286"/>
    <w:rsid w:val="69A2518C"/>
    <w:rsid w:val="6BA63477"/>
    <w:rsid w:val="6BF60429"/>
    <w:rsid w:val="6E013EE8"/>
    <w:rsid w:val="6E9A604A"/>
    <w:rsid w:val="6ECE61ED"/>
    <w:rsid w:val="703A6BDB"/>
    <w:rsid w:val="70CA5EDA"/>
    <w:rsid w:val="7158738C"/>
    <w:rsid w:val="73365CFB"/>
    <w:rsid w:val="764D6B2F"/>
    <w:rsid w:val="77B33C98"/>
    <w:rsid w:val="78C6180A"/>
    <w:rsid w:val="78F42201"/>
    <w:rsid w:val="7E176C69"/>
    <w:rsid w:val="7FB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1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default" w:ascii="PingFang SC" w:hAnsi="PingFang SC" w:eastAsia="PingFang SC" w:cs="PingFang SC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1"/>
    <w:rPr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unhideWhenUsed/>
    <w:qFormat/>
    <w:uiPriority w:val="99"/>
    <w:rPr>
      <w:color w:val="3F88BF"/>
      <w:u w:val="none"/>
    </w:rPr>
  </w:style>
  <w:style w:type="character" w:styleId="11">
    <w:name w:val="Emphasis"/>
    <w:basedOn w:val="9"/>
    <w:qFormat/>
    <w:uiPriority w:val="20"/>
  </w:style>
  <w:style w:type="character" w:styleId="12">
    <w:name w:val="HTML Definition"/>
    <w:basedOn w:val="9"/>
    <w:unhideWhenUsed/>
    <w:qFormat/>
    <w:uiPriority w:val="99"/>
  </w:style>
  <w:style w:type="character" w:styleId="13">
    <w:name w:val="HTML Variable"/>
    <w:basedOn w:val="9"/>
    <w:unhideWhenUsed/>
    <w:qFormat/>
    <w:uiPriority w:val="99"/>
  </w:style>
  <w:style w:type="character" w:styleId="14">
    <w:name w:val="Hyperlink"/>
    <w:basedOn w:val="9"/>
    <w:unhideWhenUsed/>
    <w:qFormat/>
    <w:uiPriority w:val="99"/>
    <w:rPr>
      <w:color w:val="3F88BF"/>
      <w:u w:val="none"/>
    </w:rPr>
  </w:style>
  <w:style w:type="character" w:styleId="15">
    <w:name w:val="HTML Code"/>
    <w:basedOn w:val="9"/>
    <w:unhideWhenUsed/>
    <w:qFormat/>
    <w:uiPriority w:val="99"/>
    <w:rPr>
      <w:rFonts w:hint="default" w:ascii="PingFang SC" w:hAnsi="PingFang SC" w:eastAsia="PingFang SC" w:cs="PingFang SC"/>
      <w:sz w:val="20"/>
    </w:rPr>
  </w:style>
  <w:style w:type="character" w:styleId="16">
    <w:name w:val="HTML Cite"/>
    <w:basedOn w:val="9"/>
    <w:unhideWhenUsed/>
    <w:qFormat/>
    <w:uiPriority w:val="99"/>
  </w:style>
  <w:style w:type="character" w:styleId="17">
    <w:name w:val="HTML Keyboard"/>
    <w:basedOn w:val="9"/>
    <w:unhideWhenUsed/>
    <w:qFormat/>
    <w:uiPriority w:val="99"/>
    <w:rPr>
      <w:rFonts w:hint="default" w:ascii="PingFang SC" w:hAnsi="PingFang SC" w:eastAsia="PingFang SC" w:cs="PingFang SC"/>
      <w:sz w:val="20"/>
    </w:rPr>
  </w:style>
  <w:style w:type="character" w:styleId="18">
    <w:name w:val="HTML Sample"/>
    <w:basedOn w:val="9"/>
    <w:unhideWhenUsed/>
    <w:qFormat/>
    <w:uiPriority w:val="99"/>
    <w:rPr>
      <w:rFonts w:hint="eastAsia" w:ascii="PingFang SC" w:hAnsi="PingFang SC" w:eastAsia="PingFang SC" w:cs="PingFang SC"/>
    </w:rPr>
  </w:style>
  <w:style w:type="character" w:customStyle="1" w:styleId="19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9"/>
    <w:link w:val="3"/>
    <w:semiHidden/>
    <w:qFormat/>
    <w:uiPriority w:val="99"/>
    <w:rPr>
      <w:sz w:val="18"/>
      <w:szCs w:val="18"/>
    </w:rPr>
  </w:style>
  <w:style w:type="character" w:customStyle="1" w:styleId="21">
    <w:name w:val="num"/>
    <w:basedOn w:val="9"/>
    <w:qFormat/>
    <w:uiPriority w:val="0"/>
    <w:rPr>
      <w:b/>
      <w:color w:val="FF7800"/>
    </w:rPr>
  </w:style>
  <w:style w:type="character" w:customStyle="1" w:styleId="22">
    <w:name w:val="answer-title12"/>
    <w:basedOn w:val="9"/>
    <w:qFormat/>
    <w:uiPriority w:val="0"/>
  </w:style>
  <w:style w:type="character" w:customStyle="1" w:styleId="23">
    <w:name w:val="release-day"/>
    <w:basedOn w:val="9"/>
    <w:qFormat/>
    <w:uiPriority w:val="0"/>
    <w:rPr>
      <w:bdr w:val="single" w:color="BDEBB0" w:sz="6" w:space="0"/>
      <w:shd w:val="clear" w:fill="F5FFF1"/>
    </w:rPr>
  </w:style>
  <w:style w:type="character" w:customStyle="1" w:styleId="24">
    <w:name w:val="keyword-span-wrap"/>
    <w:basedOn w:val="9"/>
    <w:qFormat/>
    <w:uiPriority w:val="0"/>
    <w:rPr>
      <w:color w:val="19A97B"/>
    </w:rPr>
  </w:style>
  <w:style w:type="character" w:customStyle="1" w:styleId="25">
    <w:name w:val="font31"/>
    <w:basedOn w:val="9"/>
    <w:qFormat/>
    <w:uiPriority w:val="0"/>
    <w:rPr>
      <w:rFonts w:hint="default" w:ascii="方正书宋_GBK" w:hAnsi="方正书宋_GBK" w:eastAsia="方正书宋_GBK" w:cs="方正书宋_GBK"/>
      <w:b/>
      <w:color w:val="000000"/>
      <w:sz w:val="21"/>
      <w:szCs w:val="21"/>
      <w:u w:val="none"/>
    </w:rPr>
  </w:style>
  <w:style w:type="character" w:customStyle="1" w:styleId="26">
    <w:name w:val="font11"/>
    <w:basedOn w:val="9"/>
    <w:qFormat/>
    <w:uiPriority w:val="0"/>
    <w:rPr>
      <w:rFonts w:hint="default" w:ascii="方正书宋_GBK" w:hAnsi="方正书宋_GBK" w:eastAsia="方正书宋_GBK" w:cs="方正书宋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package" Target="../embeddings/Workbook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Workbook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package" Target="../embeddings/Workbook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本年收入合计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财政拨款收入</c:v>
                </c:pt>
                <c:pt idx="1">
                  <c:v>事业收入</c:v>
                </c:pt>
                <c:pt idx="2">
                  <c:v>经营收入</c:v>
                </c:pt>
                <c:pt idx="3">
                  <c:v>其他收入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275.39</c:v>
                </c:pt>
                <c:pt idx="1">
                  <c:v>0</c:v>
                </c:pt>
                <c:pt idx="2">
                  <c:v>0</c:v>
                </c:pt>
                <c:pt idx="3">
                  <c:v>84.86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359.67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基本支出</c:v>
                </c:pt>
                <c:pt idx="1">
                  <c:v>项目支出</c:v>
                </c:pt>
                <c:pt idx="2">
                  <c:v>经营支出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106.49</c:v>
                </c:pt>
                <c:pt idx="1">
                  <c:v>252.18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财政拨款收入</c:v>
                </c:pt>
                <c:pt idx="1">
                  <c:v>财政拨款本年支出</c:v>
                </c:pt>
                <c:pt idx="2">
                  <c:v>一般公共预算财政拨款</c:v>
                </c:pt>
                <c:pt idx="3">
                  <c:v>一般公共预算财政拨款支出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404.4</c:v>
                </c:pt>
                <c:pt idx="1">
                  <c:v>271.7</c:v>
                </c:pt>
                <c:pt idx="2">
                  <c:v>386.9</c:v>
                </c:pt>
                <c:pt idx="3">
                  <c:v>262.43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财政拨款收入</c:v>
                </c:pt>
                <c:pt idx="1">
                  <c:v>财政拨款本年支出</c:v>
                </c:pt>
                <c:pt idx="2">
                  <c:v>一般公共预算财政拨款</c:v>
                </c:pt>
                <c:pt idx="3">
                  <c:v>一般公共预算财政拨款支出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275.39</c:v>
                </c:pt>
                <c:pt idx="1">
                  <c:v>358.67</c:v>
                </c:pt>
                <c:pt idx="2">
                  <c:v>272.69</c:v>
                </c:pt>
                <c:pt idx="3">
                  <c:v>347.74</c:v>
                </c:pt>
              </c:numCache>
            </c:numRef>
          </c:val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财政拨款收入</c:v>
                </c:pt>
                <c:pt idx="1">
                  <c:v>财政拨款本年支出</c:v>
                </c:pt>
                <c:pt idx="2">
                  <c:v>一般公共预算财政拨款</c:v>
                </c:pt>
                <c:pt idx="3">
                  <c:v>一般公共预算财政拨款支出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25144167"/>
        <c:axId val="723667839"/>
      </c:barChart>
      <c:catAx>
        <c:axId val="925144167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23667839"/>
        <c:crosses val="autoZero"/>
        <c:auto val="1"/>
        <c:lblAlgn val="ctr"/>
        <c:lblOffset val="100"/>
        <c:noMultiLvlLbl val="0"/>
      </c:catAx>
      <c:valAx>
        <c:axId val="723667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25144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65053555297458"/>
          <c:y val="0.89926942661058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927369879279636"/>
          <c:y val="0.0496605930689532"/>
          <c:w val="0.904192978024754"/>
          <c:h val="0.5324525185796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2018年预算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收入</c:v>
                </c:pt>
                <c:pt idx="1">
                  <c:v>支出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330.28</c:v>
                </c:pt>
                <c:pt idx="1">
                  <c:v>330.28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2018年决算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收入</c:v>
                </c:pt>
                <c:pt idx="1">
                  <c:v>支出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275.39</c:v>
                </c:pt>
                <c:pt idx="1">
                  <c:v>358.67</c:v>
                </c:pt>
              </c:numCache>
            </c:numRef>
          </c:val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收入</c:v>
                </c:pt>
                <c:pt idx="1">
                  <c:v>支出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3270926"/>
        <c:axId val="79700953"/>
      </c:barChart>
      <c:catAx>
        <c:axId val="45327092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9700953"/>
        <c:crosses val="autoZero"/>
        <c:auto val="1"/>
        <c:lblAlgn val="ctr"/>
        <c:lblOffset val="100"/>
        <c:noMultiLvlLbl val="0"/>
      </c:catAx>
      <c:valAx>
        <c:axId val="7970095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327092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0658132676804"/>
          <c:y val="0.8309785359311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358.67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社会保障和就业</c:v>
                </c:pt>
                <c:pt idx="1">
                  <c:v>医疗卫生与计划生育</c:v>
                </c:pt>
                <c:pt idx="2">
                  <c:v>其它支出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345.07</c:v>
                </c:pt>
                <c:pt idx="1">
                  <c:v>2.67</c:v>
                </c:pt>
                <c:pt idx="2">
                  <c:v>10.93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7</Pages>
  <Words>240</Words>
  <Characters>1371</Characters>
  <Lines>11</Lines>
  <Paragraphs>3</Paragraphs>
  <TotalTime>3</TotalTime>
  <ScaleCrop>false</ScaleCrop>
  <LinksUpToDate>false</LinksUpToDate>
  <CharactersWithSpaces>1608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2017-10-27T05:54:00Z</dcterms:created>
  <dc:creator>USER-</dc:creator>
  <cp:lastModifiedBy>Administrator</cp:lastModifiedBy>
  <cp:lastPrinted>2019-11-12T01:34:00Z</cp:lastPrinted>
  <dcterms:modified xsi:type="dcterms:W3CDTF">2021-05-25T08:24:31Z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E8355B1E3CBF4B2BA62455EDA85DA8E6</vt:lpwstr>
  </property>
</Properties>
</file>