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廊坊市大城县城市管理行政执法局2018年度部门决算公开目录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hint="eastAsia" w:eastAsia="黑体"/>
          <w:sz w:val="32"/>
          <w:szCs w:val="32"/>
        </w:rPr>
        <w:t>廊坊市大城县城市管理行政执法局</w:t>
      </w:r>
      <w:bookmarkStart w:id="0" w:name="_GoBack"/>
      <w:bookmarkEnd w:id="0"/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E53D"/>
    <w:multiLevelType w:val="singleLevel"/>
    <w:tmpl w:val="5AF3E5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74E98"/>
    <w:rsid w:val="04E66DF2"/>
    <w:rsid w:val="14891CF0"/>
    <w:rsid w:val="1F312BCD"/>
    <w:rsid w:val="2E410B7C"/>
    <w:rsid w:val="334F6399"/>
    <w:rsid w:val="34E23BD4"/>
    <w:rsid w:val="37730208"/>
    <w:rsid w:val="3D350CD1"/>
    <w:rsid w:val="536775FD"/>
    <w:rsid w:val="68D955C9"/>
    <w:rsid w:val="711C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2021-05-19T09:49:00Z</dcterms:created>
  <dc:creator>Administrator</dc:creator>
  <cp:lastModifiedBy>Administrator</cp:lastModifiedBy>
  <dcterms:modified xsi:type="dcterms:W3CDTF">2021-05-19T10:44:10Z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