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spacing w:line="584" w:lineRule="exact"/>
        <w:jc w:val="center"/>
        <w:rPr>
          <w:b/>
          <w:sz w:val="44"/>
          <w:szCs w:val="44"/>
        </w:rPr>
      </w:pPr>
      <w:r>
        <w:rPr>
          <w:rFonts w:hint="eastAsia"/>
          <w:b/>
          <w:sz w:val="44"/>
          <w:szCs w:val="44"/>
        </w:rPr>
        <w:t>廊坊市大城县臧屯乡人民政府</w:t>
      </w:r>
    </w:p>
    <w:p>
      <w:pPr>
        <w:spacing w:line="584" w:lineRule="exact"/>
        <w:jc w:val="center"/>
        <w:rPr>
          <w:b/>
          <w:sz w:val="44"/>
          <w:szCs w:val="44"/>
        </w:rPr>
      </w:pPr>
    </w:p>
    <w:p>
      <w:pPr>
        <w:spacing w:line="584" w:lineRule="exact"/>
        <w:jc w:val="center"/>
        <w:rPr>
          <w:b/>
          <w:sz w:val="44"/>
          <w:szCs w:val="44"/>
        </w:rPr>
      </w:pPr>
    </w:p>
    <w:p>
      <w:pPr>
        <w:widowControl/>
        <w:spacing w:after="0" w:line="600" w:lineRule="exact"/>
        <w:ind w:firstLine="640" w:firstLineChars="200"/>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第一部分部门概况</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一、部门职责</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一、收入支出决算总表</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二、收入决算表</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三、支出决算表</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四、财政拨款收入支出决算总表</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五、一般公共预算财政拨款支出决算表</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六、一般公共预算财政拨款基本支出决算表</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七、一般公共预算财政拨款</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经费支出决算表</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八、政府性基金预算财政拨款收入支出决算表</w:t>
      </w:r>
    </w:p>
    <w:p>
      <w:pPr>
        <w:widowControl/>
        <w:spacing w:line="580" w:lineRule="exact"/>
        <w:ind w:firstLine="1273" w:firstLineChars="398"/>
        <w:rPr>
          <w:rFonts w:ascii="仿宋" w:hAnsi="仿宋" w:eastAsia="仿宋"/>
          <w:sz w:val="32"/>
          <w:szCs w:val="32"/>
        </w:rPr>
      </w:pPr>
      <w:r>
        <w:rPr>
          <w:rFonts w:hint="eastAsia" w:ascii="仿宋" w:hAnsi="仿宋" w:eastAsia="仿宋"/>
          <w:sz w:val="32"/>
          <w:szCs w:val="32"/>
        </w:rPr>
        <w:t>九、国有资本经营预算财政拨款支出决算表</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十、政府采购情况表</w:t>
      </w: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臧屯乡人民政府</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一、收入支出决算总体情况说明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二、收入决算情况说明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三、支出决算情况说明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四、财政拨款收入支出决算情况说明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五、一般公共预算财政拨款</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经费支出决算情况说明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六、预算绩效情况说明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t xml:space="preserve"> </w:t>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Pr>
        <w:rPr>
          <w:rFonts w:hint="eastAsia"/>
        </w:rPr>
      </w:pPr>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党委：负责贯彻执行党的路线、方针、政策和上级党委及本级党代会（党员大会）的决议。领导乡乡政权机关和群团组织，支持和保证这些机关、组织依照国家法律法规及各自章程充分行使职权。</w:t>
      </w:r>
    </w:p>
    <w:p>
      <w:pPr>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人大：对政府进行监督，乡人民代表大会会议的筹备、会务工作，承担人大换届选举，对政府的目标责任书、述职报告的督办工作，人大机关日常管理事务。</w:t>
      </w:r>
    </w:p>
    <w:p>
      <w:pPr>
        <w:rPr>
          <w:rFonts w:ascii="仿宋" w:hAnsi="仿宋" w:eastAsia="仿宋"/>
          <w:sz w:val="32"/>
          <w:szCs w:val="32"/>
        </w:rPr>
      </w:pPr>
      <w:r>
        <w:rPr>
          <w:rFonts w:ascii="仿宋" w:hAnsi="仿宋" w:eastAsia="仿宋"/>
          <w:sz w:val="32"/>
          <w:szCs w:val="32"/>
        </w:rPr>
        <w:t xml:space="preserve">    3.</w:t>
      </w:r>
      <w:r>
        <w:rPr>
          <w:rFonts w:hint="eastAsia" w:ascii="仿宋" w:hAnsi="仿宋" w:eastAsia="仿宋"/>
          <w:sz w:val="32"/>
          <w:szCs w:val="32"/>
        </w:rPr>
        <w:t>政府：按照有关要求，做好机关办公服务工作。</w:t>
      </w:r>
    </w:p>
    <w:p>
      <w:pPr>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财政：管理乡乡财务管理</w:t>
      </w:r>
      <w:r>
        <w:rPr>
          <w:rFonts w:ascii="仿宋" w:hAnsi="仿宋" w:eastAsia="仿宋"/>
          <w:sz w:val="32"/>
          <w:szCs w:val="32"/>
        </w:rPr>
        <w:t xml:space="preserve"> </w:t>
      </w:r>
      <w:r>
        <w:rPr>
          <w:rFonts w:hint="eastAsia" w:ascii="仿宋" w:hAnsi="仿宋" w:eastAsia="仿宋"/>
          <w:sz w:val="32"/>
          <w:szCs w:val="32"/>
        </w:rPr>
        <w:t>，保障乡乡各项正常运行。</w:t>
      </w:r>
    </w:p>
    <w:p>
      <w:pPr>
        <w:rPr>
          <w:rFonts w:ascii="仿宋" w:hAnsi="仿宋" w:eastAsia="仿宋"/>
          <w:sz w:val="32"/>
          <w:szCs w:val="32"/>
        </w:rPr>
      </w:pPr>
      <w:r>
        <w:rPr>
          <w:rFonts w:ascii="仿宋" w:hAnsi="仿宋" w:eastAsia="仿宋"/>
          <w:sz w:val="32"/>
          <w:szCs w:val="32"/>
        </w:rPr>
        <w:t xml:space="preserve">    5.</w:t>
      </w:r>
      <w:r>
        <w:rPr>
          <w:rFonts w:hint="eastAsia" w:ascii="仿宋" w:hAnsi="仿宋" w:eastAsia="仿宋"/>
          <w:sz w:val="32"/>
          <w:szCs w:val="32"/>
        </w:rPr>
        <w:t>农业：按照可持续发展和建设生态农业的要求，保护农业资源，改善和保护农村环境。</w:t>
      </w:r>
    </w:p>
    <w:p>
      <w:pPr>
        <w:rPr>
          <w:rFonts w:ascii="仿宋" w:hAnsi="仿宋" w:eastAsia="仿宋"/>
          <w:sz w:val="32"/>
          <w:szCs w:val="32"/>
        </w:rPr>
      </w:pPr>
      <w:r>
        <w:rPr>
          <w:rFonts w:ascii="仿宋" w:hAnsi="仿宋" w:eastAsia="仿宋"/>
          <w:sz w:val="32"/>
          <w:szCs w:val="32"/>
        </w:rPr>
        <w:t xml:space="preserve">    6.</w:t>
      </w:r>
      <w:r>
        <w:rPr>
          <w:rFonts w:hint="eastAsia" w:ascii="仿宋" w:hAnsi="仿宋" w:eastAsia="仿宋"/>
          <w:sz w:val="32"/>
          <w:szCs w:val="32"/>
        </w:rPr>
        <w:t>计生：提供各类计划生育技术服务，建立利益导向机制，开展出生人口性别比治理以及流动人口计划生育管理等各项工作。</w:t>
      </w:r>
    </w:p>
    <w:p>
      <w:pPr>
        <w:rPr>
          <w:rFonts w:ascii="仿宋" w:hAnsi="仿宋" w:eastAsia="仿宋"/>
          <w:sz w:val="32"/>
          <w:szCs w:val="32"/>
        </w:rPr>
      </w:pPr>
      <w:r>
        <w:rPr>
          <w:rFonts w:ascii="仿宋" w:hAnsi="仿宋" w:eastAsia="仿宋"/>
          <w:sz w:val="32"/>
          <w:szCs w:val="32"/>
        </w:rPr>
        <w:t xml:space="preserve">    7.</w:t>
      </w:r>
      <w:r>
        <w:rPr>
          <w:rFonts w:hint="eastAsia" w:ascii="仿宋" w:hAnsi="仿宋" w:eastAsia="仿宋"/>
          <w:sz w:val="32"/>
          <w:szCs w:val="32"/>
        </w:rPr>
        <w:t>水利：组织实施全县水资源管理和水土保持相关工作。</w:t>
      </w:r>
    </w:p>
    <w:p>
      <w:pPr>
        <w:rPr>
          <w:rFonts w:ascii="仿宋" w:hAnsi="仿宋" w:eastAsia="仿宋"/>
          <w:sz w:val="32"/>
          <w:szCs w:val="32"/>
        </w:rPr>
      </w:pPr>
      <w:r>
        <w:rPr>
          <w:rFonts w:ascii="仿宋" w:hAnsi="仿宋" w:eastAsia="仿宋"/>
          <w:sz w:val="32"/>
          <w:szCs w:val="32"/>
        </w:rPr>
        <w:t xml:space="preserve">    8.</w:t>
      </w:r>
      <w:r>
        <w:rPr>
          <w:rFonts w:hint="eastAsia" w:ascii="仿宋" w:hAnsi="仿宋" w:eastAsia="仿宋"/>
          <w:sz w:val="32"/>
          <w:szCs w:val="32"/>
        </w:rPr>
        <w:t>文化：管理和指导全县文化建设，推进文化发展环境能力建设，提供公共文化服务、文化艺术资源建设和文化艺术生产。</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 w:hAnsi="仿宋" w:eastAsia="仿宋"/>
          <w:sz w:val="32"/>
          <w:szCs w:val="32"/>
        </w:rPr>
      </w:pPr>
      <w:r>
        <w:rPr>
          <w:rFonts w:hint="eastAsia" w:ascii="仿宋" w:hAnsi="仿宋" w:eastAsia="仿宋"/>
          <w:sz w:val="32"/>
          <w:szCs w:val="32"/>
        </w:rPr>
        <w:t>从决算编报单位构成看，纳入</w:t>
      </w:r>
      <w:r>
        <w:rPr>
          <w:rFonts w:ascii="仿宋" w:hAnsi="仿宋" w:eastAsia="仿宋"/>
          <w:sz w:val="32"/>
          <w:szCs w:val="32"/>
        </w:rPr>
        <w:t xml:space="preserve">2018 </w:t>
      </w:r>
      <w:r>
        <w:rPr>
          <w:rFonts w:hint="eastAsia" w:ascii="仿宋" w:hAnsi="仿宋" w:eastAsia="仿宋"/>
          <w:sz w:val="32"/>
          <w:szCs w:val="32"/>
        </w:rPr>
        <w:t>年度本部门决算汇编范围的独立核算单位（以下简称“单位”）共</w:t>
      </w:r>
      <w:r>
        <w:rPr>
          <w:rFonts w:ascii="仿宋" w:hAnsi="仿宋" w:eastAsia="仿宋"/>
          <w:sz w:val="32"/>
          <w:szCs w:val="32"/>
        </w:rPr>
        <w:t>8</w:t>
      </w:r>
      <w:r>
        <w:rPr>
          <w:rFonts w:hint="eastAsia" w:ascii="仿宋" w:hAnsi="仿宋" w:eastAsia="仿宋"/>
          <w:sz w:val="32"/>
          <w:szCs w:val="32"/>
        </w:rPr>
        <w:t>个，具体情况如下：</w:t>
      </w:r>
    </w:p>
    <w:tbl>
      <w:tblPr>
        <w:tblStyle w:val="12"/>
        <w:tblW w:w="9416" w:type="dxa"/>
        <w:tblInd w:w="0" w:type="dxa"/>
        <w:tblLayout w:type="fixed"/>
        <w:tblCellMar>
          <w:top w:w="0" w:type="dxa"/>
          <w:left w:w="108" w:type="dxa"/>
          <w:bottom w:w="0" w:type="dxa"/>
          <w:right w:w="108" w:type="dxa"/>
        </w:tblCellMar>
      </w:tblPr>
      <w:tblGrid>
        <w:gridCol w:w="735"/>
        <w:gridCol w:w="3882"/>
        <w:gridCol w:w="2308"/>
        <w:gridCol w:w="2491"/>
      </w:tblGrid>
      <w:tr>
        <w:tblPrEx>
          <w:tblCellMar>
            <w:top w:w="0" w:type="dxa"/>
            <w:left w:w="108" w:type="dxa"/>
            <w:bottom w:w="0" w:type="dxa"/>
            <w:right w:w="108" w:type="dxa"/>
          </w:tblCellMar>
        </w:tblPrEx>
        <w:trPr>
          <w:trHeight w:val="735" w:hRule="atLeast"/>
        </w:trPr>
        <w:tc>
          <w:tcPr>
            <w:tcW w:w="9416" w:type="dxa"/>
            <w:gridSpan w:val="4"/>
            <w:tcBorders>
              <w:top w:val="nil"/>
              <w:left w:val="nil"/>
              <w:bottom w:val="single" w:color="000000" w:sz="8" w:space="0"/>
              <w:right w:val="nil"/>
            </w:tcBorders>
            <w:vAlign w:val="center"/>
          </w:tcPr>
          <w:p>
            <w:pPr>
              <w:widowControl/>
              <w:jc w:val="center"/>
              <w:rPr>
                <w:rFonts w:ascii="宋体" w:cs="宋体"/>
                <w:kern w:val="0"/>
                <w:sz w:val="32"/>
                <w:szCs w:val="32"/>
              </w:rPr>
            </w:pPr>
            <w:r>
              <w:rPr>
                <w:rFonts w:hint="eastAsia" w:ascii="宋体" w:hAnsi="宋体" w:cs="宋体"/>
                <w:kern w:val="0"/>
                <w:sz w:val="32"/>
                <w:szCs w:val="32"/>
              </w:rPr>
              <w:t>部门决算单位构成情况</w:t>
            </w:r>
          </w:p>
        </w:tc>
      </w:tr>
      <w:tr>
        <w:tblPrEx>
          <w:tblCellMar>
            <w:top w:w="0" w:type="dxa"/>
            <w:left w:w="108" w:type="dxa"/>
            <w:bottom w:w="0" w:type="dxa"/>
            <w:right w:w="108" w:type="dxa"/>
          </w:tblCellMar>
        </w:tblPrEx>
        <w:trPr>
          <w:trHeight w:val="784" w:hRule="atLeast"/>
        </w:trPr>
        <w:tc>
          <w:tcPr>
            <w:tcW w:w="735" w:type="dxa"/>
            <w:vMerge w:val="restart"/>
            <w:tcBorders>
              <w:top w:val="nil"/>
              <w:left w:val="single" w:color="000000" w:sz="8" w:space="0"/>
              <w:bottom w:val="single" w:color="000000" w:sz="8" w:space="0"/>
              <w:right w:val="single" w:color="000000" w:sz="8" w:space="0"/>
            </w:tcBorders>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序号</w:t>
            </w:r>
          </w:p>
        </w:tc>
        <w:tc>
          <w:tcPr>
            <w:tcW w:w="3882" w:type="dxa"/>
            <w:vMerge w:val="restart"/>
            <w:tcBorders>
              <w:top w:val="nil"/>
              <w:left w:val="single" w:color="000000" w:sz="8" w:space="0"/>
              <w:bottom w:val="single" w:color="000000" w:sz="8" w:space="0"/>
              <w:right w:val="single" w:color="000000" w:sz="8" w:space="0"/>
            </w:tcBorders>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单位名称</w:t>
            </w:r>
          </w:p>
        </w:tc>
        <w:tc>
          <w:tcPr>
            <w:tcW w:w="2308" w:type="dxa"/>
            <w:vMerge w:val="restart"/>
            <w:tcBorders>
              <w:top w:val="nil"/>
              <w:left w:val="single" w:color="000000" w:sz="8" w:space="0"/>
              <w:bottom w:val="single" w:color="000000" w:sz="8" w:space="0"/>
              <w:right w:val="single" w:color="000000" w:sz="8" w:space="0"/>
            </w:tcBorders>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单位基本性质</w:t>
            </w:r>
          </w:p>
        </w:tc>
        <w:tc>
          <w:tcPr>
            <w:tcW w:w="2491" w:type="dxa"/>
            <w:vMerge w:val="restart"/>
            <w:tcBorders>
              <w:top w:val="nil"/>
              <w:left w:val="single" w:color="000000" w:sz="8" w:space="0"/>
              <w:bottom w:val="single" w:color="000000" w:sz="8" w:space="0"/>
              <w:right w:val="single" w:color="000000" w:sz="8" w:space="0"/>
            </w:tcBorders>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经费形式</w:t>
            </w:r>
          </w:p>
        </w:tc>
      </w:tr>
      <w:tr>
        <w:tblPrEx>
          <w:tblCellMar>
            <w:top w:w="0" w:type="dxa"/>
            <w:left w:w="108" w:type="dxa"/>
            <w:bottom w:w="0" w:type="dxa"/>
            <w:right w:w="108" w:type="dxa"/>
          </w:tblCellMar>
        </w:tblPrEx>
        <w:trPr>
          <w:trHeight w:val="784" w:hRule="atLeast"/>
        </w:trPr>
        <w:tc>
          <w:tcPr>
            <w:tcW w:w="735"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3882"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308"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491"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r>
      <w:tr>
        <w:tblPrEx>
          <w:tblCellMar>
            <w:top w:w="0" w:type="dxa"/>
            <w:left w:w="108" w:type="dxa"/>
            <w:bottom w:w="0" w:type="dxa"/>
            <w:right w:w="108" w:type="dxa"/>
          </w:tblCellMar>
        </w:tblPrEx>
        <w:trPr>
          <w:trHeight w:val="660" w:hRule="atLeast"/>
        </w:trPr>
        <w:tc>
          <w:tcPr>
            <w:tcW w:w="735" w:type="dxa"/>
            <w:tcBorders>
              <w:top w:val="nil"/>
              <w:left w:val="single" w:color="000000" w:sz="8" w:space="0"/>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ascii="方正书宋_GBK" w:eastAsia="方正书宋_GBK"/>
              </w:rPr>
              <w:t>1</w:t>
            </w:r>
          </w:p>
        </w:tc>
        <w:tc>
          <w:tcPr>
            <w:tcW w:w="3882"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rPr>
              <w:t>臧屯乡计生办</w:t>
            </w:r>
          </w:p>
        </w:tc>
        <w:tc>
          <w:tcPr>
            <w:tcW w:w="2308"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事业</w:t>
            </w:r>
          </w:p>
        </w:tc>
        <w:tc>
          <w:tcPr>
            <w:tcW w:w="2491"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财政性资金基本保证</w:t>
            </w:r>
          </w:p>
        </w:tc>
      </w:tr>
      <w:tr>
        <w:tblPrEx>
          <w:tblCellMar>
            <w:top w:w="0" w:type="dxa"/>
            <w:left w:w="108" w:type="dxa"/>
            <w:bottom w:w="0" w:type="dxa"/>
            <w:right w:w="108" w:type="dxa"/>
          </w:tblCellMar>
        </w:tblPrEx>
        <w:trPr>
          <w:trHeight w:val="660" w:hRule="atLeast"/>
        </w:trPr>
        <w:tc>
          <w:tcPr>
            <w:tcW w:w="735" w:type="dxa"/>
            <w:tcBorders>
              <w:top w:val="nil"/>
              <w:left w:val="single" w:color="000000" w:sz="8" w:space="0"/>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ascii="方正书宋_GBK" w:eastAsia="方正书宋_GBK"/>
              </w:rPr>
              <w:t>2</w:t>
            </w:r>
          </w:p>
        </w:tc>
        <w:tc>
          <w:tcPr>
            <w:tcW w:w="3882"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rPr>
              <w:t>臧屯乡财政所</w:t>
            </w:r>
          </w:p>
        </w:tc>
        <w:tc>
          <w:tcPr>
            <w:tcW w:w="2308"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事业</w:t>
            </w:r>
          </w:p>
        </w:tc>
        <w:tc>
          <w:tcPr>
            <w:tcW w:w="2491"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财政性资金基本保证</w:t>
            </w:r>
          </w:p>
        </w:tc>
      </w:tr>
      <w:tr>
        <w:tblPrEx>
          <w:tblCellMar>
            <w:top w:w="0" w:type="dxa"/>
            <w:left w:w="108" w:type="dxa"/>
            <w:bottom w:w="0" w:type="dxa"/>
            <w:right w:w="108" w:type="dxa"/>
          </w:tblCellMar>
        </w:tblPrEx>
        <w:trPr>
          <w:trHeight w:val="660" w:hRule="atLeast"/>
        </w:trPr>
        <w:tc>
          <w:tcPr>
            <w:tcW w:w="735" w:type="dxa"/>
            <w:tcBorders>
              <w:top w:val="nil"/>
              <w:left w:val="single" w:color="000000" w:sz="8" w:space="0"/>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ascii="方正书宋_GBK" w:eastAsia="方正书宋_GBK"/>
              </w:rPr>
              <w:t>3</w:t>
            </w:r>
          </w:p>
        </w:tc>
        <w:tc>
          <w:tcPr>
            <w:tcW w:w="3882"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rPr>
              <w:t>臧屯乡政府</w:t>
            </w:r>
          </w:p>
        </w:tc>
        <w:tc>
          <w:tcPr>
            <w:tcW w:w="2308"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行政</w:t>
            </w:r>
          </w:p>
        </w:tc>
        <w:tc>
          <w:tcPr>
            <w:tcW w:w="2491"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财政拨款</w:t>
            </w:r>
          </w:p>
        </w:tc>
      </w:tr>
      <w:tr>
        <w:tblPrEx>
          <w:tblCellMar>
            <w:top w:w="0" w:type="dxa"/>
            <w:left w:w="108" w:type="dxa"/>
            <w:bottom w:w="0" w:type="dxa"/>
            <w:right w:w="108" w:type="dxa"/>
          </w:tblCellMar>
        </w:tblPrEx>
        <w:trPr>
          <w:trHeight w:val="660" w:hRule="atLeast"/>
        </w:trPr>
        <w:tc>
          <w:tcPr>
            <w:tcW w:w="735" w:type="dxa"/>
            <w:tcBorders>
              <w:top w:val="nil"/>
              <w:left w:val="single" w:color="000000" w:sz="8" w:space="0"/>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ascii="方正书宋_GBK" w:eastAsia="方正书宋_GBK"/>
              </w:rPr>
              <w:t>4</w:t>
            </w:r>
          </w:p>
        </w:tc>
        <w:tc>
          <w:tcPr>
            <w:tcW w:w="3882"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rPr>
              <w:t>臧屯乡文化</w:t>
            </w:r>
          </w:p>
        </w:tc>
        <w:tc>
          <w:tcPr>
            <w:tcW w:w="2308"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事业</w:t>
            </w:r>
          </w:p>
        </w:tc>
        <w:tc>
          <w:tcPr>
            <w:tcW w:w="2491"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财政性资金基本保证</w:t>
            </w:r>
          </w:p>
        </w:tc>
      </w:tr>
      <w:tr>
        <w:tblPrEx>
          <w:tblCellMar>
            <w:top w:w="0" w:type="dxa"/>
            <w:left w:w="108" w:type="dxa"/>
            <w:bottom w:w="0" w:type="dxa"/>
            <w:right w:w="108" w:type="dxa"/>
          </w:tblCellMar>
        </w:tblPrEx>
        <w:trPr>
          <w:trHeight w:val="660" w:hRule="atLeast"/>
        </w:trPr>
        <w:tc>
          <w:tcPr>
            <w:tcW w:w="735" w:type="dxa"/>
            <w:tcBorders>
              <w:top w:val="nil"/>
              <w:left w:val="single" w:color="000000" w:sz="8" w:space="0"/>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ascii="方正书宋_GBK" w:eastAsia="方正书宋_GBK"/>
              </w:rPr>
              <w:t>5</w:t>
            </w:r>
          </w:p>
        </w:tc>
        <w:tc>
          <w:tcPr>
            <w:tcW w:w="3882"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rPr>
              <w:t>臧屯乡人大</w:t>
            </w:r>
          </w:p>
        </w:tc>
        <w:tc>
          <w:tcPr>
            <w:tcW w:w="2308"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行政</w:t>
            </w:r>
          </w:p>
        </w:tc>
        <w:tc>
          <w:tcPr>
            <w:tcW w:w="2491"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财政拨款</w:t>
            </w:r>
          </w:p>
        </w:tc>
      </w:tr>
      <w:tr>
        <w:tblPrEx>
          <w:tblCellMar>
            <w:top w:w="0" w:type="dxa"/>
            <w:left w:w="108" w:type="dxa"/>
            <w:bottom w:w="0" w:type="dxa"/>
            <w:right w:w="108" w:type="dxa"/>
          </w:tblCellMar>
        </w:tblPrEx>
        <w:trPr>
          <w:trHeight w:val="660" w:hRule="atLeast"/>
        </w:trPr>
        <w:tc>
          <w:tcPr>
            <w:tcW w:w="735" w:type="dxa"/>
            <w:tcBorders>
              <w:top w:val="nil"/>
              <w:left w:val="single" w:color="000000" w:sz="8" w:space="0"/>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ascii="方正书宋_GBK" w:eastAsia="方正书宋_GBK"/>
              </w:rPr>
              <w:t>6</w:t>
            </w:r>
          </w:p>
        </w:tc>
        <w:tc>
          <w:tcPr>
            <w:tcW w:w="3882"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rPr>
              <w:t>臧屯乡水利</w:t>
            </w:r>
          </w:p>
        </w:tc>
        <w:tc>
          <w:tcPr>
            <w:tcW w:w="2308"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事业</w:t>
            </w:r>
          </w:p>
        </w:tc>
        <w:tc>
          <w:tcPr>
            <w:tcW w:w="2491"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财政性资金基本保证</w:t>
            </w:r>
          </w:p>
        </w:tc>
      </w:tr>
      <w:tr>
        <w:tblPrEx>
          <w:tblCellMar>
            <w:top w:w="0" w:type="dxa"/>
            <w:left w:w="108" w:type="dxa"/>
            <w:bottom w:w="0" w:type="dxa"/>
            <w:right w:w="108" w:type="dxa"/>
          </w:tblCellMar>
        </w:tblPrEx>
        <w:trPr>
          <w:trHeight w:val="660" w:hRule="atLeast"/>
        </w:trPr>
        <w:tc>
          <w:tcPr>
            <w:tcW w:w="735" w:type="dxa"/>
            <w:tcBorders>
              <w:top w:val="nil"/>
              <w:left w:val="single" w:color="000000" w:sz="8" w:space="0"/>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ascii="方正书宋_GBK" w:eastAsia="方正书宋_GBK"/>
              </w:rPr>
              <w:t>7</w:t>
            </w:r>
          </w:p>
        </w:tc>
        <w:tc>
          <w:tcPr>
            <w:tcW w:w="3882"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rPr>
              <w:t>臧屯乡党委</w:t>
            </w:r>
          </w:p>
        </w:tc>
        <w:tc>
          <w:tcPr>
            <w:tcW w:w="2308"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行政</w:t>
            </w:r>
          </w:p>
        </w:tc>
        <w:tc>
          <w:tcPr>
            <w:tcW w:w="2491" w:type="dxa"/>
            <w:tcBorders>
              <w:top w:val="nil"/>
              <w:left w:val="nil"/>
              <w:bottom w:val="single" w:color="000000" w:sz="8" w:space="0"/>
              <w:right w:val="single" w:color="000000" w:sz="8" w:space="0"/>
            </w:tcBorders>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财政拨款</w:t>
            </w:r>
          </w:p>
        </w:tc>
      </w:tr>
      <w:tr>
        <w:tblPrEx>
          <w:tblCellMar>
            <w:top w:w="0" w:type="dxa"/>
            <w:left w:w="108" w:type="dxa"/>
            <w:bottom w:w="0" w:type="dxa"/>
            <w:right w:w="108" w:type="dxa"/>
          </w:tblCellMar>
        </w:tblPrEx>
        <w:trPr>
          <w:trHeight w:val="660" w:hRule="atLeast"/>
        </w:trPr>
        <w:tc>
          <w:tcPr>
            <w:tcW w:w="735" w:type="dxa"/>
            <w:tcBorders>
              <w:top w:val="nil"/>
              <w:left w:val="single" w:color="000000" w:sz="8" w:space="0"/>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eastAsia="方正书宋_GBK"/>
              </w:rPr>
              <w:t>8</w:t>
            </w:r>
          </w:p>
        </w:tc>
        <w:tc>
          <w:tcPr>
            <w:tcW w:w="3882"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hint="eastAsia" w:eastAsia="方正书宋_GBK"/>
              </w:rPr>
              <w:t>臧屯乡农业办</w:t>
            </w:r>
          </w:p>
        </w:tc>
        <w:tc>
          <w:tcPr>
            <w:tcW w:w="2308"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ascii="方正书宋_GBK" w:eastAsia="方正书宋_GBK"/>
              </w:rPr>
              <w:t xml:space="preserve">        </w:t>
            </w:r>
            <w:r>
              <w:rPr>
                <w:rFonts w:hint="eastAsia" w:ascii="方正书宋_GBK" w:eastAsia="方正书宋_GBK"/>
              </w:rPr>
              <w:t>事业</w:t>
            </w:r>
          </w:p>
        </w:tc>
        <w:tc>
          <w:tcPr>
            <w:tcW w:w="2491" w:type="dxa"/>
            <w:tcBorders>
              <w:top w:val="nil"/>
              <w:left w:val="nil"/>
              <w:bottom w:val="single" w:color="000000" w:sz="8" w:space="0"/>
              <w:right w:val="single" w:color="000000" w:sz="8" w:space="0"/>
            </w:tcBorders>
            <w:vAlign w:val="center"/>
          </w:tcPr>
          <w:p>
            <w:pPr>
              <w:spacing w:line="300" w:lineRule="exact"/>
              <w:jc w:val="left"/>
              <w:rPr>
                <w:rFonts w:ascii="方正书宋_GBK" w:hAnsi="宋体" w:eastAsia="方正书宋_GBK" w:cs="宋体"/>
                <w:kern w:val="0"/>
                <w:szCs w:val="21"/>
              </w:rPr>
            </w:pPr>
            <w:r>
              <w:rPr>
                <w:rFonts w:ascii="方正书宋_GBK" w:eastAsia="方正书宋_GBK"/>
              </w:rPr>
              <w:t xml:space="preserve">    </w:t>
            </w:r>
            <w:r>
              <w:rPr>
                <w:rFonts w:hint="eastAsia" w:ascii="方正书宋_GBK" w:eastAsia="方正书宋_GBK"/>
              </w:rPr>
              <w:t>财政性资金基本保证</w:t>
            </w: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hint="eastAsia"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color w:val="000000"/>
          <w:sz w:val="72"/>
          <w:szCs w:val="96"/>
        </w:rPr>
      </w:pP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widowControl/>
        <w:spacing w:line="1200" w:lineRule="exact"/>
        <w:jc w:val="center"/>
        <w:rPr>
          <w:rFonts w:hint="eastAsia"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hint="eastAsia" w:ascii="黑体" w:hAnsi="宋体" w:eastAsia="黑体"/>
          <w:color w:val="000000"/>
          <w:sz w:val="96"/>
          <w:szCs w:val="96"/>
        </w:rPr>
      </w:pPr>
    </w:p>
    <w:p>
      <w:pPr>
        <w:widowControl/>
        <w:spacing w:line="1200" w:lineRule="exact"/>
        <w:jc w:val="center"/>
        <w:rPr>
          <w:rFonts w:hint="eastAsia"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line="584" w:lineRule="exact"/>
        <w:ind w:firstLine="640" w:firstLineChars="200"/>
        <w:rPr>
          <w:rFonts w:ascii="仿宋" w:hAnsi="仿宋" w:eastAsia="仿宋"/>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年度收支总计（含结转和结余）</w:t>
      </w:r>
      <w:r>
        <w:rPr>
          <w:rFonts w:ascii="仿宋" w:hAnsi="仿宋" w:eastAsia="仿宋" w:cs="DengXian-Regular"/>
          <w:sz w:val="32"/>
          <w:szCs w:val="32"/>
        </w:rPr>
        <w:t>2264.05</w:t>
      </w:r>
      <w:r>
        <w:rPr>
          <w:rFonts w:hint="eastAsia" w:ascii="仿宋" w:hAnsi="仿宋" w:eastAsia="仿宋" w:cs="DengXian-Regular"/>
          <w:sz w:val="32"/>
          <w:szCs w:val="32"/>
        </w:rPr>
        <w:t>万元。与</w:t>
      </w:r>
      <w:r>
        <w:rPr>
          <w:rFonts w:ascii="仿宋" w:hAnsi="仿宋" w:eastAsia="仿宋" w:cs="DengXian-Regular"/>
          <w:sz w:val="32"/>
          <w:szCs w:val="32"/>
        </w:rPr>
        <w:t>2017</w:t>
      </w:r>
      <w:r>
        <w:rPr>
          <w:rFonts w:hint="eastAsia" w:ascii="仿宋" w:hAnsi="仿宋" w:eastAsia="仿宋" w:cs="DengXian-Regular"/>
          <w:sz w:val="32"/>
          <w:szCs w:val="32"/>
        </w:rPr>
        <w:t>年度决算相比，收支各增加</w:t>
      </w:r>
      <w:r>
        <w:rPr>
          <w:rFonts w:ascii="仿宋" w:hAnsi="仿宋" w:eastAsia="仿宋" w:cs="DengXian-Regular"/>
          <w:sz w:val="32"/>
          <w:szCs w:val="32"/>
        </w:rPr>
        <w:t>486.34</w:t>
      </w:r>
      <w:r>
        <w:rPr>
          <w:rFonts w:hint="eastAsia" w:ascii="仿宋" w:hAnsi="仿宋" w:eastAsia="仿宋" w:cs="DengXian-Regular"/>
          <w:sz w:val="32"/>
          <w:szCs w:val="32"/>
        </w:rPr>
        <w:t>万元，增长</w:t>
      </w:r>
      <w:r>
        <w:rPr>
          <w:rFonts w:ascii="仿宋" w:hAnsi="仿宋" w:eastAsia="仿宋" w:cs="DengXian-Regular"/>
          <w:sz w:val="32"/>
          <w:szCs w:val="32"/>
        </w:rPr>
        <w:t>27%</w:t>
      </w:r>
      <w:r>
        <w:rPr>
          <w:rFonts w:hint="eastAsia" w:ascii="仿宋" w:hAnsi="仿宋" w:eastAsia="仿宋" w:cs="DengXian-Regular"/>
          <w:sz w:val="32"/>
          <w:szCs w:val="32"/>
        </w:rPr>
        <w:t>，主要是</w:t>
      </w:r>
      <w:r>
        <w:rPr>
          <w:rFonts w:hint="eastAsia" w:ascii="仿宋" w:hAnsi="仿宋" w:eastAsia="仿宋"/>
          <w:sz w:val="32"/>
          <w:szCs w:val="32"/>
        </w:rPr>
        <w:t>村街公益事业、信访维稳、环境整治、大气污染整治等支出增加。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年度本年收入合计</w:t>
      </w:r>
      <w:r>
        <w:rPr>
          <w:rFonts w:ascii="仿宋" w:hAnsi="仿宋" w:eastAsia="仿宋" w:cs="DengXian-Regular"/>
          <w:sz w:val="32"/>
          <w:szCs w:val="32"/>
        </w:rPr>
        <w:t>2264.05</w:t>
      </w:r>
      <w:r>
        <w:rPr>
          <w:rFonts w:hint="eastAsia" w:ascii="仿宋" w:hAnsi="仿宋" w:eastAsia="仿宋" w:cs="DengXian-Regular"/>
          <w:sz w:val="32"/>
          <w:szCs w:val="32"/>
        </w:rPr>
        <w:t>万元，其中：财政拨款收入</w:t>
      </w:r>
      <w:r>
        <w:rPr>
          <w:rFonts w:ascii="仿宋" w:hAnsi="仿宋" w:eastAsia="仿宋" w:cs="DengXian-Regular"/>
          <w:sz w:val="32"/>
          <w:szCs w:val="32"/>
        </w:rPr>
        <w:t>2264.05</w:t>
      </w:r>
      <w:r>
        <w:rPr>
          <w:rFonts w:hint="eastAsia" w:ascii="仿宋" w:hAnsi="仿宋" w:eastAsia="仿宋" w:cs="DengXian-Regular"/>
          <w:sz w:val="32"/>
          <w:szCs w:val="32"/>
        </w:rPr>
        <w:t>万元，占</w:t>
      </w:r>
      <w:r>
        <w:rPr>
          <w:rFonts w:ascii="仿宋" w:hAnsi="仿宋" w:eastAsia="仿宋" w:cs="DengXian-Regular"/>
          <w:sz w:val="32"/>
          <w:szCs w:val="32"/>
        </w:rPr>
        <w:t>100%</w:t>
      </w:r>
      <w:r>
        <w:rPr>
          <w:rFonts w:hint="eastAsia" w:ascii="仿宋" w:hAnsi="仿宋" w:eastAsia="仿宋" w:cs="DengXian-Regular"/>
          <w:sz w:val="32"/>
          <w:szCs w:val="32"/>
        </w:rPr>
        <w:t>；事业收入</w:t>
      </w:r>
      <w:r>
        <w:rPr>
          <w:rFonts w:ascii="仿宋" w:hAnsi="仿宋" w:eastAsia="仿宋" w:cs="DengXian-Regular"/>
          <w:sz w:val="32"/>
          <w:szCs w:val="32"/>
        </w:rPr>
        <w:t>0</w:t>
      </w:r>
      <w:r>
        <w:rPr>
          <w:rFonts w:hint="eastAsia" w:ascii="仿宋" w:hAnsi="仿宋" w:eastAsia="仿宋" w:cs="DengXian-Regular"/>
          <w:sz w:val="32"/>
          <w:szCs w:val="32"/>
        </w:rPr>
        <w:t>万元，占</w:t>
      </w:r>
      <w:r>
        <w:rPr>
          <w:rFonts w:ascii="仿宋" w:hAnsi="仿宋" w:eastAsia="仿宋" w:cs="DengXian-Regular"/>
          <w:sz w:val="32"/>
          <w:szCs w:val="32"/>
        </w:rPr>
        <w:t>0%</w:t>
      </w:r>
      <w:r>
        <w:rPr>
          <w:rFonts w:hint="eastAsia" w:ascii="仿宋" w:hAnsi="仿宋" w:eastAsia="仿宋" w:cs="DengXian-Regular"/>
          <w:sz w:val="32"/>
          <w:szCs w:val="32"/>
        </w:rPr>
        <w:t>；经营收入</w:t>
      </w:r>
      <w:r>
        <w:rPr>
          <w:rFonts w:ascii="仿宋" w:hAnsi="仿宋" w:eastAsia="仿宋" w:cs="DengXian-Regular"/>
          <w:sz w:val="32"/>
          <w:szCs w:val="32"/>
        </w:rPr>
        <w:t>0</w:t>
      </w:r>
      <w:r>
        <w:rPr>
          <w:rFonts w:hint="eastAsia" w:ascii="仿宋" w:hAnsi="仿宋" w:eastAsia="仿宋" w:cs="DengXian-Regular"/>
          <w:sz w:val="32"/>
          <w:szCs w:val="32"/>
        </w:rPr>
        <w:t>万元，占</w:t>
      </w:r>
      <w:r>
        <w:rPr>
          <w:rFonts w:ascii="仿宋" w:hAnsi="仿宋" w:eastAsia="仿宋" w:cs="DengXian-Regular"/>
          <w:sz w:val="32"/>
          <w:szCs w:val="32"/>
        </w:rPr>
        <w:t>0%</w:t>
      </w:r>
      <w:r>
        <w:rPr>
          <w:rFonts w:hint="eastAsia" w:ascii="仿宋" w:hAnsi="仿宋" w:eastAsia="仿宋" w:cs="DengXian-Regular"/>
          <w:sz w:val="32"/>
          <w:szCs w:val="32"/>
        </w:rPr>
        <w:t>；其他收入</w:t>
      </w:r>
      <w:r>
        <w:rPr>
          <w:rFonts w:ascii="仿宋" w:hAnsi="仿宋" w:eastAsia="仿宋" w:cs="DengXian-Regular"/>
          <w:sz w:val="32"/>
          <w:szCs w:val="32"/>
        </w:rPr>
        <w:t>0</w:t>
      </w:r>
      <w:r>
        <w:rPr>
          <w:rFonts w:hint="eastAsia" w:ascii="仿宋" w:hAnsi="仿宋" w:eastAsia="仿宋" w:cs="DengXian-Regular"/>
          <w:sz w:val="32"/>
          <w:szCs w:val="32"/>
        </w:rPr>
        <w:t>万元，占</w:t>
      </w:r>
      <w:r>
        <w:rPr>
          <w:rFonts w:ascii="仿宋" w:hAnsi="仿宋" w:eastAsia="仿宋" w:cs="DengXian-Regular"/>
          <w:sz w:val="32"/>
          <w:szCs w:val="32"/>
        </w:rPr>
        <w:t>0%</w:t>
      </w:r>
      <w:r>
        <w:rPr>
          <w:rFonts w:hint="eastAsia" w:ascii="仿宋" w:hAnsi="仿宋" w:eastAsia="仿宋"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jc w:val="center"/>
        <w:rPr>
          <w:rFonts w:ascii="黑体" w:hAnsi="Calibri" w:eastAsia="黑体"/>
          <w:sz w:val="32"/>
          <w:szCs w:val="32"/>
        </w:rPr>
      </w:pPr>
      <w:r>
        <w:rPr>
          <w:color w:val="FFFFFF" w:themeColor="background1"/>
        </w:rPr>
        <w:pict>
          <v:shape id="_x0000_i1025" o:spt="75" type="#_x0000_t75" style="height:226.5pt;width:358.5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LnkKp2gAAAAUBAAAPAAAAZHJzL2Rvd25y&#10;ZXYueG1sTI/BTsMwEETvSPyDtUhcEHVoIFQhThWBAIkbDR/gxtskqr0OttuGv2fhApeRRrOaeVut&#10;Z2fFEUMcPSm4WWQgkDpvRuoVfLTP1ysQMWky2npCBV8YYV2fn1W6NP5E73jcpF5wCcVSKxhSmkop&#10;Yzeg03HhJyTOdj44ndiGXpqgT1zurFxmWSGdHokXBj3h44DdfnNwCvLXaEMbu7Zp3FN4uXor9p+p&#10;UOryYm4eQCSc098x/OAzOtTMtPUHMlFYBfxI+lXO7pc5262C2zy/A1lX8j99/Q0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IFyV1H9AAAAWAEA&#10;ACAAAABkcnMvY2hhcnRzL19yZWxzL2NoYXJ0MS54bWwucmVsc4SQsUoEMRCGe8F3CAOCFm72ThA5&#10;NnuNCguKoHdgYROT2d1oNlmSKHsvYmVjIVjaCYpv44mP4TSCB4LNMMPP//0/U0yHzrJbDNF4J2CU&#10;5cDQKa+NawTMZ4fbe8Bikk5L6x0KWGCEabm+VpyilYlMsTV9ZERxUUCbUj/hPKoWOxkz36Mjpfah&#10;k4nO0PBeqmvZIB/n+S4PvxlQrjBZpQWESo+AzRY9Jf/P9nVtFO57ddOhS39EcG/x5PIKVSKoDA0m&#10;AbWxSJV5Nbn4vHtevr1ujPPzozOay5fHj/f7r4cn2jd3trLBxh/bsdfU6GBIGJy0wMuCr/yj/AYA&#10;AP//AwBQSwMEFAAGAAgAAAAhAO82RLPDAgAAHwYAABUAAABkcnMvY2hhcnRzL2NoYXJ0MS54bWyc&#10;VEFv0zAUviPxH4K1HbekHaApajKNTEhIFVQr4+4lr00k145st2u5Iw47wGE3kBBIQxwmuExIGxL8&#10;mnbjX/BsN2knNjRxSeyX7/v83pf33NoaD5g3AqkKwSPSWA+IBzwVWcH7Edl7/nhtk3hKU55RJjhE&#10;ZAKKbMV377TSMM2p1N2SpuChCFdhGpFc6zL0fZXmMKBqXZTA8VtPyAHVuJV9P5P0AMUHzG8GwUPf&#10;ipC5AP0PgQEteMWXt+GLXq9IYUekwwFw7bKQwKhGB1RelIrEWByjvO+NKIvIy3wteUp8E7TJmoUu&#10;NAO7GJunLNI8btFwX2STjkQoDZnSXT1hYDeliZQdaV4Z9HYtxq9DNi470jOHRgT42l6XeJTptt3X&#10;CdBQx82gsdlCqo7N0zGN7ILu4Au6k7N56Hh6djo9/zw7+j59dXxFxmSDklUtuNC2NEYnYqiRbSJV&#10;1SUTelsCNbXXgDQsC0hMT5jwiMpJIpiQyrnYcA4qwJTTsMjGLhy4sJAZyCuRrL3PlIGqXBx0QKb4&#10;r64qYbwNFHntgsPyKZhpzU6pzUZpuQs9I9eLuzmAbtxbebTSDPHxwFRmPyEoodi4BlbqRAyrE++7&#10;JEvtYd4RCYhBjOLL00+zo1+zwy+zk5+VoyZuBEt7bMVozBnTD+ez9yezo2/T1+cGdR22Ocf+/nh2&#10;8e7rv7Ebc+zFjzeXb4+vw+Ihi7LcxhqBy7k12OOmHD4c/OVQYhxKlhxCUO2Qm+lEZBAHq9ZDO+Q2&#10;cEsDGzd5UPkV3ARoEm9xPv6R9SBYnXtxI2fj1hw0Z1Gp21SmWbeMj66P6z67vksRWCN6hcQrgeHV&#10;s13dLLb5EbOYG7NZni3oA8/M72F21RHzPpeuI+vZQ55D2N5FhReFesbZZGliEFJfXzDWIDllO1RT&#10;T+I0RkQ+yeyIVjB7r8d/AAAA//8DAFBLAQItABQABgAIAAAAIQCk8pWRHAEAAF4CAAATAAAAAAAA&#10;AAAAAAAAAAAAAABbQ29udGVudF9UeXBlc10ueG1sUEsBAi0AFAAGAAgAAAAhADj9If/WAAAAlAEA&#10;AAsAAAAAAAAAAAAAAAAATQEAAF9yZWxzLy5yZWxzUEsBAi0AFAAGAAgAAAAhAAueQqnaAAAABQEA&#10;AA8AAAAAAAAAAAAAAAAATAIAAGRycy9kb3ducmV2LnhtbFBLAQItABQABgAIAAAAIQAZnoJjCQEA&#10;ADQCAAAOAAAAAAAAAAAAAAAAAFMDAABkcnMvZTJvRG9jLnhtbFBLAQItABQABgAIAAAAIQCrFs1G&#10;uQAAACIBAAAZAAAAAAAAAAAAAAAAAIgEAABkcnMvX3JlbHMvZTJvRG9jLnhtbC5yZWxzUEsBAi0A&#10;FAAGAAgAAAAhAIFyV1H9AAAAWAEAACAAAAAAAAAAAAAAAAAAeAUAAGRycy9jaGFydHMvX3JlbHMv&#10;Y2hhcnQxLnhtbC5yZWxzUEsBAi0AFAAGAAgAAAAhAO82RLPDAgAAHwYAABUAAAAAAAAAAAAAAAAA&#10;swYAAGRycy9jaGFydHMvY2hhcnQxLnhtbFBLBQYAAAAABwAHAMsBAACpCQAAAAA=&#10;">
            <v:path/>
            <v:fill on="f" focussize="0,0"/>
            <v:stroke on="f" joinstyle="miter"/>
            <v:imagedata r:id="rId6" o:title=""/>
            <o:lock v:ext="edit" aspectratio="f"/>
            <w10:wrap type="none"/>
            <w10:anchorlock/>
          </v:shape>
        </w:pict>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年度本年支出合计</w:t>
      </w:r>
      <w:r>
        <w:rPr>
          <w:rFonts w:ascii="仿宋" w:hAnsi="仿宋" w:eastAsia="仿宋" w:cs="DengXian-Regular"/>
          <w:sz w:val="32"/>
          <w:szCs w:val="32"/>
        </w:rPr>
        <w:t>2264.05</w:t>
      </w:r>
      <w:r>
        <w:rPr>
          <w:rFonts w:hint="eastAsia" w:ascii="仿宋" w:hAnsi="仿宋" w:eastAsia="仿宋" w:cs="DengXian-Regular"/>
          <w:sz w:val="32"/>
          <w:szCs w:val="32"/>
        </w:rPr>
        <w:t>万元，其中：基本支出</w:t>
      </w:r>
      <w:r>
        <w:rPr>
          <w:rFonts w:ascii="仿宋" w:hAnsi="仿宋" w:eastAsia="仿宋" w:cs="DengXian-Regular"/>
          <w:sz w:val="32"/>
          <w:szCs w:val="32"/>
        </w:rPr>
        <w:t>1709.05</w:t>
      </w:r>
      <w:r>
        <w:rPr>
          <w:rFonts w:hint="eastAsia" w:ascii="仿宋" w:hAnsi="仿宋" w:eastAsia="仿宋" w:cs="DengXian-Regular"/>
          <w:sz w:val="32"/>
          <w:szCs w:val="32"/>
        </w:rPr>
        <w:t>万元，占</w:t>
      </w:r>
      <w:r>
        <w:rPr>
          <w:rFonts w:ascii="仿宋" w:hAnsi="仿宋" w:eastAsia="仿宋" w:cs="DengXian-Regular"/>
          <w:sz w:val="32"/>
          <w:szCs w:val="32"/>
        </w:rPr>
        <w:t>75%</w:t>
      </w:r>
      <w:r>
        <w:rPr>
          <w:rFonts w:hint="eastAsia" w:ascii="仿宋" w:hAnsi="仿宋" w:eastAsia="仿宋" w:cs="DengXian-Regular"/>
          <w:sz w:val="32"/>
          <w:szCs w:val="32"/>
        </w:rPr>
        <w:t>；项目支出</w:t>
      </w:r>
      <w:r>
        <w:rPr>
          <w:rFonts w:ascii="仿宋" w:hAnsi="仿宋" w:eastAsia="仿宋" w:cs="DengXian-Regular"/>
          <w:sz w:val="32"/>
          <w:szCs w:val="32"/>
        </w:rPr>
        <w:t>555</w:t>
      </w:r>
      <w:r>
        <w:rPr>
          <w:rFonts w:hint="eastAsia" w:ascii="仿宋" w:hAnsi="仿宋" w:eastAsia="仿宋" w:cs="DengXian-Regular"/>
          <w:sz w:val="32"/>
          <w:szCs w:val="32"/>
        </w:rPr>
        <w:t>万元，占</w:t>
      </w:r>
      <w:r>
        <w:rPr>
          <w:rFonts w:ascii="仿宋" w:hAnsi="仿宋" w:eastAsia="仿宋" w:cs="DengXian-Regular"/>
          <w:sz w:val="32"/>
          <w:szCs w:val="32"/>
        </w:rPr>
        <w:t>25%</w:t>
      </w:r>
      <w:r>
        <w:rPr>
          <w:rFonts w:hint="eastAsia" w:ascii="仿宋" w:hAnsi="仿宋" w:eastAsia="仿宋" w:cs="DengXian-Regular"/>
          <w:sz w:val="32"/>
          <w:szCs w:val="32"/>
        </w:rPr>
        <w:t>；经营支出</w:t>
      </w:r>
      <w:r>
        <w:rPr>
          <w:rFonts w:ascii="仿宋" w:hAnsi="仿宋" w:eastAsia="仿宋" w:cs="DengXian-Regular"/>
          <w:sz w:val="32"/>
          <w:szCs w:val="32"/>
        </w:rPr>
        <w:t>0</w:t>
      </w:r>
      <w:r>
        <w:rPr>
          <w:rFonts w:hint="eastAsia" w:ascii="仿宋" w:hAnsi="仿宋" w:eastAsia="仿宋" w:cs="DengXian-Regular"/>
          <w:sz w:val="32"/>
          <w:szCs w:val="32"/>
        </w:rPr>
        <w:t>万元，占</w:t>
      </w:r>
      <w:r>
        <w:rPr>
          <w:rFonts w:ascii="仿宋" w:hAnsi="仿宋" w:eastAsia="仿宋" w:cs="DengXian-Regular"/>
          <w:sz w:val="32"/>
          <w:szCs w:val="32"/>
        </w:rPr>
        <w:t>0%</w:t>
      </w:r>
      <w:r>
        <w:rPr>
          <w:rFonts w:hint="eastAsia" w:ascii="仿宋" w:hAnsi="仿宋" w:eastAsia="仿宋"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line="584" w:lineRule="exact"/>
        <w:ind w:firstLine="1920" w:firstLineChars="600"/>
        <w:rPr>
          <w:rFonts w:eastAsia="仿宋_GB2312"/>
          <w:sz w:val="32"/>
          <w:szCs w:val="32"/>
        </w:rPr>
      </w:pPr>
    </w:p>
    <w:p>
      <w:pPr>
        <w:adjustRightInd w:val="0"/>
        <w:snapToGrid w:val="0"/>
        <w:spacing w:line="360" w:lineRule="auto"/>
        <w:ind w:firstLine="420" w:firstLineChars="200"/>
        <w:jc w:val="center"/>
        <w:rPr>
          <w:rFonts w:eastAsia="仿宋_GB2312"/>
          <w:sz w:val="32"/>
          <w:szCs w:val="32"/>
        </w:rPr>
      </w:pPr>
      <w:r>
        <w:pict>
          <v:shape id="_x0000_s1026" o:spid="_x0000_s1026" o:spt="202" type="#_x0000_t202" style="position:absolute;left:0pt;margin-left:432pt;margin-top:224.55pt;height:5.1pt;width:3.55pt;z-index:251659264;mso-width-relative:page;mso-height-relative:page;" stroked="f" coordsize="21600,21600">
            <v:path/>
            <v:fill focussize="0,0"/>
            <v:stroke on="f" joinstyle="miter"/>
            <v:imagedata o:title=""/>
            <o:lock v:ext="edit"/>
            <v:textbox>
              <w:txbxContent>
                <w:p>
                  <w:pPr>
                    <w:ind w:firstLine="735" w:firstLineChars="350"/>
                  </w:pPr>
                </w:p>
              </w:txbxContent>
            </v:textbox>
          </v:shape>
        </w:pict>
      </w:r>
      <w:r>
        <w:pict>
          <v:shape id="_x0000_i1026" o:spt="75" type="#_x0000_t75" style="height:216.75pt;width:361.5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JguS2wAAAAUBAAAPAAAAZHJzL2Rvd25y&#10;ZXYueG1sTI9BS8NAEIXvgv9hGcGb3aSxVmI2JQgieLK1YI/T7JiEZmdDdtum/97Ri14ePN7w3jfF&#10;anK9OtEYOs8G0lkCirj2tuPGwPbj5e4RVIjIFnvPZOBCAVbl9VWBufVnXtNpExslJRxyNNDGOORa&#10;h7olh2HmB2LJvvzoMIodG21HPEu56/U8SR60w45locWBnluqD5ujM7Dz+vXzsjisx2qbNm8Wq6RO&#10;3425vZmqJ1CRpvh3DD/4gg6lMO39kW1QvQF5JP6qZMt5JnZv4D7LFqDLQv+nL78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BcldR/QAAAFgB&#10;AAAgAAAAZHJzL2NoYXJ0cy9fcmVscy9jaGFydDEueG1sLnJlbHOEkLFKBDEQhnvBdwgDghZu9k4Q&#10;OTZ7jQoLiqB3YGETk9ndaDZZkih7L2JlYyFY2gmKb+OJj+E0ggeCzTDDz//9P1NMh86yWwzReCdg&#10;lOXA0CmvjWsEzGeH23vAYpJOS+sdClhghGm5vlacopWJTLE1fWREcVFAm1I/4TyqFjsZM9+jI6X2&#10;oZOJztDwXqpr2SAf5/kuD78ZUK4wWaUFhEqPgM0WPSX/z/Z1bRTue3XToUt/RHBv8eTyClUiqAwN&#10;JgG1sUiVeTW5+Lx7Xr69bozz86MzmsuXx4/3+6+HJ9o3d7aywcYf27HX1OhgSBictMDLgq/8o/wG&#10;AAD//wMAUEsDBBQABgAIAAAAIQAeuccNpAIAAL8FAAAVAAAAZHJzL2NoYXJ0cy9jaGFydDEueG1s&#10;nFRNb9NAEL0j8R/Mqj02dlIBlRW7Kq6QkCKIGsp9a49jS5tda3eTJvwBjvTADSTEAU4ILlxafk9a&#10;+BfM7vojFaUgLs7O+M3b9yYzHu4vZ8xbgFSl4BHp9wLiAU9FVvJpRI6fP97ZI57SlGeUCQ4RWYEi&#10;+/HdO8M0TAsq9aSiKXhIwlWYRqTQugp9X6UFzKjqiQo4vsuFnFGNoZz6maSnSD5j/iAIHviWhNQE&#10;9D8IZrTkTb38l3qR52UKhyKdz4Brp0ICoxo7oIqyUiRGc4zyqbegLCIvi53kKfFN0oo1B11qBvaw&#10;NE9ZpkU8pOGJyFZjiVAaMqUnesXABpXJVGNpfjLIjyzGb1M2L8fSM5dGBPjO8YR4lOmRjVsBNNTx&#10;IOjvDbFUx+bpKg1tV+7gXbmjszp0vD7/tr74dPnm6/rVxTUaowYpGy940NYaoysx11htMo3rigl9&#10;IIEa7y0gDasSEjMTJr2gcpUIJqRyXey7DipAyWlYZkuXDlxayAzktUw2OmHKQFUhTscgU/yvrjNh&#10;fgQU60Ylh81bUGlbnVKrRml5BLmhy+NJAaD797Yebe2G+LhvnNlXCEooDq6BVToR8+bGXSey0h7q&#10;jkhADGIRr99fXL773PTSZAxVZS9ssP0a+/PD+dXbL7djBzX26vvrH2cfb8IifSfSBdYWHmujOLFG&#10;HJ/PfvObGL/Jhl8EtX7dhiYigzjoBcG2bYrdWpv7a0e8jgAbtF07CXoPbXtv60zQG/wR03QkMHI6&#10;Egw67S5o2mD9Y6qes3YObp4iBLaIvJS4sgw/DQfN5tvhREw31ybYnH2YAs9Mw5k9jUU9h9JNTLsb&#10;WOcQdraQ4UWpnnG22phohLSfF1hqkJyyQ6qpJ3FbIiKfZHaFGpj97sa/AAAA//8DAFBLAQItABQA&#10;BgAIAAAAIQCk8pWRHAEAAF4CAAATAAAAAAAAAAAAAAAAAAAAAABbQ29udGVudF9UeXBlc10ueG1s&#10;UEsBAi0AFAAGAAgAAAAhADj9If/WAAAAlAEAAAsAAAAAAAAAAAAAAAAATQEAAF9yZWxzLy5yZWxz&#10;UEsBAi0AFAAGAAgAAAAhAMAmC5LbAAAABQEAAA8AAAAAAAAAAAAAAAAATAIAAGRycy9kb3ducmV2&#10;LnhtbFBLAQItABQABgAIAAAAIQAZnoJjCQEAADQCAAAOAAAAAAAAAAAAAAAAAFQDAABkcnMvZTJv&#10;RG9jLnhtbFBLAQItABQABgAIAAAAIQCrFs1GuQAAACIBAAAZAAAAAAAAAAAAAAAAAIkEAABkcnMv&#10;X3JlbHMvZTJvRG9jLnhtbC5yZWxzUEsBAi0AFAAGAAgAAAAhAIFyV1H9AAAAWAEAACAAAAAAAAAA&#10;AAAAAAAAeQUAAGRycy9jaGFydHMvX3JlbHMvY2hhcnQxLnhtbC5yZWxzUEsBAi0AFAAGAAgAAAAh&#10;AB65xw2kAgAAvwUAABUAAAAAAAAAAAAAAAAAtAYAAGRycy9jaGFydHMvY2hhcnQxLnhtbFBLBQYA&#10;AAAABwAHAMsBAACLCQAAAAA=&#10;">
            <v:path/>
            <v:fill on="f" focussize="0,0"/>
            <v:stroke on="f" joinstyle="miter"/>
            <v:imagedata r:id="rId7" o:title=""/>
            <o:lock v:ext="edit" aspectratio="f"/>
            <w10:wrap type="none"/>
            <w10:anchorlock/>
          </v:shape>
        </w:pict>
      </w: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年度财政拨款本年收入</w:t>
      </w:r>
      <w:r>
        <w:rPr>
          <w:rFonts w:ascii="仿宋" w:hAnsi="仿宋" w:eastAsia="仿宋" w:cs="DengXian-Regular"/>
          <w:sz w:val="32"/>
          <w:szCs w:val="32"/>
        </w:rPr>
        <w:t>2264.05</w:t>
      </w:r>
      <w:r>
        <w:rPr>
          <w:rFonts w:hint="eastAsia" w:ascii="仿宋" w:hAnsi="仿宋" w:eastAsia="仿宋" w:cs="DengXian-Regular"/>
          <w:sz w:val="32"/>
          <w:szCs w:val="32"/>
        </w:rPr>
        <w:t>万元</w:t>
      </w:r>
      <w:r>
        <w:rPr>
          <w:rFonts w:ascii="仿宋" w:hAnsi="仿宋" w:eastAsia="仿宋" w:cs="DengXian-Regular"/>
          <w:sz w:val="32"/>
          <w:szCs w:val="32"/>
        </w:rPr>
        <w:t>,</w:t>
      </w:r>
      <w:r>
        <w:rPr>
          <w:rFonts w:hint="eastAsia" w:ascii="仿宋" w:hAnsi="仿宋" w:eastAsia="仿宋" w:cs="DengXian-Regular"/>
          <w:sz w:val="32"/>
          <w:szCs w:val="32"/>
        </w:rPr>
        <w:t>比</w:t>
      </w:r>
      <w:r>
        <w:rPr>
          <w:rFonts w:ascii="仿宋" w:hAnsi="仿宋" w:eastAsia="仿宋" w:cs="DengXian-Regular"/>
          <w:sz w:val="32"/>
          <w:szCs w:val="32"/>
        </w:rPr>
        <w:t>2017</w:t>
      </w:r>
      <w:r>
        <w:rPr>
          <w:rFonts w:hint="eastAsia" w:ascii="仿宋" w:hAnsi="仿宋" w:eastAsia="仿宋" w:cs="DengXian-Regular"/>
          <w:sz w:val="32"/>
          <w:szCs w:val="32"/>
        </w:rPr>
        <w:t>年度增加</w:t>
      </w:r>
      <w:r>
        <w:rPr>
          <w:rFonts w:ascii="仿宋" w:hAnsi="仿宋" w:eastAsia="仿宋" w:cs="DengXian-Regular"/>
          <w:sz w:val="32"/>
          <w:szCs w:val="32"/>
        </w:rPr>
        <w:t>486.34</w:t>
      </w:r>
      <w:r>
        <w:rPr>
          <w:rFonts w:hint="eastAsia" w:ascii="仿宋" w:hAnsi="仿宋" w:eastAsia="仿宋" w:cs="DengXian-Regular"/>
          <w:sz w:val="32"/>
          <w:szCs w:val="32"/>
        </w:rPr>
        <w:t>万元，增长</w:t>
      </w:r>
      <w:r>
        <w:rPr>
          <w:rFonts w:ascii="仿宋" w:hAnsi="仿宋" w:eastAsia="仿宋" w:cs="DengXian-Regular"/>
          <w:sz w:val="32"/>
          <w:szCs w:val="32"/>
        </w:rPr>
        <w:t>27%</w:t>
      </w:r>
      <w:r>
        <w:rPr>
          <w:rFonts w:hint="eastAsia" w:ascii="仿宋" w:hAnsi="仿宋" w:eastAsia="仿宋" w:cs="DengXian-Regular"/>
          <w:sz w:val="32"/>
          <w:szCs w:val="32"/>
        </w:rPr>
        <w:t>，主要是公益事业、环境整治、大气污染整治</w:t>
      </w:r>
      <w:r>
        <w:rPr>
          <w:rFonts w:hint="eastAsia" w:ascii="仿宋" w:hAnsi="仿宋" w:eastAsia="仿宋"/>
          <w:sz w:val="32"/>
          <w:szCs w:val="32"/>
        </w:rPr>
        <w:t>等支出增加</w:t>
      </w:r>
      <w:r>
        <w:rPr>
          <w:rFonts w:hint="eastAsia" w:ascii="仿宋" w:hAnsi="仿宋" w:eastAsia="仿宋" w:cs="DengXian-Regular"/>
          <w:sz w:val="32"/>
          <w:szCs w:val="32"/>
        </w:rPr>
        <w:t>；本年支出</w:t>
      </w:r>
      <w:r>
        <w:rPr>
          <w:rFonts w:ascii="仿宋" w:hAnsi="仿宋" w:eastAsia="仿宋" w:cs="DengXian-Regular"/>
          <w:sz w:val="32"/>
          <w:szCs w:val="32"/>
        </w:rPr>
        <w:t>2264.05</w:t>
      </w:r>
      <w:r>
        <w:rPr>
          <w:rFonts w:hint="eastAsia" w:ascii="仿宋" w:hAnsi="仿宋" w:eastAsia="仿宋" w:cs="DengXian-Regular"/>
          <w:sz w:val="32"/>
          <w:szCs w:val="32"/>
        </w:rPr>
        <w:t>万元，增加</w:t>
      </w:r>
      <w:r>
        <w:rPr>
          <w:rFonts w:ascii="仿宋" w:hAnsi="仿宋" w:eastAsia="仿宋" w:cs="DengXian-Regular"/>
          <w:sz w:val="32"/>
          <w:szCs w:val="32"/>
        </w:rPr>
        <w:t>486.34</w:t>
      </w:r>
      <w:r>
        <w:rPr>
          <w:rFonts w:hint="eastAsia" w:ascii="仿宋" w:hAnsi="仿宋" w:eastAsia="仿宋" w:cs="DengXian-Regular"/>
          <w:sz w:val="32"/>
          <w:szCs w:val="32"/>
        </w:rPr>
        <w:t>万元，增长</w:t>
      </w:r>
      <w:r>
        <w:rPr>
          <w:rFonts w:ascii="仿宋" w:hAnsi="仿宋" w:eastAsia="仿宋" w:cs="DengXian-Regular"/>
          <w:sz w:val="32"/>
          <w:szCs w:val="32"/>
        </w:rPr>
        <w:t>27%</w:t>
      </w:r>
      <w:r>
        <w:rPr>
          <w:rFonts w:hint="eastAsia" w:ascii="仿宋" w:hAnsi="仿宋" w:eastAsia="仿宋" w:cs="DengXian-Regular"/>
          <w:sz w:val="32"/>
          <w:szCs w:val="32"/>
        </w:rPr>
        <w:t>，主要是公益事业、环境整治、大气污染整治</w:t>
      </w:r>
      <w:r>
        <w:rPr>
          <w:rFonts w:hint="eastAsia" w:ascii="仿宋" w:hAnsi="仿宋" w:eastAsia="仿宋"/>
          <w:sz w:val="32"/>
          <w:szCs w:val="32"/>
        </w:rPr>
        <w:t>等支出增加</w:t>
      </w:r>
      <w:r>
        <w:rPr>
          <w:rFonts w:hint="eastAsia" w:ascii="仿宋" w:hAnsi="仿宋" w:eastAsia="仿宋" w:cs="DengXian-Regular"/>
          <w:sz w:val="32"/>
          <w:szCs w:val="32"/>
        </w:rPr>
        <w:t>。</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其中：一般公共预算财政拨款本年收入</w:t>
      </w:r>
      <w:r>
        <w:rPr>
          <w:rFonts w:ascii="仿宋" w:hAnsi="仿宋" w:eastAsia="仿宋" w:cs="DengXian-Regular"/>
          <w:sz w:val="32"/>
          <w:szCs w:val="32"/>
        </w:rPr>
        <w:t>1709.05</w:t>
      </w:r>
      <w:r>
        <w:rPr>
          <w:rFonts w:hint="eastAsia" w:ascii="仿宋" w:hAnsi="仿宋" w:eastAsia="仿宋" w:cs="DengXian-Regular"/>
          <w:sz w:val="32"/>
          <w:szCs w:val="32"/>
        </w:rPr>
        <w:t>万元，比</w:t>
      </w:r>
      <w:r>
        <w:rPr>
          <w:rFonts w:ascii="仿宋" w:hAnsi="仿宋" w:eastAsia="仿宋" w:cs="DengXian-Regular"/>
          <w:sz w:val="32"/>
          <w:szCs w:val="32"/>
        </w:rPr>
        <w:t>2017</w:t>
      </w:r>
      <w:r>
        <w:rPr>
          <w:rFonts w:hint="eastAsia" w:ascii="仿宋" w:hAnsi="仿宋" w:eastAsia="仿宋" w:cs="DengXian-Regular"/>
          <w:sz w:val="32"/>
          <w:szCs w:val="32"/>
        </w:rPr>
        <w:t>年度减少</w:t>
      </w:r>
      <w:r>
        <w:rPr>
          <w:rFonts w:ascii="仿宋" w:hAnsi="仿宋" w:eastAsia="仿宋" w:cs="DengXian-Regular"/>
          <w:sz w:val="32"/>
          <w:szCs w:val="32"/>
        </w:rPr>
        <w:t>68.66</w:t>
      </w:r>
      <w:r>
        <w:rPr>
          <w:rFonts w:hint="eastAsia" w:ascii="仿宋" w:hAnsi="仿宋" w:eastAsia="仿宋" w:cs="DengXian-Regular"/>
          <w:sz w:val="32"/>
          <w:szCs w:val="32"/>
        </w:rPr>
        <w:t>万元；主要是厉行节约，反对浪费，严控经费支出；本年支出</w:t>
      </w:r>
      <w:r>
        <w:rPr>
          <w:rFonts w:ascii="仿宋" w:hAnsi="仿宋" w:eastAsia="仿宋" w:cs="DengXian-Regular"/>
          <w:sz w:val="32"/>
          <w:szCs w:val="32"/>
        </w:rPr>
        <w:t>1709.05</w:t>
      </w:r>
      <w:r>
        <w:rPr>
          <w:rFonts w:hint="eastAsia" w:ascii="仿宋" w:hAnsi="仿宋" w:eastAsia="仿宋" w:cs="DengXian-Regular"/>
          <w:sz w:val="32"/>
          <w:szCs w:val="32"/>
        </w:rPr>
        <w:t>万元，比</w:t>
      </w:r>
      <w:r>
        <w:rPr>
          <w:rFonts w:ascii="仿宋" w:hAnsi="仿宋" w:eastAsia="仿宋" w:cs="DengXian-Regular"/>
          <w:sz w:val="32"/>
          <w:szCs w:val="32"/>
        </w:rPr>
        <w:t>2017</w:t>
      </w:r>
      <w:r>
        <w:rPr>
          <w:rFonts w:hint="eastAsia" w:ascii="仿宋" w:hAnsi="仿宋" w:eastAsia="仿宋" w:cs="DengXian-Regular"/>
          <w:sz w:val="32"/>
          <w:szCs w:val="32"/>
        </w:rPr>
        <w:t>年度减少</w:t>
      </w:r>
      <w:r>
        <w:rPr>
          <w:rFonts w:ascii="仿宋" w:hAnsi="仿宋" w:eastAsia="仿宋" w:cs="DengXian-Regular"/>
          <w:sz w:val="32"/>
          <w:szCs w:val="32"/>
        </w:rPr>
        <w:t>68.66</w:t>
      </w:r>
      <w:r>
        <w:rPr>
          <w:rFonts w:hint="eastAsia" w:ascii="仿宋" w:hAnsi="仿宋" w:eastAsia="仿宋" w:cs="DengXian-Regular"/>
          <w:sz w:val="32"/>
          <w:szCs w:val="32"/>
        </w:rPr>
        <w:t>万元，降低</w:t>
      </w:r>
      <w:r>
        <w:rPr>
          <w:rFonts w:ascii="仿宋" w:hAnsi="仿宋" w:eastAsia="仿宋" w:cs="DengXian-Regular"/>
          <w:sz w:val="32"/>
          <w:szCs w:val="32"/>
        </w:rPr>
        <w:t>0.04%</w:t>
      </w:r>
      <w:r>
        <w:rPr>
          <w:rFonts w:hint="eastAsia" w:ascii="仿宋" w:hAnsi="仿宋" w:eastAsia="仿宋" w:cs="DengXian-Regular"/>
          <w:sz w:val="32"/>
          <w:szCs w:val="32"/>
        </w:rPr>
        <w:t>，主要是厉行节约，反对浪费，严控经费支出。政府性基金预算财政拨款本年收入</w:t>
      </w:r>
      <w:r>
        <w:rPr>
          <w:rFonts w:ascii="仿宋" w:hAnsi="仿宋" w:eastAsia="仿宋" w:cs="DengXian-Regular"/>
          <w:sz w:val="32"/>
          <w:szCs w:val="32"/>
        </w:rPr>
        <w:t>555</w:t>
      </w:r>
      <w:r>
        <w:rPr>
          <w:rFonts w:hint="eastAsia" w:ascii="仿宋" w:hAnsi="仿宋" w:eastAsia="仿宋" w:cs="DengXian-Regular"/>
          <w:sz w:val="32"/>
          <w:szCs w:val="32"/>
        </w:rPr>
        <w:t>万元，比</w:t>
      </w:r>
      <w:r>
        <w:rPr>
          <w:rFonts w:ascii="仿宋" w:hAnsi="仿宋" w:eastAsia="仿宋" w:cs="DengXian-Regular"/>
          <w:sz w:val="32"/>
          <w:szCs w:val="32"/>
        </w:rPr>
        <w:t>2017</w:t>
      </w:r>
      <w:r>
        <w:rPr>
          <w:rFonts w:hint="eastAsia" w:ascii="仿宋" w:hAnsi="仿宋" w:eastAsia="仿宋" w:cs="DengXian-Regular"/>
          <w:sz w:val="32"/>
          <w:szCs w:val="32"/>
        </w:rPr>
        <w:t>年度增加</w:t>
      </w:r>
      <w:r>
        <w:rPr>
          <w:rFonts w:ascii="仿宋" w:hAnsi="仿宋" w:eastAsia="仿宋" w:cs="DengXian-Regular"/>
          <w:sz w:val="32"/>
          <w:szCs w:val="32"/>
        </w:rPr>
        <w:t>555</w:t>
      </w:r>
      <w:r>
        <w:rPr>
          <w:rFonts w:hint="eastAsia" w:ascii="仿宋" w:hAnsi="仿宋" w:eastAsia="仿宋" w:cs="DengXian-Regular"/>
          <w:sz w:val="32"/>
          <w:szCs w:val="32"/>
        </w:rPr>
        <w:t>万元，增长</w:t>
      </w:r>
      <w:r>
        <w:rPr>
          <w:rFonts w:ascii="仿宋" w:hAnsi="仿宋" w:eastAsia="仿宋" w:cs="DengXian-Regular"/>
          <w:sz w:val="32"/>
          <w:szCs w:val="32"/>
        </w:rPr>
        <w:t>100%</w:t>
      </w:r>
      <w:r>
        <w:rPr>
          <w:rFonts w:hint="eastAsia" w:ascii="仿宋" w:hAnsi="仿宋" w:eastAsia="仿宋" w:cs="DengXian-Regular"/>
          <w:sz w:val="32"/>
          <w:szCs w:val="32"/>
        </w:rPr>
        <w:t>，主要是公益事业、环境整治、大气污染整治</w:t>
      </w:r>
      <w:r>
        <w:rPr>
          <w:rFonts w:hint="eastAsia" w:ascii="仿宋" w:hAnsi="仿宋" w:eastAsia="仿宋"/>
          <w:sz w:val="32"/>
          <w:szCs w:val="32"/>
        </w:rPr>
        <w:t>等支出增加</w:t>
      </w:r>
      <w:r>
        <w:rPr>
          <w:rFonts w:hint="eastAsia" w:ascii="仿宋" w:hAnsi="仿宋" w:eastAsia="仿宋" w:cs="DengXian-Regular"/>
          <w:sz w:val="32"/>
          <w:szCs w:val="32"/>
        </w:rPr>
        <w:t>；本年支出</w:t>
      </w:r>
      <w:r>
        <w:rPr>
          <w:rFonts w:ascii="仿宋" w:hAnsi="仿宋" w:eastAsia="仿宋" w:cs="DengXian-Regular"/>
          <w:sz w:val="32"/>
          <w:szCs w:val="32"/>
        </w:rPr>
        <w:t>555</w:t>
      </w:r>
      <w:r>
        <w:rPr>
          <w:rFonts w:hint="eastAsia" w:ascii="仿宋" w:hAnsi="仿宋" w:eastAsia="仿宋" w:cs="DengXian-Regular"/>
          <w:sz w:val="32"/>
          <w:szCs w:val="32"/>
        </w:rPr>
        <w:t>万元，比</w:t>
      </w:r>
      <w:r>
        <w:rPr>
          <w:rFonts w:ascii="仿宋" w:hAnsi="仿宋" w:eastAsia="仿宋" w:cs="DengXian-Regular"/>
          <w:sz w:val="32"/>
          <w:szCs w:val="32"/>
        </w:rPr>
        <w:t>2017</w:t>
      </w:r>
      <w:r>
        <w:rPr>
          <w:rFonts w:hint="eastAsia" w:ascii="仿宋" w:hAnsi="仿宋" w:eastAsia="仿宋" w:cs="DengXian-Regular"/>
          <w:sz w:val="32"/>
          <w:szCs w:val="32"/>
        </w:rPr>
        <w:t>年度增加</w:t>
      </w:r>
      <w:r>
        <w:rPr>
          <w:rFonts w:ascii="仿宋" w:hAnsi="仿宋" w:eastAsia="仿宋" w:cs="DengXian-Regular"/>
          <w:sz w:val="32"/>
          <w:szCs w:val="32"/>
        </w:rPr>
        <w:t>555</w:t>
      </w:r>
      <w:r>
        <w:rPr>
          <w:rFonts w:hint="eastAsia" w:ascii="仿宋" w:hAnsi="仿宋" w:eastAsia="仿宋" w:cs="DengXian-Regular"/>
          <w:sz w:val="32"/>
          <w:szCs w:val="32"/>
        </w:rPr>
        <w:t>万元，增长</w:t>
      </w:r>
      <w:r>
        <w:rPr>
          <w:rFonts w:ascii="仿宋" w:hAnsi="仿宋" w:eastAsia="仿宋" w:cs="DengXian-Regular"/>
          <w:sz w:val="32"/>
          <w:szCs w:val="32"/>
        </w:rPr>
        <w:t>100%</w:t>
      </w:r>
      <w:r>
        <w:rPr>
          <w:rFonts w:hint="eastAsia" w:ascii="仿宋" w:hAnsi="仿宋" w:eastAsia="仿宋" w:cs="DengXian-Regular"/>
          <w:sz w:val="32"/>
          <w:szCs w:val="32"/>
        </w:rPr>
        <w:t>，主要是公益事业、环境整治、大气污染整治</w:t>
      </w:r>
      <w:r>
        <w:rPr>
          <w:rFonts w:hint="eastAsia" w:ascii="仿宋" w:hAnsi="仿宋" w:eastAsia="仿宋"/>
          <w:sz w:val="32"/>
          <w:szCs w:val="32"/>
        </w:rPr>
        <w:t>等支出增加</w:t>
      </w:r>
      <w:r>
        <w:rPr>
          <w:rFonts w:hint="eastAsia" w:ascii="仿宋" w:hAnsi="仿宋" w:eastAsia="仿宋" w:cs="DengXian-Regular"/>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line="584" w:lineRule="exact"/>
        <w:ind w:firstLine="1920" w:firstLineChars="600"/>
        <w:rPr>
          <w:rFonts w:eastAsia="仿宋_GB2312"/>
          <w:sz w:val="32"/>
          <w:szCs w:val="32"/>
        </w:rPr>
      </w:pPr>
    </w:p>
    <w:p>
      <w:pPr>
        <w:adjustRightInd w:val="0"/>
        <w:snapToGrid w:val="0"/>
        <w:spacing w:line="360" w:lineRule="auto"/>
        <w:ind w:firstLine="420" w:firstLineChars="200"/>
        <w:jc w:val="center"/>
        <w:rPr>
          <w:rFonts w:eastAsia="仿宋_GB2312"/>
          <w:sz w:val="32"/>
          <w:szCs w:val="32"/>
        </w:rPr>
      </w:pPr>
      <w:r>
        <w:pict>
          <v:shape id="_x0000_s1027" o:spid="_x0000_s1027" o:spt="202" type="#_x0000_t202" style="position:absolute;left:0pt;margin-left:432pt;margin-top:221pt;height:3.55pt;width:10.6pt;z-index:251660288;mso-width-relative:page;mso-height-relative:page;" stroked="f" coordsize="21600,21600">
            <v:path/>
            <v:fill focussize="0,0"/>
            <v:stroke on="f" joinstyle="miter"/>
            <v:imagedata o:title=""/>
            <o:lock v:ext="edit"/>
            <v:textbox>
              <w:txbxContent>
                <w:p>
                  <w:pPr>
                    <w:ind w:firstLine="735" w:firstLineChars="350"/>
                  </w:pPr>
                </w:p>
              </w:txbxContent>
            </v:textbox>
          </v:shape>
        </w:pict>
      </w:r>
      <w:r>
        <w:pict>
          <v:shape id="_x0000_i1027" o:spt="75" type="#_x0000_t75" style="height:216.75pt;width:361.5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FMUY3AAAAAUBAAAPAAAAZHJzL2Rvd25y&#10;ZXYueG1sTI9BS8NAEIXvgv9hGcGL2E0bTUvMpoggerAHaw89bpMxCd2dDdlpE/+9oxe9PHi84b1v&#10;ivXknTrjELtABuazBBRSFeqOGgO7j+fbFajIlmrrAqGBL4ywLi8vCpvXYaR3PG+5UVJCMbcGWuY+&#10;1zpWLXobZ6FHkuwzDN6y2KHR9WBHKfdOL5Ik0952JAut7fGpxeq4PXkD/bh8Y+deOZte9pvdMbsJ&#10;4xyNub6aHh9AMU78dww/+IIOpTAdwonqqJwBeYR/VbLlIhV7MHCXpvegy0L/py+/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gXJXUf0AAABY&#10;AQAAIAAAAGRycy9jaGFydHMvX3JlbHMvY2hhcnQxLnhtbC5yZWxzhJCxSgQxEIZ7wXcIA4IWbvZO&#10;EDk2e40KC4qgd2BhE5PZ3Wg2WZIoey9iZWMhWNoJim/jiY/hNIIHgs0ww8///T9TTIfOslsM0Xgn&#10;YJTlwNApr41rBMxnh9t7wGKSTkvrHQpYYIRpub5WnKKViUyxNX1kRHFRQJtSP+E8qhY7GTPfoyOl&#10;9qGTic7Q8F6qa9kgH+f5Lg+/GVCuMFmlBYRKj4DNFj0l/8/2dW0U7nt106FLf0Rwb/Hk8gpVIqgM&#10;DSYBtbFIlXk1ufi8e16+vW6M8/OjM5rLl8eP9/uvhyfaN3e2ssHGH9ux19ToYEgYnLTAy4Kv/KP8&#10;BgAA//8DAFBLAwQUAAYACAAAACEA7gIGIKwCAAByBQAAFQAAAGRycy9jaGFydHMvY2hhcnQxLnht&#10;bJxUXWvUQBR9F/wPMbSP3WTrJ2GTUlMEYdGla32fJjebwGQmzMxud30q1Krgk1DwRRAKog9FEVSk&#10;D/pn3Nj+C+9MNtltFVqEZXbuzZkz59zcm87aOKfWCITMOPPtdsu1LWARjzM28O2tR/dW7tiWVITF&#10;hHIGvj0Baa8FV690Ii9KiVD9gkRgIQmTXuTbqVKF5zgySiEnssULYPgs4SInCkMxcGJBdpA8p86q&#10;695yDIk9IyD/QZCTjNXnxWXO8yTJItjg0TAHpioVAihRWAGZZoW0AzRHCRtYI0J9+0m6Ej6wHZ00&#10;YvVGZYqC2Yz1KrIoDTrE2+bxpCcQSjwqVV9NKJig0JmiJ/RfDMmmwThNyuRFT1j60vpCi1DVNTGw&#10;la2+FkA8FZx8OSwPfpYvP5RHP8qDb+XBp3Jvf/rsawfpVKBXZNPUuNbCcKOMTkomfKiQSWdqCwXl&#10;al0A0UYaQOQVGYT6Bev0iIhJyCkXsipJuyqHBLwr8rJ4XKXdKs1FDOJMJu5uU6mhMuU7PRARFv4s&#10;E+a7QPBcN2OweAsqbU5HxKiRSmxCoumSoJ8CqPa1pbtL1z1cbmhn5hGCQoJdqGGFCvmwvnG1Elko&#10;C3X7tmtrxCj49X335MXRdB9/n08Pn/7++Ppcpaf77zT5yBSvMEJqjvaMA1/M9PhNuft++vb49Pmr&#10;y9Eg51xrFRh3uJ35xS7UGtkw/8t2qG2HC7YR1Niupi7kMQRuy3WXTW3MJJrchYWx5gRYp+WZSbd1&#10;++ZFhXBbq+cw6GYurQpql8aeNl51U/O2/90rCGwQSSZwyihO83o9rKYFETPvXh0sdjgMgMW6ntTs&#10;enzWbaLqi2YC8FyFMB2EDI8z+ZDRyULfIqT5IsBYgWCEbhBFLIEz4dvifmwGpYaZT2XwBwAA//8D&#10;AFBLAQItABQABgAIAAAAIQCk8pWRHAEAAF4CAAATAAAAAAAAAAAAAAAAAAAAAABbQ29udGVudF9U&#10;eXBlc10ueG1sUEsBAi0AFAAGAAgAAAAhADj9If/WAAAAlAEAAAsAAAAAAAAAAAAAAAAATQEAAF9y&#10;ZWxzLy5yZWxzUEsBAi0AFAAGAAgAAAAhAIgUxRjcAAAABQEAAA8AAAAAAAAAAAAAAAAATAIAAGRy&#10;cy9kb3ducmV2LnhtbFBLAQItABQABgAIAAAAIQAZnoJjCQEAADQCAAAOAAAAAAAAAAAAAAAAAFUD&#10;AABkcnMvZTJvRG9jLnhtbFBLAQItABQABgAIAAAAIQCrFs1GuQAAACIBAAAZAAAAAAAAAAAAAAAA&#10;AIoEAABkcnMvX3JlbHMvZTJvRG9jLnhtbC5yZWxzUEsBAi0AFAAGAAgAAAAhAIFyV1H9AAAAWAEA&#10;ACAAAAAAAAAAAAAAAAAAegUAAGRycy9jaGFydHMvX3JlbHMvY2hhcnQxLnhtbC5yZWxzUEsBAi0A&#10;FAAGAAgAAAAhAO4CBiCsAgAAcgUAABUAAAAAAAAAAAAAAAAAtQYAAGRycy9jaGFydHMvY2hhcnQx&#10;LnhtbFBLBQYAAAAABwAHAMsBAACUCQAAAAA=&#10;">
            <v:path/>
            <v:fill on="f" focussize="0,0"/>
            <v:stroke on="f" joinstyle="miter"/>
            <v:imagedata r:id="rId8" o:title=""/>
            <o:lock v:ext="edit" aspectratio="f"/>
            <w10:wrap type="none"/>
            <w10:anchorlock/>
          </v:shape>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年度财政拨款本年收入</w:t>
      </w:r>
      <w:r>
        <w:rPr>
          <w:rFonts w:ascii="仿宋" w:hAnsi="仿宋" w:eastAsia="仿宋" w:cs="DengXian-Regular"/>
          <w:sz w:val="32"/>
          <w:szCs w:val="32"/>
        </w:rPr>
        <w:t>2264.05</w:t>
      </w:r>
      <w:r>
        <w:rPr>
          <w:rFonts w:hint="eastAsia" w:ascii="仿宋" w:hAnsi="仿宋" w:eastAsia="仿宋" w:cs="DengXian-Regular"/>
          <w:sz w:val="32"/>
          <w:szCs w:val="32"/>
        </w:rPr>
        <w:t>万元，完成年初预算的</w:t>
      </w:r>
      <w:r>
        <w:rPr>
          <w:rFonts w:ascii="仿宋" w:hAnsi="仿宋" w:eastAsia="仿宋" w:cs="DengXian-Regular"/>
          <w:sz w:val="32"/>
          <w:szCs w:val="32"/>
        </w:rPr>
        <w:t>227%,</w:t>
      </w:r>
      <w:r>
        <w:rPr>
          <w:rFonts w:hint="eastAsia" w:ascii="仿宋" w:hAnsi="仿宋" w:eastAsia="仿宋" w:cs="DengXian-Regular"/>
          <w:sz w:val="32"/>
          <w:szCs w:val="32"/>
        </w:rPr>
        <w:t>比年初预算增加</w:t>
      </w:r>
      <w:r>
        <w:rPr>
          <w:rFonts w:ascii="仿宋" w:hAnsi="仿宋" w:eastAsia="仿宋" w:cs="DengXian-Regular"/>
          <w:sz w:val="32"/>
          <w:szCs w:val="32"/>
        </w:rPr>
        <w:t>1270.65</w:t>
      </w:r>
      <w:r>
        <w:rPr>
          <w:rFonts w:hint="eastAsia" w:ascii="仿宋" w:hAnsi="仿宋" w:eastAsia="仿宋" w:cs="DengXian-Regular"/>
          <w:sz w:val="32"/>
          <w:szCs w:val="32"/>
        </w:rPr>
        <w:t>万元，决算数大于预算数主要是公益事业、环境整治、大气污染整治、一事一议</w:t>
      </w:r>
      <w:r>
        <w:rPr>
          <w:rFonts w:hint="eastAsia" w:ascii="仿宋" w:hAnsi="仿宋" w:eastAsia="仿宋"/>
          <w:sz w:val="32"/>
          <w:szCs w:val="32"/>
        </w:rPr>
        <w:t>等支出增加</w:t>
      </w:r>
      <w:r>
        <w:rPr>
          <w:rFonts w:hint="eastAsia" w:ascii="仿宋" w:hAnsi="仿宋" w:eastAsia="仿宋" w:cs="DengXian-Regular"/>
          <w:sz w:val="32"/>
          <w:szCs w:val="32"/>
        </w:rPr>
        <w:t>；本年支出</w:t>
      </w:r>
      <w:r>
        <w:rPr>
          <w:rFonts w:ascii="仿宋" w:hAnsi="仿宋" w:eastAsia="仿宋" w:cs="DengXian-Regular"/>
          <w:sz w:val="32"/>
          <w:szCs w:val="32"/>
        </w:rPr>
        <w:t>2264.05</w:t>
      </w:r>
      <w:r>
        <w:rPr>
          <w:rFonts w:hint="eastAsia" w:ascii="仿宋" w:hAnsi="仿宋" w:eastAsia="仿宋" w:cs="DengXian-Regular"/>
          <w:sz w:val="32"/>
          <w:szCs w:val="32"/>
        </w:rPr>
        <w:t>万元，完成年初预算的</w:t>
      </w:r>
      <w:r>
        <w:rPr>
          <w:rFonts w:ascii="仿宋" w:hAnsi="仿宋" w:eastAsia="仿宋" w:cs="DengXian-Regular"/>
          <w:sz w:val="32"/>
          <w:szCs w:val="32"/>
        </w:rPr>
        <w:t>227%,</w:t>
      </w:r>
      <w:r>
        <w:rPr>
          <w:rFonts w:hint="eastAsia" w:ascii="仿宋" w:hAnsi="仿宋" w:eastAsia="仿宋" w:cs="DengXian-Regular"/>
          <w:sz w:val="32"/>
          <w:szCs w:val="32"/>
        </w:rPr>
        <w:t>比年初预算增加</w:t>
      </w:r>
      <w:r>
        <w:rPr>
          <w:rFonts w:ascii="仿宋" w:hAnsi="仿宋" w:eastAsia="仿宋" w:cs="DengXian-Regular"/>
          <w:sz w:val="32"/>
          <w:szCs w:val="32"/>
        </w:rPr>
        <w:t>1270.65</w:t>
      </w:r>
      <w:r>
        <w:rPr>
          <w:rFonts w:hint="eastAsia" w:ascii="仿宋" w:hAnsi="仿宋" w:eastAsia="仿宋" w:cs="DengXian-Regular"/>
          <w:sz w:val="32"/>
          <w:szCs w:val="32"/>
        </w:rPr>
        <w:t>万元，决算数大于预算数主要是公益事业、环境整治、大气污染整治、一事一议</w:t>
      </w:r>
      <w:r>
        <w:rPr>
          <w:rFonts w:hint="eastAsia" w:ascii="仿宋" w:hAnsi="仿宋" w:eastAsia="仿宋"/>
          <w:sz w:val="32"/>
          <w:szCs w:val="32"/>
        </w:rPr>
        <w:t>等支出增加</w:t>
      </w:r>
      <w:r>
        <w:rPr>
          <w:rFonts w:hint="eastAsia" w:ascii="仿宋" w:hAnsi="仿宋" w:eastAsia="仿宋" w:cs="DengXian-Regular"/>
          <w:sz w:val="32"/>
          <w:szCs w:val="32"/>
        </w:rPr>
        <w:t>。</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其中，一般公共预算财政拨款本年收入完成年初预算</w:t>
      </w:r>
      <w:r>
        <w:rPr>
          <w:rFonts w:ascii="仿宋" w:hAnsi="仿宋" w:eastAsia="仿宋" w:cs="DengXian-Regular"/>
          <w:sz w:val="32"/>
          <w:szCs w:val="32"/>
        </w:rPr>
        <w:t>200.2%</w:t>
      </w:r>
      <w:r>
        <w:rPr>
          <w:rFonts w:hint="eastAsia" w:ascii="仿宋" w:hAnsi="仿宋" w:eastAsia="仿宋" w:cs="DengXian-Regular"/>
          <w:sz w:val="32"/>
          <w:szCs w:val="32"/>
        </w:rPr>
        <w:t>，比年初预算增加</w:t>
      </w:r>
      <w:r>
        <w:rPr>
          <w:rFonts w:ascii="仿宋" w:hAnsi="仿宋" w:eastAsia="仿宋" w:cs="DengXian-Regular"/>
          <w:sz w:val="32"/>
          <w:szCs w:val="32"/>
        </w:rPr>
        <w:t>855.65</w:t>
      </w:r>
      <w:r>
        <w:rPr>
          <w:rFonts w:hint="eastAsia" w:ascii="仿宋" w:hAnsi="仿宋" w:eastAsia="仿宋" w:cs="DengXian-Regular"/>
          <w:sz w:val="32"/>
          <w:szCs w:val="32"/>
        </w:rPr>
        <w:t>万元，决算数大于预算数主要是公益事业、环境整治、大气污染整治、一事一议</w:t>
      </w:r>
      <w:r>
        <w:rPr>
          <w:rFonts w:hint="eastAsia" w:ascii="仿宋" w:hAnsi="仿宋" w:eastAsia="仿宋"/>
          <w:sz w:val="32"/>
          <w:szCs w:val="32"/>
        </w:rPr>
        <w:t>等支出增加</w:t>
      </w:r>
      <w:r>
        <w:rPr>
          <w:rFonts w:hint="eastAsia" w:ascii="仿宋" w:hAnsi="仿宋" w:eastAsia="仿宋" w:cs="DengXian-Regular"/>
          <w:sz w:val="32"/>
          <w:szCs w:val="32"/>
        </w:rPr>
        <w:t>；支出完成年初预算</w:t>
      </w:r>
      <w:r>
        <w:rPr>
          <w:rFonts w:ascii="仿宋" w:hAnsi="仿宋" w:eastAsia="仿宋" w:cs="DengXian-Regular"/>
          <w:sz w:val="32"/>
          <w:szCs w:val="32"/>
        </w:rPr>
        <w:t>200.2%</w:t>
      </w:r>
      <w:r>
        <w:rPr>
          <w:rFonts w:hint="eastAsia" w:ascii="仿宋" w:hAnsi="仿宋" w:eastAsia="仿宋" w:cs="DengXian-Regular"/>
          <w:sz w:val="32"/>
          <w:szCs w:val="32"/>
        </w:rPr>
        <w:t>，比年初预算增加</w:t>
      </w:r>
      <w:r>
        <w:rPr>
          <w:rFonts w:ascii="仿宋" w:hAnsi="仿宋" w:eastAsia="仿宋" w:cs="DengXian-Regular"/>
          <w:sz w:val="32"/>
          <w:szCs w:val="32"/>
        </w:rPr>
        <w:t>855.65</w:t>
      </w:r>
      <w:r>
        <w:rPr>
          <w:rFonts w:hint="eastAsia" w:ascii="仿宋" w:hAnsi="仿宋" w:eastAsia="仿宋" w:cs="DengXian-Regular"/>
          <w:sz w:val="32"/>
          <w:szCs w:val="32"/>
        </w:rPr>
        <w:t>万元，决算数大于预算数主要是公益事业、环境整治、大气污染整治、一事一议</w:t>
      </w:r>
      <w:r>
        <w:rPr>
          <w:rFonts w:hint="eastAsia" w:ascii="仿宋" w:hAnsi="仿宋" w:eastAsia="仿宋"/>
          <w:sz w:val="32"/>
          <w:szCs w:val="32"/>
        </w:rPr>
        <w:t>等支出增加</w:t>
      </w:r>
      <w:r>
        <w:rPr>
          <w:rFonts w:hint="eastAsia" w:ascii="仿宋" w:hAnsi="仿宋" w:eastAsia="仿宋" w:cs="DengXian-Regular"/>
          <w:sz w:val="32"/>
          <w:szCs w:val="32"/>
        </w:rPr>
        <w:t>。政府性基金预算财政拨款本年收入完成年初预算</w:t>
      </w:r>
      <w:r>
        <w:rPr>
          <w:rFonts w:ascii="仿宋" w:hAnsi="仿宋" w:eastAsia="仿宋" w:cs="DengXian-Regular"/>
          <w:sz w:val="32"/>
          <w:szCs w:val="32"/>
        </w:rPr>
        <w:t>396%</w:t>
      </w:r>
      <w:r>
        <w:rPr>
          <w:rFonts w:hint="eastAsia" w:ascii="仿宋" w:hAnsi="仿宋" w:eastAsia="仿宋" w:cs="DengXian-Regular"/>
          <w:sz w:val="32"/>
          <w:szCs w:val="32"/>
        </w:rPr>
        <w:t>，比年初预算增加</w:t>
      </w:r>
      <w:r>
        <w:rPr>
          <w:rFonts w:ascii="仿宋" w:hAnsi="仿宋" w:eastAsia="仿宋" w:cs="DengXian-Regular"/>
          <w:sz w:val="32"/>
          <w:szCs w:val="32"/>
        </w:rPr>
        <w:t>415</w:t>
      </w:r>
      <w:r>
        <w:rPr>
          <w:rFonts w:hint="eastAsia" w:ascii="仿宋" w:hAnsi="仿宋" w:eastAsia="仿宋" w:cs="DengXian-Regular"/>
          <w:sz w:val="32"/>
          <w:szCs w:val="32"/>
        </w:rPr>
        <w:t>万元，决算数大于预算数主要是公益事业、环境整治、大气污染整治</w:t>
      </w:r>
      <w:r>
        <w:rPr>
          <w:rFonts w:hint="eastAsia" w:ascii="仿宋" w:hAnsi="仿宋" w:eastAsia="仿宋"/>
          <w:sz w:val="32"/>
          <w:szCs w:val="32"/>
        </w:rPr>
        <w:t>等支出增加</w:t>
      </w:r>
      <w:r>
        <w:rPr>
          <w:rFonts w:hint="eastAsia" w:ascii="仿宋" w:hAnsi="仿宋" w:eastAsia="仿宋" w:cs="DengXian-Regular"/>
          <w:sz w:val="32"/>
          <w:szCs w:val="32"/>
        </w:rPr>
        <w:t>；支出完成年初预算</w:t>
      </w:r>
      <w:r>
        <w:rPr>
          <w:rFonts w:ascii="仿宋" w:hAnsi="仿宋" w:eastAsia="仿宋" w:cs="DengXian-Regular"/>
          <w:sz w:val="32"/>
          <w:szCs w:val="32"/>
        </w:rPr>
        <w:t>396%</w:t>
      </w:r>
      <w:r>
        <w:rPr>
          <w:rFonts w:hint="eastAsia" w:ascii="仿宋" w:hAnsi="仿宋" w:eastAsia="仿宋" w:cs="DengXian-Regular"/>
          <w:sz w:val="32"/>
          <w:szCs w:val="32"/>
        </w:rPr>
        <w:t>，比年初预算增加</w:t>
      </w:r>
      <w:r>
        <w:rPr>
          <w:rFonts w:ascii="仿宋" w:hAnsi="仿宋" w:eastAsia="仿宋" w:cs="DengXian-Regular"/>
          <w:sz w:val="32"/>
          <w:szCs w:val="32"/>
        </w:rPr>
        <w:t>415</w:t>
      </w:r>
      <w:r>
        <w:rPr>
          <w:rFonts w:hint="eastAsia" w:ascii="仿宋" w:hAnsi="仿宋" w:eastAsia="仿宋" w:cs="DengXian-Regular"/>
          <w:sz w:val="32"/>
          <w:szCs w:val="32"/>
        </w:rPr>
        <w:t>万元，决算数大于预算数主要是公益事业、环境整治、大气污染整治</w:t>
      </w:r>
      <w:r>
        <w:rPr>
          <w:rFonts w:hint="eastAsia" w:ascii="仿宋" w:hAnsi="仿宋" w:eastAsia="仿宋"/>
          <w:sz w:val="32"/>
          <w:szCs w:val="32"/>
        </w:rPr>
        <w:t>等支出增加</w:t>
      </w:r>
      <w:r>
        <w:rPr>
          <w:rFonts w:hint="eastAsia" w:ascii="仿宋" w:hAnsi="仿宋" w:eastAsia="仿宋"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line="584" w:lineRule="exact"/>
        <w:ind w:firstLine="1920" w:firstLineChars="600"/>
        <w:rPr>
          <w:rFonts w:eastAsia="仿宋_GB2312"/>
          <w:sz w:val="32"/>
          <w:szCs w:val="32"/>
        </w:rPr>
      </w:pPr>
    </w:p>
    <w:p>
      <w:pPr>
        <w:adjustRightInd w:val="0"/>
        <w:snapToGrid w:val="0"/>
        <w:spacing w:line="360" w:lineRule="auto"/>
        <w:ind w:firstLine="420" w:firstLineChars="200"/>
        <w:jc w:val="center"/>
        <w:rPr>
          <w:rFonts w:eastAsia="仿宋_GB2312"/>
          <w:sz w:val="32"/>
          <w:szCs w:val="32"/>
        </w:rPr>
      </w:pPr>
      <w:r>
        <w:pict>
          <v:shape id="_x0000_s1028" o:spid="_x0000_s1028" o:spt="202" type="#_x0000_t202" style="position:absolute;left:0pt;margin-left:432pt;margin-top:224.55pt;height:13.85pt;width:15.85pt;z-index:251661312;mso-width-relative:page;mso-height-relative:page;" stroked="f" coordsize="21600,21600">
            <v:path/>
            <v:fill focussize="0,0"/>
            <v:stroke on="f" joinstyle="miter"/>
            <v:imagedata o:title=""/>
            <o:lock v:ext="edit"/>
            <v:textbox>
              <w:txbxContent>
                <w:p>
                  <w:pPr>
                    <w:ind w:firstLine="735" w:firstLineChars="350"/>
                  </w:pPr>
                </w:p>
              </w:txbxContent>
            </v:textbox>
          </v:shape>
        </w:pict>
      </w:r>
      <w:r>
        <w:pict>
          <v:shape id="_x0000_i1028" o:spt="75" type="#_x0000_t75" style="height:216.75pt;width:361.5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r3ZjL2gAAAAUBAAAPAAAAZHJzL2Rvd25y&#10;ZXYueG1sTI9BS8NAEIXvgv9hGcGL2I2NVYnZlKDoubYieptmxyR0dzZkt238945e9PLg8Yb3vimX&#10;k3fqQGPsAxu4mmWgiJtge24NvG6eLu9AxYRs0QUmA18UYVmdnpRY2HDkFzqsU6ukhGOBBrqUhkLr&#10;2HTkMc7CQCzZZxg9JrFjq+2IRyn3Ts+z7EZ77FkWOhzooaNmt957A6vFY9Z7V+/enlfxo968hwtN&#10;wZjzs6m+B5VoSn/H8IMv6FAJ0zbs2UblDMgj6Vclu53nYrcGrvN8Aboq9X/66hs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IFyV1H9AAAAWAEA&#10;ACAAAABkcnMvY2hhcnRzL19yZWxzL2NoYXJ0MS54bWwucmVsc4SQsUoEMRCGe8F3CAOCFm72ThA5&#10;NnuNCguKoHdgYROT2d1oNlmSKHsvYmVjIVjaCYpv44mP4TSCB4LNMMPP//0/U0yHzrJbDNF4J2CU&#10;5cDQKa+NawTMZ4fbe8Bikk5L6x0KWGCEabm+VpyilYlMsTV9ZERxUUCbUj/hPKoWOxkz36Mjpfah&#10;k4nO0PBeqmvZIB/n+S4PvxlQrjBZpQWESo+AzRY9Jf/P9nVtFO57ddOhS39EcG/x5PIKVSKoDA0m&#10;AbWxSJV5Nbn4vHtevr1ujPPzozOay5fHj/f7r4cn2jd3trLBxh/bsdfU6GBIGJy0wMuCr/yj/AYA&#10;AP//AwBQSwMEFAAGAAgAAAAhACKhfyTdAwAAIQkAABUAAABkcnMvY2hhcnRzL2NoYXJ0MS54bWys&#10;Vl9rG0cQfy/0O1yPvNo6SZalHtYFWSJpqFOb2MlD31Z3I93Ve7vH7p4t5SnQOi30qWDoS6EQKMlD&#10;qAlJS5OH9stUavItOrt7fxQnKmlaMOfdmdnfzPxmdlY7V2cpdU5AyISzvtvc9FwHWMijhE377u2j&#10;axs915GKsIhQzqDvzkG6V4MPP9gJ/TAmQh1mJAQHQZj0w74bK5X5jYYMY0iJ3OQZMNRNuEiJwq2Y&#10;NiJBThE8pY2W5203DIhbAJD3AEhJwsrz4l3O88kkCWHEwzwFpmwUAihRyICMk0y6ASZHCZs6J4T2&#10;3bvxxvAzt6GFJli9UImiYBYz/RVJGAc7xB/zaH4g0JT4VKpDNadgNpmWZAdC/4tgcsvYNCqRkYsD&#10;4WinpUOHULVn9sA2bh/qAIivgpfPHizP/1h++2j5+Pfl+a/L84tXD75a3H/618/fLy6eLy/Ol1+e&#10;Le7/soPoKtBfBNee8FvGiQtlwqZkznOFwFpSZnSSwGl7ZLIasOlgZkloav9oVmszytVAANGWFVDo&#10;j4loj4a6M7QCd6NEWIiQU8viVPA8wxYoxDSXCgREVikBAw79JCoce1bMRQQFTiEJifEglbgFE31k&#10;EhzGAKr50ZXdK20fP9s6YKNCoyHBltRmmRrynCnrfMuiZ8pBh33Xc7XFSdDymt3F82d//nbv5TeP&#10;F2f49wRZRoovsb84+8mQYqjJTDwlVLOG6v0XnFaN08XCL178sLz3cPHji1dff/dmSOuCadcgvX8J&#10;ghTW7NmN4RuXRQXwkmjWWJ6+UYihLsRwpRBoVBXCDoUhjyC4DgwEoaZeZlQY6TsWq9fpbG6ty7ws&#10;Q7PrfbzpddaZlSw3t7x1JiWHnc4lFGSiTstuSoYMNZo029QyJhnYxhvzmW09MrsRWVGn2+5sb3db&#10;b5P3Wl7vstzcAwR//cZhUQbmcq8DliGhePl0ybhIcAKawWdDSBN2k5jAdNC1IZkdcFkEbsNIyRdc&#10;HCXh8U0ijq2G4ftglQrle2NanWEwU0fc6kLBpSynik65Ts2ooPBDcsU/B1Gc0jvrxQwinDhjOqBT&#10;ZmWhEhYcpfuTiYTidje9kqOKFazI2+ipg1jJ+n3oKUacoee6SCKkGiSOzpUBWw1L5LiauthB11Ll&#10;1Hei7xaXAp9fnosQ9hJ2DBE+0f93Aeqe+4cCGNUuqFOAgvSx3ehoMJGK1+iIjO3TKGN++gkXd3dX&#10;ZncRvFbdAaHWqPZzpXl7reD6yKcwL7qjfI5KbxjB6nuk13cSuc/ofAUEjaoHHDsSBCN0RBRxBD43&#10;fVfciEpYY2Z+2QR/AwAA//8DAFBLAQItABQABgAIAAAAIQCk8pWRHAEAAF4CAAATAAAAAAAAAAAA&#10;AAAAAAAAAABbQ29udGVudF9UeXBlc10ueG1sUEsBAi0AFAAGAAgAAAAhADj9If/WAAAAlAEAAAsA&#10;AAAAAAAAAAAAAAAATQEAAF9yZWxzLy5yZWxzUEsBAi0AFAAGAAgAAAAhAKvdmMvaAAAABQEAAA8A&#10;AAAAAAAAAAAAAAAATAIAAGRycy9kb3ducmV2LnhtbFBLAQItABQABgAIAAAAIQAZnoJjCQEAADQC&#10;AAAOAAAAAAAAAAAAAAAAAFMDAABkcnMvZTJvRG9jLnhtbFBLAQItABQABgAIAAAAIQCrFs1GuQAA&#10;ACIBAAAZAAAAAAAAAAAAAAAAAIgEAABkcnMvX3JlbHMvZTJvRG9jLnhtbC5yZWxzUEsBAi0AFAAG&#10;AAgAAAAhAIFyV1H9AAAAWAEAACAAAAAAAAAAAAAAAAAAeAUAAGRycy9jaGFydHMvX3JlbHMvY2hh&#10;cnQxLnhtbC5yZWxzUEsBAi0AFAAGAAgAAAAhACKhfyTdAwAAIQkAABUAAAAAAAAAAAAAAAAAswYA&#10;AGRycy9jaGFydHMvY2hhcnQxLnhtbFBLBQYAAAAABwAHAMsBAADDCgAAAAA=&#10;">
            <v:path/>
            <v:fill on="f" focussize="0,0"/>
            <v:stroke on="f" joinstyle="miter"/>
            <v:imagedata r:id="rId9" o:title=""/>
            <o:lock v:ext="edit" aspectratio="f"/>
            <w10:wrap type="none"/>
            <w10:anchorlock/>
          </v:shape>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4" w:lineRule="exact"/>
        <w:ind w:firstLine="640" w:firstLineChars="200"/>
        <w:rPr>
          <w:rFonts w:ascii="仿宋" w:hAnsi="仿宋" w:eastAsia="仿宋" w:cs="DengXian-Regular"/>
          <w:sz w:val="32"/>
          <w:szCs w:val="32"/>
        </w:rPr>
      </w:pPr>
      <w:r>
        <w:rPr>
          <w:rFonts w:ascii="仿宋" w:hAnsi="仿宋" w:eastAsia="仿宋" w:cs="DengXian-Regular"/>
          <w:sz w:val="32"/>
          <w:szCs w:val="32"/>
        </w:rPr>
        <w:t xml:space="preserve">2018 </w:t>
      </w:r>
      <w:r>
        <w:rPr>
          <w:rFonts w:hint="eastAsia" w:ascii="仿宋" w:hAnsi="仿宋" w:eastAsia="仿宋" w:cs="DengXian-Regular"/>
          <w:sz w:val="32"/>
          <w:szCs w:val="32"/>
        </w:rPr>
        <w:t>年度财政拨款支出</w:t>
      </w:r>
      <w:r>
        <w:rPr>
          <w:rFonts w:ascii="仿宋" w:hAnsi="仿宋" w:eastAsia="仿宋" w:cs="DengXian-Regular"/>
          <w:sz w:val="32"/>
          <w:szCs w:val="32"/>
        </w:rPr>
        <w:t>2264.05</w:t>
      </w:r>
      <w:r>
        <w:rPr>
          <w:rFonts w:hint="eastAsia" w:ascii="仿宋" w:hAnsi="仿宋" w:eastAsia="仿宋" w:cs="DengXian-Regular"/>
          <w:sz w:val="32"/>
          <w:szCs w:val="32"/>
        </w:rPr>
        <w:t>万元，主要用于以下方面：一般公共服务支出</w:t>
      </w:r>
      <w:r>
        <w:rPr>
          <w:rFonts w:ascii="仿宋" w:hAnsi="仿宋" w:eastAsia="仿宋" w:cs="DengXian-Regular"/>
          <w:sz w:val="32"/>
          <w:szCs w:val="32"/>
        </w:rPr>
        <w:t>900.13</w:t>
      </w:r>
      <w:r>
        <w:rPr>
          <w:rFonts w:hint="eastAsia" w:ascii="仿宋" w:hAnsi="仿宋" w:eastAsia="仿宋" w:cs="DengXian-Regular"/>
          <w:sz w:val="32"/>
          <w:szCs w:val="32"/>
        </w:rPr>
        <w:t>万元，占</w:t>
      </w:r>
      <w:r>
        <w:rPr>
          <w:rFonts w:ascii="仿宋" w:hAnsi="仿宋" w:eastAsia="仿宋" w:cs="DengXian-Regular"/>
          <w:sz w:val="32"/>
          <w:szCs w:val="32"/>
        </w:rPr>
        <w:t>40%</w:t>
      </w:r>
      <w:r>
        <w:rPr>
          <w:rFonts w:hint="eastAsia" w:ascii="仿宋" w:hAnsi="仿宋" w:eastAsia="仿宋" w:cs="DengXian-Regular"/>
          <w:sz w:val="32"/>
          <w:szCs w:val="32"/>
        </w:rPr>
        <w:t>；文化体育与传媒支出</w:t>
      </w:r>
      <w:r>
        <w:rPr>
          <w:rFonts w:ascii="仿宋" w:hAnsi="仿宋" w:eastAsia="仿宋" w:cs="DengXian-Regular"/>
          <w:sz w:val="32"/>
          <w:szCs w:val="32"/>
        </w:rPr>
        <w:t>6</w:t>
      </w:r>
      <w:r>
        <w:rPr>
          <w:rFonts w:hint="eastAsia" w:ascii="仿宋" w:hAnsi="仿宋" w:eastAsia="仿宋" w:cs="DengXian-Regular"/>
          <w:sz w:val="32"/>
          <w:szCs w:val="32"/>
        </w:rPr>
        <w:t>万元，占</w:t>
      </w:r>
      <w:r>
        <w:rPr>
          <w:rFonts w:ascii="仿宋" w:hAnsi="仿宋" w:eastAsia="仿宋" w:cs="DengXian-Regular"/>
          <w:sz w:val="32"/>
          <w:szCs w:val="32"/>
        </w:rPr>
        <w:t>0.3%</w:t>
      </w:r>
      <w:r>
        <w:rPr>
          <w:rFonts w:hint="eastAsia" w:ascii="仿宋" w:hAnsi="仿宋" w:eastAsia="仿宋" w:cs="DengXian-Regular"/>
          <w:sz w:val="32"/>
          <w:szCs w:val="32"/>
        </w:rPr>
        <w:t>；医疗卫生与计划支出</w:t>
      </w:r>
      <w:r>
        <w:rPr>
          <w:rFonts w:ascii="仿宋" w:hAnsi="仿宋" w:eastAsia="仿宋" w:cs="DengXian-Regular"/>
          <w:sz w:val="32"/>
          <w:szCs w:val="32"/>
        </w:rPr>
        <w:t>38.4</w:t>
      </w:r>
      <w:r>
        <w:rPr>
          <w:rFonts w:hint="eastAsia" w:ascii="仿宋" w:hAnsi="仿宋" w:eastAsia="仿宋" w:cs="DengXian-Regular"/>
          <w:sz w:val="32"/>
          <w:szCs w:val="32"/>
        </w:rPr>
        <w:t>万元，占</w:t>
      </w:r>
      <w:r>
        <w:rPr>
          <w:rFonts w:ascii="仿宋" w:hAnsi="仿宋" w:eastAsia="仿宋" w:cs="DengXian-Regular"/>
          <w:sz w:val="32"/>
          <w:szCs w:val="32"/>
        </w:rPr>
        <w:t>1.7%</w:t>
      </w:r>
      <w:r>
        <w:rPr>
          <w:rFonts w:hint="eastAsia" w:ascii="仿宋" w:hAnsi="仿宋" w:eastAsia="仿宋" w:cs="DengXian-Regular"/>
          <w:sz w:val="32"/>
          <w:szCs w:val="32"/>
        </w:rPr>
        <w:t>；节能环保支出</w:t>
      </w:r>
      <w:r>
        <w:rPr>
          <w:rFonts w:ascii="仿宋" w:hAnsi="仿宋" w:eastAsia="仿宋" w:cs="DengXian-Regular"/>
          <w:sz w:val="32"/>
          <w:szCs w:val="32"/>
        </w:rPr>
        <w:t>80</w:t>
      </w:r>
      <w:r>
        <w:rPr>
          <w:rFonts w:hint="eastAsia" w:ascii="仿宋" w:hAnsi="仿宋" w:eastAsia="仿宋" w:cs="DengXian-Regular"/>
          <w:sz w:val="32"/>
          <w:szCs w:val="32"/>
        </w:rPr>
        <w:t>万元，占</w:t>
      </w:r>
      <w:r>
        <w:rPr>
          <w:rFonts w:ascii="仿宋" w:hAnsi="仿宋" w:eastAsia="仿宋" w:cs="DengXian-Regular"/>
          <w:sz w:val="32"/>
          <w:szCs w:val="32"/>
        </w:rPr>
        <w:t xml:space="preserve"> 3.5%</w:t>
      </w:r>
      <w:r>
        <w:rPr>
          <w:rFonts w:hint="eastAsia" w:ascii="仿宋" w:hAnsi="仿宋" w:eastAsia="仿宋" w:cs="DengXian-Regular"/>
          <w:sz w:val="32"/>
          <w:szCs w:val="32"/>
        </w:rPr>
        <w:t>；社会保障和就业支出</w:t>
      </w:r>
      <w:r>
        <w:rPr>
          <w:rFonts w:ascii="仿宋" w:hAnsi="仿宋" w:eastAsia="仿宋" w:cs="DengXian-Regular"/>
          <w:sz w:val="32"/>
          <w:szCs w:val="32"/>
        </w:rPr>
        <w:t>44.7</w:t>
      </w:r>
      <w:r>
        <w:rPr>
          <w:rFonts w:hint="eastAsia" w:ascii="仿宋" w:hAnsi="仿宋" w:eastAsia="仿宋" w:cs="DengXian-Regular"/>
          <w:sz w:val="32"/>
          <w:szCs w:val="32"/>
        </w:rPr>
        <w:t>万元，占</w:t>
      </w:r>
      <w:r>
        <w:rPr>
          <w:rFonts w:ascii="仿宋" w:hAnsi="仿宋" w:eastAsia="仿宋" w:cs="DengXian-Regular"/>
          <w:sz w:val="32"/>
          <w:szCs w:val="32"/>
        </w:rPr>
        <w:t>1.9%</w:t>
      </w:r>
      <w:r>
        <w:rPr>
          <w:rFonts w:hint="eastAsia" w:ascii="仿宋" w:hAnsi="仿宋" w:eastAsia="仿宋" w:cs="DengXian-Regular"/>
          <w:sz w:val="32"/>
          <w:szCs w:val="32"/>
        </w:rPr>
        <w:t>；城乡社区支出</w:t>
      </w:r>
      <w:r>
        <w:rPr>
          <w:rFonts w:ascii="仿宋" w:hAnsi="仿宋" w:eastAsia="仿宋" w:cs="DengXian-Regular"/>
          <w:sz w:val="32"/>
          <w:szCs w:val="32"/>
        </w:rPr>
        <w:t>100</w:t>
      </w:r>
      <w:r>
        <w:rPr>
          <w:rFonts w:hint="eastAsia" w:ascii="仿宋" w:hAnsi="仿宋" w:eastAsia="仿宋" w:cs="DengXian-Regular"/>
          <w:sz w:val="32"/>
          <w:szCs w:val="32"/>
        </w:rPr>
        <w:t>万元，占</w:t>
      </w:r>
      <w:r>
        <w:rPr>
          <w:rFonts w:ascii="仿宋" w:hAnsi="仿宋" w:eastAsia="仿宋" w:cs="DengXian-Regular"/>
          <w:sz w:val="32"/>
          <w:szCs w:val="32"/>
        </w:rPr>
        <w:t>4.4%;</w:t>
      </w:r>
      <w:r>
        <w:rPr>
          <w:rFonts w:hint="eastAsia" w:ascii="仿宋" w:hAnsi="仿宋" w:eastAsia="仿宋" w:cs="DengXian-Regular"/>
          <w:sz w:val="32"/>
          <w:szCs w:val="32"/>
        </w:rPr>
        <w:t>农林水支出</w:t>
      </w:r>
      <w:r>
        <w:rPr>
          <w:rFonts w:ascii="仿宋" w:hAnsi="仿宋" w:eastAsia="仿宋" w:cs="DengXian-Regular"/>
          <w:sz w:val="32"/>
          <w:szCs w:val="32"/>
        </w:rPr>
        <w:t>607.68</w:t>
      </w:r>
      <w:r>
        <w:rPr>
          <w:rFonts w:hint="eastAsia" w:ascii="仿宋" w:hAnsi="仿宋" w:eastAsia="仿宋" w:cs="DengXian-Regular"/>
          <w:sz w:val="32"/>
          <w:szCs w:val="32"/>
        </w:rPr>
        <w:t>万元，占</w:t>
      </w:r>
      <w:r>
        <w:rPr>
          <w:rFonts w:ascii="仿宋" w:hAnsi="仿宋" w:eastAsia="仿宋" w:cs="DengXian-Regular"/>
          <w:sz w:val="32"/>
          <w:szCs w:val="32"/>
        </w:rPr>
        <w:t>26.8%;</w:t>
      </w:r>
      <w:r>
        <w:rPr>
          <w:rFonts w:hint="eastAsia" w:ascii="仿宋" w:hAnsi="仿宋" w:eastAsia="仿宋" w:cs="DengXian-Regular"/>
          <w:sz w:val="32"/>
          <w:szCs w:val="32"/>
        </w:rPr>
        <w:t>资源勘探信息等支出</w:t>
      </w:r>
      <w:r>
        <w:rPr>
          <w:rFonts w:ascii="仿宋" w:hAnsi="仿宋" w:eastAsia="仿宋" w:cs="DengXian-Regular"/>
          <w:sz w:val="32"/>
          <w:szCs w:val="32"/>
        </w:rPr>
        <w:t>10</w:t>
      </w:r>
      <w:r>
        <w:rPr>
          <w:rFonts w:hint="eastAsia" w:ascii="仿宋" w:hAnsi="仿宋" w:eastAsia="仿宋" w:cs="DengXian-Regular"/>
          <w:sz w:val="32"/>
          <w:szCs w:val="32"/>
        </w:rPr>
        <w:t>万元，占</w:t>
      </w:r>
      <w:r>
        <w:rPr>
          <w:rFonts w:ascii="仿宋" w:hAnsi="仿宋" w:eastAsia="仿宋" w:cs="DengXian-Regular"/>
          <w:sz w:val="32"/>
          <w:szCs w:val="32"/>
        </w:rPr>
        <w:t>0.4%;</w:t>
      </w:r>
      <w:r>
        <w:rPr>
          <w:rFonts w:hint="eastAsia" w:ascii="仿宋" w:hAnsi="仿宋" w:eastAsia="仿宋" w:cs="DengXian-Regular"/>
          <w:sz w:val="32"/>
          <w:szCs w:val="32"/>
        </w:rPr>
        <w:t>其他支出</w:t>
      </w:r>
      <w:r>
        <w:rPr>
          <w:rFonts w:ascii="仿宋" w:hAnsi="仿宋" w:eastAsia="仿宋" w:cs="DengXian-Regular"/>
          <w:sz w:val="32"/>
          <w:szCs w:val="32"/>
        </w:rPr>
        <w:t>477.14</w:t>
      </w:r>
      <w:r>
        <w:rPr>
          <w:rFonts w:hint="eastAsia" w:ascii="仿宋" w:hAnsi="仿宋" w:eastAsia="仿宋" w:cs="DengXian-Regular"/>
          <w:sz w:val="32"/>
          <w:szCs w:val="32"/>
        </w:rPr>
        <w:t>万元，占</w:t>
      </w:r>
      <w:r>
        <w:rPr>
          <w:rFonts w:ascii="仿宋" w:hAnsi="仿宋" w:eastAsia="仿宋" w:cs="DengXian-Regular"/>
          <w:sz w:val="32"/>
          <w:szCs w:val="32"/>
        </w:rPr>
        <w:t>21%</w:t>
      </w:r>
      <w:r>
        <w:rPr>
          <w:rFonts w:hint="eastAsia" w:ascii="仿宋" w:hAnsi="仿宋" w:eastAsia="仿宋"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line="584" w:lineRule="exact"/>
        <w:ind w:firstLine="1920" w:firstLineChars="600"/>
        <w:rPr>
          <w:rFonts w:eastAsia="仿宋_GB2312"/>
          <w:sz w:val="32"/>
          <w:szCs w:val="32"/>
        </w:rPr>
      </w:pPr>
    </w:p>
    <w:p>
      <w:pPr>
        <w:adjustRightInd w:val="0"/>
        <w:snapToGrid w:val="0"/>
        <w:spacing w:line="360" w:lineRule="auto"/>
        <w:ind w:firstLine="420" w:firstLineChars="200"/>
        <w:rPr>
          <w:rFonts w:eastAsia="仿宋_GB2312"/>
          <w:sz w:val="32"/>
          <w:szCs w:val="32"/>
        </w:rPr>
      </w:pPr>
      <w:r>
        <w:pict>
          <v:shape id="_x0000_s1029" o:spid="_x0000_s1029" o:spt="202" type="#_x0000_t202" style="position:absolute;left:0pt;margin-left:432pt;margin-top:212.35pt;height:12.2pt;width:3.85pt;z-index:251662336;mso-width-relative:page;mso-height-relative:page;" stroked="f" coordsize="21600,21600">
            <v:path/>
            <v:fill focussize="0,0"/>
            <v:stroke on="f" joinstyle="miter"/>
            <v:imagedata o:title=""/>
            <o:lock v:ext="edit"/>
            <v:textbox>
              <w:txbxContent>
                <w:p>
                  <w:pPr>
                    <w:ind w:firstLine="735" w:firstLineChars="350"/>
                  </w:pPr>
                </w:p>
              </w:txbxContent>
            </v:textbox>
          </v:shape>
        </w:pict>
      </w:r>
      <w:r>
        <w:t xml:space="preserve"> </w:t>
      </w:r>
      <w:r>
        <w:pict>
          <v:shape id="_x0000_i1029" o:spt="75" type="#_x0000_t75" style="height:252.75pt;width:370.5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vrkU/2QAAAAUBAAAPAAAAZHJzL2Rvd25y&#10;ZXYueG1sTI/BSsNAEIbvgu+wjODNblqMSsymFKk3L8Yg9DbJjkkwOxuymzb16R296GXg5x+++Sbf&#10;Lm5QR5pC79nAepWAIm687bk1UL093zyAChHZ4uCZDJwpwLa4vMgxs/7Er3QsY6sEwiFDA12MY6Z1&#10;aDpyGFZ+JJbuw08Oo8Sp1XbCk8DdoDdJcqcd9iwXOhzpqaPms5ydgbQqzzR8bXb4vncHN4/7l/pQ&#10;GXN9teweQUVa4t8y/OiLOhTiVPuZbVCDAXkk/k7p7m/XEmsBJ2kKusj1f/viGwAA//8DAFBLAwQU&#10;AAYACAAAACEAec3oDAwBAAA0AgAADgAAAGRycy9lMm9Eb2MueG1snJHBTsMwDIbvSLxD5DtL10OB&#10;aukuExInLvAAJnHWSG0SORmFt8dsExonpN3sWPry+fdm+zlP6oO4hBQNrFcNKIo2uRD3Bt5en+4e&#10;QJWK0eGUIhn4ogLb4fZms+Se2jSmyRErgcTSL9nAWGvutS52pBnLKmWKMvSJZ6zS8l47xkXo86Tb&#10;pun0kthlTpZKkdfdaQjDke892frifaGqJrFr148tqGqgax47UGzgvmvF+N1AA3rYYL9nzGOwZyG8&#10;wmfGEOX7X9QOK6oDhytQdkSuwrL9sTpL2atJZ4Cs/X/KyftgaZfsYaZYT1EzTVjlzmUMuUh8fXAG&#10;+Nmtf7LTfza+7KW+PPbwD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gXJXUf0AAABY&#10;AQAAIAAAAGRycy9jaGFydHMvX3JlbHMvY2hhcnQxLnhtbC5yZWxzhJCxSgQxEIZ7wXcIA4IWbvZO&#10;EDk2e40KC4qgd2BhE5PZ3Wg2WZIoey9iZWMhWNoJim/jiY/hNIIHgs0ww8///T9TTIfOslsM0Xgn&#10;YJTlwNApr41rBMxnh9t7wGKSTkvrHQpYYIRpub5WnKKViUyxNX1kRHFRQJtSP+E8qhY7GTPfoyOl&#10;9qGTic7Q8F6qa9kgH+f5Lg+/GVCuMFmlBYRKj4DNFj0l/8/2dW0U7nt106FLf0Rwb/Hk8gpVIqgM&#10;DSYBtbFIlXk1ufi8e16+vW6M8/OjM5rLl8eP9/uvhyfaN3e2ssHGH9ux19ToYEgYnLTAy4Kv/KP8&#10;BgAA//8DAFBLAwQUAAYACAAAACEAqtgoNo0DAAAhCAAAFQAAAGRycy9jaGFydHMvY2hhcnQxLnht&#10;bJxVWW/TQBB+R+I/GAse69hJ6WE1RhBAQqogosD7Ym8aSxuvtd6Ghifus1QIqhZV5SjiAXGVW6UF&#10;+mdsJ/wLZtfZHIKEw4o2u+Pvm5md/Tw7dWC+RrQ6ZpFPg6JuGaau4cClnh/MFvXTp46OTOhaxFHg&#10;IUIDXNQbONIPOLt3Tbm2W0WMz4TIxRo4CSLbLepVzkM7l4vcKq6hyKAhDuBdhbIa4rBkszmPoXPg&#10;vEZyedMcy0knetsB+g8HNeQHis/+hk8rFd/Fh6k7V8MBz7JgmCAOFYiqfhjpDmyOoGBWqyNS1M9X&#10;R0rH9ZwwymTFhPucYDmZFyPz3aozheyz1GuUGUCRTSI+wxsEy0UoLGGZiT8PV05KTK5jknZWZpoI&#10;qgJqiPBpucbByOkZkQCyudP6+DRd2klvP09ffU+XNpLrW8m1D803K83t++mjK1PglDtiBJ8iAIwq&#10;PZhwmS1BDTrHwZ+wqI2EhPKDDCOxnQ7AtUMfl8QxC3MdsUaJEsqirDBWVpQIQyzX9r35zGxmZso8&#10;zPos3vRZEgloVKXnypi5UP5+T2Cfxgh4036Ae6NAph22i2Q2EWcncUW4qzgzVYy5tWfvob0FGwbL&#10;EluT7wBVQiBGgQt5ic6pkJNZliHXIPGibuoCUXfizQutG6+Sq/B7l67dSW6tZ0UWDuuyYqGMrnhW&#10;m5cuX08WluNv91uX3sebi/HXJ8mLe8Op+TY1WdhuLq8kd142lx4DtfVmPbnxB2qhTW3dutS6/K25&#10;uBHvPBwebLTNaD77Hn9dBfiP1bXk3kLy9l28uZpRLWNy36Bt7le5Pl6Mv6yDk2Rha3jAMcW4tpY+&#10;WknffhwOH1c7+nQl3bqb3H6QLj6Nd9bTixvN1zeHUydUpKuf4+3l32Hh7Lo6yBZSOjBtiwk+dHH+&#10;wVztF02VhKZKvZoCVEdTWWcrUQ87pmGasoA9tj+qTuuCQYT72lsxjdFBJ6EEV4BofY91ZKQwiKSk&#10;ZhnjfRwTSPlBJCWygrG/n1QYQlJCGTUKk33P+BCS0opp5Mcm+mINTE7pZfRfygBX2YBy52XH6H7g&#10;oIzuKWcLpRgpFSGirO112tLvmxoAO4iKz+BSIHD5HFR3i+yVgOm2WbHobcV4Fgee0CaRszJtt0WW&#10;9a9OqwZehpCdDjyc8aMTAWn0NFiAdC4wPM8xCxA5jDjSGDTvos6OebKjK5i82Z2fAAAA//8DAFBL&#10;AQItABQABgAIAAAAIQCk8pWRHAEAAF4CAAATAAAAAAAAAAAAAAAAAAAAAABbQ29udGVudF9UeXBl&#10;c10ueG1sUEsBAi0AFAAGAAgAAAAhADj9If/WAAAAlAEAAAsAAAAAAAAAAAAAAAAATQEAAF9yZWxz&#10;Ly5yZWxzUEsBAi0AFAAGAAgAAAAhAK+uRT/ZAAAABQEAAA8AAAAAAAAAAAAAAAAATAIAAGRycy9k&#10;b3ducmV2LnhtbFBLAQItABQABgAIAAAAIQB5zegMDAEAADQCAAAOAAAAAAAAAAAAAAAAAFIDAABk&#10;cnMvZTJvRG9jLnhtbFBLAQItABQABgAIAAAAIQCrFs1GuQAAACIBAAAZAAAAAAAAAAAAAAAAAIoE&#10;AABkcnMvX3JlbHMvZTJvRG9jLnhtbC5yZWxzUEsBAi0AFAAGAAgAAAAhAIFyV1H9AAAAWAEAACAA&#10;AAAAAAAAAAAAAAAAegUAAGRycy9jaGFydHMvX3JlbHMvY2hhcnQxLnhtbC5yZWxzUEsBAi0AFAAG&#10;AAgAAAAhAKrYKDaNAwAAIQgAABUAAAAAAAAAAAAAAAAAtQYAAGRycy9jaGFydHMvY2hhcnQxLnht&#10;bFBLBQYAAAAABwAHAMsBAAB1CgAAAAA=&#10;">
            <v:path/>
            <v:fill on="f" focussize="0,0"/>
            <v:stroke on="f" joinstyle="miter"/>
            <v:imagedata r:id="rId10" o:title=""/>
            <o:lock v:ext="edit" aspectratio="f"/>
            <w10:wrap type="none"/>
            <w10:anchorlock/>
          </v:shape>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line="584" w:lineRule="exact"/>
        <w:ind w:firstLine="640" w:firstLineChars="200"/>
        <w:rPr>
          <w:rFonts w:ascii="仿宋" w:hAnsi="仿宋" w:eastAsia="仿宋" w:cs="DengXian-Regular"/>
          <w:sz w:val="32"/>
          <w:szCs w:val="32"/>
        </w:rPr>
      </w:pPr>
      <w:r>
        <w:rPr>
          <w:rFonts w:ascii="仿宋" w:hAnsi="仿宋" w:eastAsia="仿宋" w:cs="DengXian-Regular"/>
          <w:sz w:val="32"/>
          <w:szCs w:val="32"/>
        </w:rPr>
        <w:t xml:space="preserve">2018 </w:t>
      </w:r>
      <w:r>
        <w:rPr>
          <w:rFonts w:hint="eastAsia" w:ascii="仿宋" w:hAnsi="仿宋" w:eastAsia="仿宋" w:cs="DengXian-Regular"/>
          <w:sz w:val="32"/>
          <w:szCs w:val="32"/>
        </w:rPr>
        <w:t>年度一般公共预算财政拨款基本支出</w:t>
      </w:r>
      <w:r>
        <w:rPr>
          <w:rFonts w:ascii="仿宋" w:hAnsi="仿宋" w:eastAsia="仿宋" w:cs="DengXian-Regular"/>
          <w:sz w:val="32"/>
          <w:szCs w:val="32"/>
        </w:rPr>
        <w:t>1709.05</w:t>
      </w:r>
      <w:r>
        <w:rPr>
          <w:rFonts w:hint="eastAsia" w:ascii="仿宋" w:hAnsi="仿宋" w:eastAsia="仿宋" w:cs="DengXian-Regular"/>
          <w:sz w:val="32"/>
          <w:szCs w:val="32"/>
        </w:rPr>
        <w:t>万元，其中：人员经费</w:t>
      </w:r>
      <w:r>
        <w:rPr>
          <w:rFonts w:ascii="仿宋" w:hAnsi="仿宋" w:eastAsia="仿宋" w:cs="DengXian-Regular"/>
          <w:sz w:val="32"/>
          <w:szCs w:val="32"/>
        </w:rPr>
        <w:t>824.97</w:t>
      </w:r>
      <w:r>
        <w:rPr>
          <w:rFonts w:hint="eastAsia" w:ascii="仿宋" w:hAnsi="仿宋" w:eastAsia="仿宋"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 w:hAnsi="仿宋" w:eastAsia="仿宋" w:cs="DengXian-Regular"/>
          <w:sz w:val="32"/>
          <w:szCs w:val="32"/>
        </w:rPr>
        <w:t>19.84</w:t>
      </w:r>
      <w:r>
        <w:rPr>
          <w:rFonts w:hint="eastAsia" w:ascii="仿宋" w:hAnsi="仿宋" w:eastAsia="仿宋"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年度一般公共预算财政拨款</w:t>
      </w:r>
      <w:r>
        <w:rPr>
          <w:rFonts w:ascii="仿宋" w:hAnsi="仿宋" w:eastAsia="仿宋" w:cs="DengXian-Regular"/>
          <w:sz w:val="32"/>
          <w:szCs w:val="32"/>
        </w:rPr>
        <w:t>“</w:t>
      </w:r>
      <w:r>
        <w:rPr>
          <w:rFonts w:hint="eastAsia" w:ascii="仿宋" w:hAnsi="仿宋" w:eastAsia="仿宋" w:cs="DengXian-Regular"/>
          <w:sz w:val="32"/>
          <w:szCs w:val="32"/>
        </w:rPr>
        <w:t>三公</w:t>
      </w:r>
      <w:r>
        <w:rPr>
          <w:rFonts w:ascii="仿宋" w:hAnsi="仿宋" w:eastAsia="仿宋" w:cs="DengXian-Regular"/>
          <w:sz w:val="32"/>
          <w:szCs w:val="32"/>
        </w:rPr>
        <w:t>”</w:t>
      </w:r>
      <w:r>
        <w:rPr>
          <w:rFonts w:hint="eastAsia" w:ascii="仿宋" w:hAnsi="仿宋" w:eastAsia="仿宋" w:cs="DengXian-Regular"/>
          <w:sz w:val="32"/>
          <w:szCs w:val="32"/>
        </w:rPr>
        <w:t>经费支出共计</w:t>
      </w:r>
      <w:r>
        <w:rPr>
          <w:rFonts w:ascii="仿宋" w:hAnsi="仿宋" w:eastAsia="仿宋" w:cs="DengXian-Regular"/>
          <w:sz w:val="32"/>
          <w:szCs w:val="32"/>
        </w:rPr>
        <w:t>3.5</w:t>
      </w:r>
      <w:r>
        <w:rPr>
          <w:rFonts w:hint="eastAsia" w:ascii="仿宋" w:hAnsi="仿宋" w:eastAsia="仿宋" w:cs="DengXian-Regular"/>
          <w:sz w:val="32"/>
          <w:szCs w:val="32"/>
        </w:rPr>
        <w:t>万元，和年初预算相等；比</w:t>
      </w:r>
      <w:r>
        <w:rPr>
          <w:rFonts w:ascii="仿宋" w:hAnsi="仿宋" w:eastAsia="仿宋" w:cs="DengXian-Regular"/>
          <w:sz w:val="32"/>
          <w:szCs w:val="32"/>
        </w:rPr>
        <w:t>2017</w:t>
      </w:r>
      <w:r>
        <w:rPr>
          <w:rFonts w:hint="eastAsia" w:ascii="仿宋" w:hAnsi="仿宋" w:eastAsia="仿宋" w:cs="DengXian-Regular"/>
          <w:sz w:val="32"/>
          <w:szCs w:val="32"/>
        </w:rPr>
        <w:t>年度决算增加</w:t>
      </w:r>
      <w:r>
        <w:rPr>
          <w:rFonts w:ascii="仿宋" w:hAnsi="仿宋" w:eastAsia="仿宋" w:cs="DengXian-Regular"/>
          <w:sz w:val="32"/>
          <w:szCs w:val="32"/>
        </w:rPr>
        <w:t>0.4</w:t>
      </w:r>
      <w:r>
        <w:rPr>
          <w:rFonts w:hint="eastAsia" w:ascii="仿宋" w:hAnsi="仿宋" w:eastAsia="仿宋" w:cs="DengXian-Regular"/>
          <w:sz w:val="32"/>
          <w:szCs w:val="32"/>
        </w:rPr>
        <w:t>万元，增长</w:t>
      </w:r>
      <w:r>
        <w:rPr>
          <w:rFonts w:ascii="仿宋" w:hAnsi="仿宋" w:eastAsia="仿宋" w:cs="DengXian-Regular"/>
          <w:sz w:val="32"/>
          <w:szCs w:val="32"/>
        </w:rPr>
        <w:t>1.3%</w:t>
      </w:r>
      <w:r>
        <w:rPr>
          <w:rFonts w:hint="eastAsia" w:ascii="仿宋" w:hAnsi="仿宋" w:eastAsia="仿宋" w:cs="DengXian-Regular"/>
          <w:sz w:val="32"/>
          <w:szCs w:val="32"/>
        </w:rPr>
        <w:t>，主要是公务用车维护费增加。具体情况如下：</w:t>
      </w:r>
    </w:p>
    <w:p>
      <w:pPr>
        <w:adjustRightInd w:val="0"/>
        <w:snapToGrid w:val="0"/>
        <w:spacing w:line="584" w:lineRule="exact"/>
        <w:ind w:firstLine="643" w:firstLineChars="200"/>
        <w:rPr>
          <w:rFonts w:ascii="仿宋" w:hAnsi="仿宋" w:eastAsia="仿宋" w:cs="DengXian-Regular"/>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年度因公出国（境）团组</w:t>
      </w:r>
      <w:r>
        <w:rPr>
          <w:rFonts w:ascii="仿宋" w:hAnsi="仿宋" w:eastAsia="仿宋" w:cs="DengXian-Regular"/>
          <w:sz w:val="32"/>
          <w:szCs w:val="32"/>
        </w:rPr>
        <w:t>0</w:t>
      </w:r>
      <w:r>
        <w:rPr>
          <w:rFonts w:hint="eastAsia" w:ascii="仿宋" w:hAnsi="仿宋" w:eastAsia="仿宋" w:cs="DengXian-Regular"/>
          <w:sz w:val="32"/>
          <w:szCs w:val="32"/>
        </w:rPr>
        <w:t>个、共</w:t>
      </w:r>
      <w:r>
        <w:rPr>
          <w:rFonts w:ascii="仿宋" w:hAnsi="仿宋" w:eastAsia="仿宋" w:cs="DengXian-Regular"/>
          <w:sz w:val="32"/>
          <w:szCs w:val="32"/>
        </w:rPr>
        <w:t>0</w:t>
      </w:r>
      <w:r>
        <w:rPr>
          <w:rFonts w:hint="eastAsia" w:ascii="仿宋" w:hAnsi="仿宋" w:eastAsia="仿宋" w:cs="DengXian-Regular"/>
          <w:sz w:val="32"/>
          <w:szCs w:val="32"/>
        </w:rPr>
        <w:t>人</w:t>
      </w:r>
      <w:r>
        <w:rPr>
          <w:rFonts w:ascii="仿宋" w:hAnsi="仿宋" w:eastAsia="仿宋" w:cs="DengXian-Regular"/>
          <w:sz w:val="32"/>
          <w:szCs w:val="32"/>
        </w:rPr>
        <w:t>/</w:t>
      </w:r>
      <w:r>
        <w:rPr>
          <w:rFonts w:hint="eastAsia" w:ascii="仿宋" w:hAnsi="仿宋" w:eastAsia="仿宋" w:cs="DengXian-Regular"/>
          <w:sz w:val="32"/>
          <w:szCs w:val="32"/>
        </w:rPr>
        <w:t>参加其他单位组织的因公出国（境）团组</w:t>
      </w:r>
      <w:r>
        <w:rPr>
          <w:rFonts w:ascii="仿宋" w:hAnsi="仿宋" w:eastAsia="仿宋" w:cs="DengXian-Regular"/>
          <w:sz w:val="32"/>
          <w:szCs w:val="32"/>
        </w:rPr>
        <w:t>0</w:t>
      </w:r>
      <w:r>
        <w:rPr>
          <w:rFonts w:hint="eastAsia" w:ascii="仿宋" w:hAnsi="仿宋" w:eastAsia="仿宋" w:cs="DengXian-Regular"/>
          <w:sz w:val="32"/>
          <w:szCs w:val="32"/>
        </w:rPr>
        <w:t>个、共</w:t>
      </w:r>
      <w:r>
        <w:rPr>
          <w:rFonts w:ascii="仿宋" w:hAnsi="仿宋" w:eastAsia="仿宋" w:cs="DengXian-Regular"/>
          <w:sz w:val="32"/>
          <w:szCs w:val="32"/>
        </w:rPr>
        <w:t>0</w:t>
      </w:r>
      <w:r>
        <w:rPr>
          <w:rFonts w:hint="eastAsia" w:ascii="仿宋" w:hAnsi="仿宋" w:eastAsia="仿宋" w:cs="DengXian-Regular"/>
          <w:sz w:val="32"/>
          <w:szCs w:val="32"/>
        </w:rPr>
        <w:t>人</w:t>
      </w:r>
      <w:r>
        <w:rPr>
          <w:rFonts w:ascii="仿宋" w:hAnsi="仿宋" w:eastAsia="仿宋" w:cs="DengXian-Regular"/>
          <w:sz w:val="32"/>
          <w:szCs w:val="32"/>
        </w:rPr>
        <w:t>/</w:t>
      </w:r>
      <w:r>
        <w:rPr>
          <w:rFonts w:hint="eastAsia" w:ascii="仿宋" w:hAnsi="仿宋" w:eastAsia="仿宋" w:cs="DengXian-Regular"/>
          <w:sz w:val="32"/>
          <w:szCs w:val="32"/>
        </w:rPr>
        <w:t>无本单位组织的出国（境）团组。因公出国（境）费支出比年初预算增加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；比</w:t>
      </w:r>
      <w:r>
        <w:rPr>
          <w:rFonts w:ascii="仿宋" w:hAnsi="仿宋" w:eastAsia="仿宋" w:cs="DengXian-Regular"/>
          <w:sz w:val="32"/>
          <w:szCs w:val="32"/>
        </w:rPr>
        <w:t>2017</w:t>
      </w:r>
      <w:r>
        <w:rPr>
          <w:rFonts w:hint="eastAsia" w:ascii="仿宋" w:hAnsi="仿宋" w:eastAsia="仿宋" w:cs="DengXian-Regular"/>
          <w:sz w:val="32"/>
          <w:szCs w:val="32"/>
        </w:rPr>
        <w:t>年度决算增加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3</w:t>
      </w:r>
      <w:r>
        <w:rPr>
          <w:rFonts w:hint="eastAsia" w:eastAsia="楷体_GB2312"/>
          <w:b/>
          <w:bCs/>
          <w:sz w:val="32"/>
          <w:szCs w:val="32"/>
        </w:rPr>
        <w:t>万元。</w:t>
      </w: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年度公务用车购置及运行维护费比年初预算增加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，主要原因是厉行节约，反对浪费，严控经费支出；比</w:t>
      </w:r>
      <w:r>
        <w:rPr>
          <w:rFonts w:ascii="仿宋" w:hAnsi="仿宋" w:eastAsia="仿宋" w:cs="DengXian-Regular"/>
          <w:sz w:val="32"/>
          <w:szCs w:val="32"/>
        </w:rPr>
        <w:t>2017</w:t>
      </w:r>
      <w:r>
        <w:rPr>
          <w:rFonts w:hint="eastAsia" w:ascii="仿宋" w:hAnsi="仿宋" w:eastAsia="仿宋" w:cs="DengXian-Regular"/>
          <w:sz w:val="32"/>
          <w:szCs w:val="32"/>
        </w:rPr>
        <w:t>年度决算增加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，主要原因是厉行节约，反对浪费，严控经费支出。其中：</w:t>
      </w:r>
    </w:p>
    <w:p>
      <w:pPr>
        <w:adjustRightInd w:val="0"/>
        <w:snapToGrid w:val="0"/>
        <w:spacing w:line="584" w:lineRule="exact"/>
        <w:ind w:firstLine="643" w:firstLineChars="200"/>
        <w:rPr>
          <w:rFonts w:eastAsia="仿宋_GB2312"/>
          <w:sz w:val="32"/>
          <w:szCs w:val="32"/>
          <w:highlight w:val="yellow"/>
        </w:rPr>
      </w:pPr>
      <w:r>
        <w:rPr>
          <w:rFonts w:hint="eastAsia" w:ascii="仿宋" w:hAnsi="仿宋" w:eastAsia="仿宋"/>
          <w:b/>
          <w:sz w:val="32"/>
          <w:szCs w:val="32"/>
        </w:rPr>
        <w:t>公务用车购置费支出</w:t>
      </w:r>
      <w:r>
        <w:rPr>
          <w:rFonts w:ascii="仿宋" w:hAnsi="仿宋" w:eastAsia="仿宋"/>
          <w:b/>
          <w:sz w:val="32"/>
          <w:szCs w:val="32"/>
        </w:rPr>
        <w:t>0</w:t>
      </w:r>
      <w:r>
        <w:rPr>
          <w:rFonts w:hint="eastAsia" w:ascii="仿宋" w:hAnsi="仿宋" w:eastAsia="仿宋"/>
          <w:b/>
          <w:sz w:val="32"/>
          <w:szCs w:val="32"/>
        </w:rPr>
        <w:t>万元</w:t>
      </w:r>
      <w:r>
        <w:rPr>
          <w:rFonts w:hint="eastAsia" w:eastAsia="仿宋_GB2312"/>
          <w:b/>
          <w:sz w:val="32"/>
          <w:szCs w:val="32"/>
        </w:rPr>
        <w:t>。</w:t>
      </w: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年度公务用车购置数量</w:t>
      </w:r>
      <w:r>
        <w:rPr>
          <w:rFonts w:ascii="仿宋" w:hAnsi="仿宋" w:eastAsia="仿宋" w:cs="DengXian-Regular"/>
          <w:sz w:val="32"/>
          <w:szCs w:val="32"/>
        </w:rPr>
        <w:t>0</w:t>
      </w:r>
      <w:r>
        <w:rPr>
          <w:rFonts w:hint="eastAsia" w:ascii="仿宋" w:hAnsi="仿宋" w:eastAsia="仿宋" w:cs="DengXian-Regular"/>
          <w:sz w:val="32"/>
          <w:szCs w:val="32"/>
        </w:rPr>
        <w:t>辆。公务用车购置费支出比年初预算增加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，主要原因是厉行节约，反对浪费，严控经费支出；比</w:t>
      </w:r>
      <w:r>
        <w:rPr>
          <w:rFonts w:ascii="仿宋" w:hAnsi="仿宋" w:eastAsia="仿宋" w:cs="DengXian-Regular"/>
          <w:sz w:val="32"/>
          <w:szCs w:val="32"/>
        </w:rPr>
        <w:t>2017</w:t>
      </w:r>
      <w:r>
        <w:rPr>
          <w:rFonts w:hint="eastAsia" w:ascii="仿宋" w:hAnsi="仿宋" w:eastAsia="仿宋" w:cs="DengXian-Regular"/>
          <w:sz w:val="32"/>
          <w:szCs w:val="32"/>
        </w:rPr>
        <w:t>年度决算增加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，主要原因是厉行节约，反对浪费，严控经费支出。</w:t>
      </w:r>
    </w:p>
    <w:p>
      <w:pPr>
        <w:adjustRightInd w:val="0"/>
        <w:snapToGrid w:val="0"/>
        <w:spacing w:line="584" w:lineRule="exact"/>
        <w:ind w:firstLine="643" w:firstLineChars="200"/>
        <w:rPr>
          <w:rFonts w:ascii="仿宋" w:hAnsi="仿宋" w:eastAsia="仿宋" w:cs="DengXian-Regular"/>
          <w:sz w:val="32"/>
          <w:szCs w:val="32"/>
        </w:rPr>
      </w:pPr>
      <w:r>
        <w:rPr>
          <w:rFonts w:hint="eastAsia" w:ascii="仿宋" w:hAnsi="仿宋" w:eastAsia="仿宋"/>
          <w:b/>
          <w:sz w:val="32"/>
          <w:szCs w:val="32"/>
        </w:rPr>
        <w:t>公务用车运行维护费支出</w:t>
      </w:r>
      <w:r>
        <w:rPr>
          <w:rFonts w:ascii="仿宋" w:hAnsi="仿宋" w:eastAsia="仿宋"/>
          <w:b/>
          <w:sz w:val="32"/>
          <w:szCs w:val="32"/>
        </w:rPr>
        <w:t>3</w:t>
      </w:r>
      <w:r>
        <w:rPr>
          <w:rFonts w:hint="eastAsia" w:ascii="仿宋" w:hAnsi="仿宋" w:eastAsia="仿宋"/>
          <w:b/>
          <w:sz w:val="32"/>
          <w:szCs w:val="32"/>
        </w:rPr>
        <w:t>万元</w:t>
      </w:r>
      <w:r>
        <w:rPr>
          <w:rFonts w:hint="eastAsia" w:eastAsia="仿宋_GB2312"/>
          <w:b/>
          <w:sz w:val="32"/>
          <w:szCs w:val="32"/>
        </w:rPr>
        <w:t>。</w:t>
      </w: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年末单位公务用车保有量</w:t>
      </w:r>
      <w:r>
        <w:rPr>
          <w:rFonts w:ascii="仿宋" w:hAnsi="仿宋" w:eastAsia="仿宋" w:cs="DengXian-Regular"/>
          <w:sz w:val="32"/>
          <w:szCs w:val="32"/>
        </w:rPr>
        <w:t>2</w:t>
      </w:r>
      <w:r>
        <w:rPr>
          <w:rFonts w:hint="eastAsia" w:ascii="仿宋" w:hAnsi="仿宋" w:eastAsia="仿宋" w:cs="DengXian-Regular"/>
          <w:sz w:val="32"/>
          <w:szCs w:val="32"/>
        </w:rPr>
        <w:t>辆。公车运行维护费支出比年初预算增加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，主要原因是厉行节约，反对浪费，严控经费支出；比</w:t>
      </w:r>
      <w:r>
        <w:rPr>
          <w:rFonts w:ascii="仿宋" w:hAnsi="仿宋" w:eastAsia="仿宋" w:cs="DengXian-Regular"/>
          <w:sz w:val="32"/>
          <w:szCs w:val="32"/>
        </w:rPr>
        <w:t>2017</w:t>
      </w:r>
      <w:r>
        <w:rPr>
          <w:rFonts w:hint="eastAsia" w:ascii="仿宋" w:hAnsi="仿宋" w:eastAsia="仿宋" w:cs="DengXian-Regular"/>
          <w:sz w:val="32"/>
          <w:szCs w:val="32"/>
        </w:rPr>
        <w:t>年度决算增加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，主要原因是厉行节约，反对浪费，严控经费支出。</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（三）公务接待费支出0.5万元。</w:t>
      </w: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年度公务接待共</w:t>
      </w:r>
      <w:r>
        <w:rPr>
          <w:rFonts w:ascii="仿宋" w:hAnsi="仿宋" w:eastAsia="仿宋" w:cs="DengXian-Regular"/>
          <w:sz w:val="32"/>
          <w:szCs w:val="32"/>
        </w:rPr>
        <w:t>0</w:t>
      </w:r>
      <w:r>
        <w:rPr>
          <w:rFonts w:hint="eastAsia" w:ascii="仿宋" w:hAnsi="仿宋" w:eastAsia="仿宋" w:cs="DengXian-Regular"/>
          <w:sz w:val="32"/>
          <w:szCs w:val="32"/>
        </w:rPr>
        <w:t>批次、</w:t>
      </w:r>
      <w:r>
        <w:rPr>
          <w:rFonts w:ascii="仿宋" w:hAnsi="仿宋" w:eastAsia="仿宋" w:cs="DengXian-Regular"/>
          <w:sz w:val="32"/>
          <w:szCs w:val="32"/>
        </w:rPr>
        <w:t>0</w:t>
      </w:r>
      <w:r>
        <w:rPr>
          <w:rFonts w:hint="eastAsia" w:ascii="仿宋" w:hAnsi="仿宋" w:eastAsia="仿宋" w:cs="DengXian-Regular"/>
          <w:sz w:val="32"/>
          <w:szCs w:val="32"/>
        </w:rPr>
        <w:t>人次。公务接待费支出比年初预算增加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，主要原因是厉行节约，反对浪费，严控经费支出；比</w:t>
      </w:r>
      <w:r>
        <w:rPr>
          <w:rFonts w:ascii="仿宋" w:hAnsi="仿宋" w:eastAsia="仿宋" w:cs="DengXian-Regular"/>
          <w:sz w:val="32"/>
          <w:szCs w:val="32"/>
        </w:rPr>
        <w:t>2017</w:t>
      </w:r>
      <w:r>
        <w:rPr>
          <w:rFonts w:hint="eastAsia" w:ascii="仿宋" w:hAnsi="仿宋" w:eastAsia="仿宋" w:cs="DengXian-Regular"/>
          <w:sz w:val="32"/>
          <w:szCs w:val="32"/>
        </w:rPr>
        <w:t>年度决算增加</w:t>
      </w:r>
      <w:r>
        <w:rPr>
          <w:rFonts w:ascii="仿宋" w:hAnsi="仿宋" w:eastAsia="仿宋" w:cs="DengXian-Regular"/>
          <w:sz w:val="32"/>
          <w:szCs w:val="32"/>
        </w:rPr>
        <w:t>0</w:t>
      </w:r>
      <w:r>
        <w:rPr>
          <w:rFonts w:hint="eastAsia" w:ascii="仿宋" w:hAnsi="仿宋" w:eastAsia="仿宋" w:cs="DengXian-Regular"/>
          <w:sz w:val="32"/>
          <w:szCs w:val="32"/>
        </w:rPr>
        <w:t>万元，增长</w:t>
      </w:r>
      <w:r>
        <w:rPr>
          <w:rFonts w:ascii="仿宋" w:hAnsi="仿宋" w:eastAsia="仿宋" w:cs="DengXian-Regular"/>
          <w:sz w:val="32"/>
          <w:szCs w:val="32"/>
        </w:rPr>
        <w:t>0%</w:t>
      </w:r>
      <w:r>
        <w:rPr>
          <w:rFonts w:hint="eastAsia" w:ascii="仿宋" w:hAnsi="仿宋" w:eastAsia="仿宋" w:cs="DengXian-Regular"/>
          <w:sz w:val="32"/>
          <w:szCs w:val="32"/>
        </w:rPr>
        <w:t>，主要原因是厉行节约，反对浪费，严控经费支出</w:t>
      </w:r>
      <w:r>
        <w:rPr>
          <w:rFonts w:hint="eastAsia"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spacing w:line="584" w:lineRule="exact"/>
        <w:ind w:firstLine="640" w:firstLineChars="200"/>
        <w:rPr>
          <w:rFonts w:ascii="仿宋_GB2312" w:hAnsi="楷体" w:eastAsia="仿宋_GB2312"/>
          <w:bCs/>
          <w:sz w:val="32"/>
          <w:szCs w:val="32"/>
        </w:rPr>
      </w:pPr>
      <w:r>
        <w:rPr>
          <w:rFonts w:hint="eastAsia" w:ascii="仿宋_GB2312" w:eastAsia="仿宋_GB2312" w:cs="DengXian-Regular"/>
          <w:sz w:val="32"/>
          <w:szCs w:val="32"/>
        </w:rPr>
        <w:t>（一）预算绩效管理工作开展情况。</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为深入贯落实预算法，进一步建立科学规范的绩效预算运行监控体系，提高财政资金使用绩效，根据《河北省省级绩效预算运行监控管理办法</w:t>
      </w:r>
      <w:r>
        <w:rPr>
          <w:rFonts w:ascii="仿宋" w:hAnsi="仿宋" w:eastAsia="仿宋" w:cs="DengXian-Regular"/>
          <w:sz w:val="32"/>
          <w:szCs w:val="32"/>
        </w:rPr>
        <w:t>(</w:t>
      </w:r>
      <w:r>
        <w:rPr>
          <w:rFonts w:hint="eastAsia" w:ascii="仿宋" w:hAnsi="仿宋" w:eastAsia="仿宋" w:cs="DengXian-Regular"/>
          <w:sz w:val="32"/>
          <w:szCs w:val="32"/>
        </w:rPr>
        <w:t>试行</w:t>
      </w:r>
      <w:r>
        <w:rPr>
          <w:rFonts w:ascii="仿宋" w:hAnsi="仿宋" w:eastAsia="仿宋" w:cs="DengXian-Regular"/>
          <w:sz w:val="32"/>
          <w:szCs w:val="32"/>
        </w:rPr>
        <w:t>)</w:t>
      </w:r>
      <w:r>
        <w:rPr>
          <w:rFonts w:hint="eastAsia" w:ascii="仿宋" w:hAnsi="仿宋" w:eastAsia="仿宋" w:cs="DengXian-Regular"/>
          <w:sz w:val="32"/>
          <w:szCs w:val="32"/>
        </w:rPr>
        <w:t>》（冀财库【</w:t>
      </w:r>
      <w:r>
        <w:rPr>
          <w:rFonts w:ascii="仿宋" w:hAnsi="仿宋" w:eastAsia="仿宋" w:cs="DengXian-Regular"/>
          <w:sz w:val="32"/>
          <w:szCs w:val="32"/>
        </w:rPr>
        <w:t>2016</w:t>
      </w:r>
      <w:r>
        <w:rPr>
          <w:rFonts w:hint="eastAsia" w:ascii="仿宋" w:hAnsi="仿宋" w:eastAsia="仿宋" w:cs="DengXian-Regular"/>
          <w:sz w:val="32"/>
          <w:szCs w:val="32"/>
        </w:rPr>
        <w:t>】</w:t>
      </w:r>
      <w:r>
        <w:rPr>
          <w:rFonts w:ascii="仿宋" w:hAnsi="仿宋" w:eastAsia="仿宋" w:cs="DengXian-Regular"/>
          <w:sz w:val="32"/>
          <w:szCs w:val="32"/>
        </w:rPr>
        <w:t>47</w:t>
      </w:r>
      <w:r>
        <w:rPr>
          <w:rFonts w:hint="eastAsia" w:ascii="仿宋" w:hAnsi="仿宋" w:eastAsia="仿宋" w:cs="DengXian-Regular"/>
          <w:sz w:val="32"/>
          <w:szCs w:val="32"/>
        </w:rPr>
        <w:t>号）和有关规定，结合我乡单位实际制定了《臧屯乡绩效预算运行监控管理办法</w:t>
      </w:r>
      <w:r>
        <w:rPr>
          <w:rFonts w:ascii="仿宋" w:hAnsi="仿宋" w:eastAsia="仿宋" w:cs="DengXian-Regular"/>
          <w:sz w:val="32"/>
          <w:szCs w:val="32"/>
        </w:rPr>
        <w:t>(</w:t>
      </w:r>
      <w:r>
        <w:rPr>
          <w:rFonts w:hint="eastAsia" w:ascii="仿宋" w:hAnsi="仿宋" w:eastAsia="仿宋" w:cs="DengXian-Regular"/>
          <w:sz w:val="32"/>
          <w:szCs w:val="32"/>
        </w:rPr>
        <w:t>试行</w:t>
      </w:r>
      <w:r>
        <w:rPr>
          <w:rFonts w:ascii="仿宋" w:hAnsi="仿宋" w:eastAsia="仿宋" w:cs="DengXian-Regular"/>
          <w:sz w:val="32"/>
          <w:szCs w:val="32"/>
        </w:rPr>
        <w:t>)</w:t>
      </w:r>
      <w:r>
        <w:rPr>
          <w:rFonts w:hint="eastAsia" w:ascii="仿宋" w:hAnsi="仿宋" w:eastAsia="仿宋" w:cs="DengXian-Regular"/>
          <w:sz w:val="32"/>
          <w:szCs w:val="32"/>
        </w:rPr>
        <w:t>》。</w:t>
      </w:r>
    </w:p>
    <w:p>
      <w:pPr>
        <w:adjustRightInd w:val="0"/>
        <w:snapToGrid w:val="0"/>
        <w:spacing w:line="584" w:lineRule="exact"/>
        <w:ind w:firstLine="640" w:firstLineChars="200"/>
        <w:rPr>
          <w:rFonts w:ascii="仿宋" w:hAnsi="仿宋" w:eastAsia="仿宋" w:cs="DengXian-Regular"/>
          <w:sz w:val="32"/>
          <w:szCs w:val="32"/>
        </w:rPr>
      </w:pPr>
      <w:r>
        <w:rPr>
          <w:rFonts w:ascii="仿宋" w:hAnsi="仿宋" w:eastAsia="仿宋" w:cs="DengXian-Regular"/>
          <w:sz w:val="32"/>
          <w:szCs w:val="32"/>
        </w:rPr>
        <w:t>2018</w:t>
      </w:r>
      <w:r>
        <w:rPr>
          <w:rFonts w:hint="eastAsia" w:ascii="仿宋" w:hAnsi="仿宋" w:eastAsia="仿宋" w:cs="DengXian-Regular"/>
          <w:sz w:val="32"/>
          <w:szCs w:val="32"/>
        </w:rPr>
        <w:t>年，进一步建立科学规范的绩效预算运行监控体系，提高财政资金使用绩效，我单位按照预算绩效管理改革要求，以绩效为导向，严格执行绩效预算管理。按照省市县文件要求，我单位重新修订了部门职责、工作活动及绩效评价指标，对预算项目执行及工作活动进行了绩效评价，并将绩效评价结果应用到实际工作中，进一步提升了部门预算绩效管理工作水平。</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为深入推进全过程预算绩效管理，不断完善项目管理，进一步落实支出责任，加快预算执行进度，更好地实现绩效目标，我单位对《黄庄子村道路硬化工程项目》、《杨纪庄村道路硬化工程项目》等项目开展绩效监控工作。建立了“部门职责</w:t>
      </w:r>
      <w:r>
        <w:rPr>
          <w:rFonts w:ascii="仿宋" w:hAnsi="仿宋" w:eastAsia="仿宋" w:cs="DengXian-Regular"/>
          <w:sz w:val="32"/>
          <w:szCs w:val="32"/>
        </w:rPr>
        <w:t>-</w:t>
      </w:r>
      <w:r>
        <w:rPr>
          <w:rFonts w:hint="eastAsia" w:ascii="仿宋" w:hAnsi="仿宋" w:eastAsia="仿宋" w:cs="DengXian-Regular"/>
          <w:sz w:val="32"/>
          <w:szCs w:val="32"/>
        </w:rPr>
        <w:t>工作活动</w:t>
      </w:r>
      <w:r>
        <w:rPr>
          <w:rFonts w:ascii="仿宋" w:hAnsi="仿宋" w:eastAsia="仿宋" w:cs="DengXian-Regular"/>
          <w:sz w:val="32"/>
          <w:szCs w:val="32"/>
        </w:rPr>
        <w:t>-</w:t>
      </w:r>
      <w:r>
        <w:rPr>
          <w:rFonts w:hint="eastAsia" w:ascii="仿宋" w:hAnsi="仿宋" w:eastAsia="仿宋" w:cs="DengXian-Regular"/>
          <w:sz w:val="32"/>
          <w:szCs w:val="32"/>
        </w:rPr>
        <w:t>预算项目”三个层级的绩效预算管理结构和绩效目标指标管理体系，预算编制进一步科学、规范、高效。一方面通过对典型部门的典型项目实施全程监控，实现一个项目从“预算绩效指标建立</w:t>
      </w:r>
      <w:r>
        <w:rPr>
          <w:rFonts w:ascii="仿宋" w:hAnsi="仿宋" w:eastAsia="仿宋" w:cs="DengXian-Regular"/>
          <w:sz w:val="32"/>
          <w:szCs w:val="32"/>
        </w:rPr>
        <w:t>-</w:t>
      </w:r>
      <w:r>
        <w:rPr>
          <w:rFonts w:hint="eastAsia" w:ascii="仿宋" w:hAnsi="仿宋" w:eastAsia="仿宋" w:cs="DengXian-Regular"/>
          <w:sz w:val="32"/>
          <w:szCs w:val="32"/>
        </w:rPr>
        <w:t>项目实施</w:t>
      </w:r>
      <w:r>
        <w:rPr>
          <w:rFonts w:ascii="仿宋" w:hAnsi="仿宋" w:eastAsia="仿宋" w:cs="DengXian-Regular"/>
          <w:sz w:val="32"/>
          <w:szCs w:val="32"/>
        </w:rPr>
        <w:t>-</w:t>
      </w:r>
      <w:r>
        <w:rPr>
          <w:rFonts w:hint="eastAsia" w:ascii="仿宋" w:hAnsi="仿宋" w:eastAsia="仿宋" w:cs="DengXian-Regular"/>
          <w:sz w:val="32"/>
          <w:szCs w:val="32"/>
        </w:rPr>
        <w:t>绩效评价”贯彻始终的全过程绩效管理模式，及时发现问题，积累经验，为全面规范预算管理，提高财政资金使用绩效夯实基础。另一方面建立绩效考核机制和激励机制。对于在年度执行过程中绩效评价结果较好的部门，在下一年度预算安排项目时优先列入预算，对于绩效评价结果较差的项目扣减资金额度，或不再安排。预算安排一定额度的资金作为绩效预算管理改革先进单位奖励经费，鼓励先进，激励后进。</w:t>
      </w:r>
    </w:p>
    <w:p>
      <w:pPr>
        <w:adjustRightInd w:val="0"/>
        <w:snapToGrid w:val="0"/>
        <w:spacing w:after="0" w:line="580" w:lineRule="exact"/>
        <w:ind w:firstLine="640" w:firstLineChars="200"/>
        <w:rPr>
          <w:rFonts w:eastAsia="仿宋_GB2312"/>
          <w:sz w:val="32"/>
          <w:szCs w:val="32"/>
        </w:rPr>
      </w:pPr>
      <w:r>
        <w:rPr>
          <w:rFonts w:hint="eastAsia" w:ascii="仿宋_GB2312" w:eastAsia="仿宋_GB2312" w:cs="DengXian-Regular"/>
          <w:sz w:val="32"/>
          <w:szCs w:val="32"/>
        </w:rPr>
        <w:t>（三）重点项目绩效评价结果。</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臧屯村综合文体广场建设”项目，提升了臧屯村村民文化生活水平，为村民提供了娱乐休闲场所，丰富了村民业余时间的文化娱乐生活。截止到2018年12月31日，该项目已完成并取得良好的好评。此项目评为优秀。</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w:t>
      </w:r>
      <w:r>
        <w:rPr>
          <w:rFonts w:hint="eastAsia" w:ascii="楷体_GB2312" w:eastAsia="楷体_GB2312" w:cs="DengXian-Bold"/>
          <w:b w:val="0"/>
        </w:rPr>
        <w:t>机关运行经费情况</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年度机关运行经费支出</w:t>
      </w:r>
      <w:r>
        <w:rPr>
          <w:rFonts w:ascii="仿宋" w:hAnsi="仿宋" w:eastAsia="仿宋" w:cs="DengXian-Regular"/>
          <w:sz w:val="32"/>
          <w:szCs w:val="32"/>
        </w:rPr>
        <w:t>19.84</w:t>
      </w:r>
      <w:r>
        <w:rPr>
          <w:rFonts w:hint="eastAsia" w:ascii="仿宋" w:hAnsi="仿宋" w:eastAsia="仿宋" w:cs="DengXian-Regular"/>
          <w:sz w:val="32"/>
          <w:szCs w:val="32"/>
        </w:rPr>
        <w:t>万元，比年初预算数减少</w:t>
      </w:r>
      <w:r>
        <w:rPr>
          <w:rFonts w:ascii="仿宋" w:hAnsi="仿宋" w:eastAsia="仿宋" w:cs="DengXian-Regular"/>
          <w:sz w:val="32"/>
          <w:szCs w:val="32"/>
        </w:rPr>
        <w:t>8.8</w:t>
      </w:r>
      <w:r>
        <w:rPr>
          <w:rFonts w:hint="eastAsia" w:ascii="仿宋" w:hAnsi="仿宋" w:eastAsia="仿宋" w:cs="DengXian-Regular"/>
          <w:sz w:val="32"/>
          <w:szCs w:val="32"/>
        </w:rPr>
        <w:t>万元，降低</w:t>
      </w:r>
      <w:r>
        <w:rPr>
          <w:rFonts w:ascii="仿宋" w:hAnsi="仿宋" w:eastAsia="仿宋" w:cs="DengXian-Regular"/>
          <w:sz w:val="32"/>
          <w:szCs w:val="32"/>
        </w:rPr>
        <w:t>32.78 %</w:t>
      </w:r>
      <w:r>
        <w:rPr>
          <w:rFonts w:hint="eastAsia" w:ascii="仿宋" w:hAnsi="仿宋" w:eastAsia="仿宋" w:cs="DengXian-Regular"/>
          <w:sz w:val="32"/>
          <w:szCs w:val="32"/>
        </w:rPr>
        <w:t>。主要原因是厉行节约，反对浪费，严控经费支出。较</w:t>
      </w:r>
      <w:r>
        <w:rPr>
          <w:rFonts w:ascii="仿宋" w:hAnsi="仿宋" w:eastAsia="仿宋" w:cs="DengXian-Regular"/>
          <w:sz w:val="32"/>
          <w:szCs w:val="32"/>
        </w:rPr>
        <w:t>2017</w:t>
      </w:r>
      <w:r>
        <w:rPr>
          <w:rFonts w:hint="eastAsia" w:ascii="仿宋" w:hAnsi="仿宋" w:eastAsia="仿宋" w:cs="DengXian-Regular"/>
          <w:sz w:val="32"/>
          <w:szCs w:val="32"/>
        </w:rPr>
        <w:t>年度决算减少</w:t>
      </w:r>
      <w:r>
        <w:rPr>
          <w:rFonts w:ascii="仿宋" w:hAnsi="仿宋" w:eastAsia="仿宋" w:cs="DengXian-Regular"/>
          <w:sz w:val="32"/>
          <w:szCs w:val="32"/>
        </w:rPr>
        <w:t>62.66</w:t>
      </w:r>
      <w:r>
        <w:rPr>
          <w:rFonts w:hint="eastAsia" w:ascii="仿宋" w:hAnsi="仿宋" w:eastAsia="仿宋" w:cs="DengXian-Regular"/>
          <w:sz w:val="32"/>
          <w:szCs w:val="32"/>
        </w:rPr>
        <w:t>万元，降低</w:t>
      </w:r>
      <w:r>
        <w:rPr>
          <w:rFonts w:ascii="仿宋" w:hAnsi="仿宋" w:eastAsia="仿宋" w:cs="DengXian-Regular"/>
          <w:sz w:val="32"/>
          <w:szCs w:val="32"/>
        </w:rPr>
        <w:t>76%</w:t>
      </w:r>
      <w:r>
        <w:rPr>
          <w:rFonts w:hint="eastAsia" w:ascii="仿宋" w:hAnsi="仿宋" w:eastAsia="仿宋" w:cs="DengXian-Regular"/>
          <w:sz w:val="32"/>
          <w:szCs w:val="32"/>
        </w:rPr>
        <w:t>，主要原因是厉行节约，反对浪费，严控经费支出。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w:t>
      </w:r>
      <w:r>
        <w:rPr>
          <w:rFonts w:hint="eastAsia" w:ascii="楷体_GB2312" w:eastAsia="楷体_GB2312" w:cs="DengXian-Bold"/>
          <w:b w:val="0"/>
        </w:rPr>
        <w:t>政府采购情况</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年度政府采购支出总额</w:t>
      </w:r>
      <w:r>
        <w:rPr>
          <w:rFonts w:ascii="仿宋" w:hAnsi="仿宋" w:eastAsia="仿宋" w:cs="DengXian-Regular"/>
          <w:sz w:val="32"/>
          <w:szCs w:val="32"/>
        </w:rPr>
        <w:t>0</w:t>
      </w:r>
      <w:r>
        <w:rPr>
          <w:rFonts w:hint="eastAsia" w:ascii="仿宋" w:hAnsi="仿宋" w:eastAsia="仿宋" w:cs="DengXian-Regular"/>
          <w:sz w:val="32"/>
          <w:szCs w:val="32"/>
        </w:rPr>
        <w:t>万元，从采购类型来看，政府采购货物支出</w:t>
      </w:r>
      <w:r>
        <w:rPr>
          <w:rFonts w:ascii="仿宋" w:hAnsi="仿宋" w:eastAsia="仿宋" w:cs="DengXian-Regular"/>
          <w:sz w:val="32"/>
          <w:szCs w:val="32"/>
        </w:rPr>
        <w:t xml:space="preserve">0 </w:t>
      </w:r>
      <w:r>
        <w:rPr>
          <w:rFonts w:hint="eastAsia" w:ascii="仿宋" w:hAnsi="仿宋" w:eastAsia="仿宋" w:cs="DengXian-Regular"/>
          <w:sz w:val="32"/>
          <w:szCs w:val="32"/>
        </w:rPr>
        <w:t>万元、政府采购工程支出</w:t>
      </w:r>
      <w:r>
        <w:rPr>
          <w:rFonts w:ascii="仿宋" w:hAnsi="仿宋" w:eastAsia="仿宋" w:cs="DengXian-Regular"/>
          <w:sz w:val="32"/>
          <w:szCs w:val="32"/>
        </w:rPr>
        <w:t>0</w:t>
      </w:r>
      <w:r>
        <w:rPr>
          <w:rFonts w:hint="eastAsia" w:ascii="仿宋" w:hAnsi="仿宋" w:eastAsia="仿宋" w:cs="DengXian-Regular"/>
          <w:sz w:val="32"/>
          <w:szCs w:val="32"/>
        </w:rPr>
        <w:t>万元、政府采购服务支出</w:t>
      </w:r>
      <w:r>
        <w:rPr>
          <w:rFonts w:ascii="仿宋" w:hAnsi="仿宋" w:eastAsia="仿宋" w:cs="DengXian-Regular"/>
          <w:sz w:val="32"/>
          <w:szCs w:val="32"/>
        </w:rPr>
        <w:t>0</w:t>
      </w:r>
      <w:r>
        <w:rPr>
          <w:rFonts w:hint="eastAsia" w:ascii="仿宋" w:hAnsi="仿宋" w:eastAsia="仿宋" w:cs="DengXian-Regular"/>
          <w:sz w:val="32"/>
          <w:szCs w:val="32"/>
        </w:rPr>
        <w:t>万元。授予中小企业合同金</w:t>
      </w:r>
      <w:r>
        <w:rPr>
          <w:rFonts w:ascii="仿宋" w:hAnsi="仿宋" w:eastAsia="仿宋" w:cs="DengXian-Regular"/>
          <w:sz w:val="32"/>
          <w:szCs w:val="32"/>
        </w:rPr>
        <w:t>0</w:t>
      </w:r>
      <w:r>
        <w:rPr>
          <w:rFonts w:hint="eastAsia" w:ascii="仿宋" w:hAnsi="仿宋" w:eastAsia="仿宋" w:cs="DengXian-Regular"/>
          <w:sz w:val="32"/>
          <w:szCs w:val="32"/>
        </w:rPr>
        <w:t>万元，占政府采购支出总额的</w:t>
      </w:r>
      <w:r>
        <w:rPr>
          <w:rFonts w:ascii="仿宋" w:hAnsi="仿宋" w:eastAsia="仿宋" w:cs="DengXian-Regular"/>
          <w:sz w:val="32"/>
          <w:szCs w:val="32"/>
        </w:rPr>
        <w:t>0%</w:t>
      </w:r>
      <w:r>
        <w:rPr>
          <w:rFonts w:hint="eastAsia" w:ascii="仿宋" w:hAnsi="仿宋" w:eastAsia="仿宋" w:cs="DengXian-Regular"/>
          <w:sz w:val="32"/>
          <w:szCs w:val="32"/>
        </w:rPr>
        <w:t>，其中授予小微企业合同金额</w:t>
      </w:r>
      <w:r>
        <w:rPr>
          <w:rFonts w:ascii="仿宋" w:hAnsi="仿宋" w:eastAsia="仿宋" w:cs="DengXian-Regular"/>
          <w:sz w:val="32"/>
          <w:szCs w:val="32"/>
        </w:rPr>
        <w:t>0</w:t>
      </w:r>
      <w:r>
        <w:rPr>
          <w:rFonts w:hint="eastAsia" w:ascii="仿宋" w:hAnsi="仿宋" w:eastAsia="仿宋" w:cs="DengXian-Regular"/>
          <w:sz w:val="32"/>
          <w:szCs w:val="32"/>
        </w:rPr>
        <w:t>万元，占政府采购支出总额的</w:t>
      </w:r>
      <w:r>
        <w:rPr>
          <w:rFonts w:ascii="仿宋" w:hAnsi="仿宋" w:eastAsia="仿宋" w:cs="DengXian-Regular"/>
          <w:sz w:val="32"/>
          <w:szCs w:val="32"/>
        </w:rPr>
        <w:t>0%</w:t>
      </w:r>
      <w:r>
        <w:rPr>
          <w:rFonts w:hint="eastAsia" w:ascii="仿宋" w:hAnsi="仿宋" w:eastAsia="仿宋"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w:t>
      </w:r>
      <w:r>
        <w:rPr>
          <w:rFonts w:hint="eastAsia" w:ascii="楷体_GB2312" w:eastAsia="楷体_GB2312" w:cs="DengXian-Bold"/>
          <w:b w:val="0"/>
        </w:rPr>
        <w:t>国有资产占用情况</w:t>
      </w:r>
    </w:p>
    <w:p>
      <w:pPr>
        <w:adjustRightInd w:val="0"/>
        <w:snapToGrid w:val="0"/>
        <w:spacing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截至</w:t>
      </w:r>
      <w:r>
        <w:rPr>
          <w:rFonts w:ascii="仿宋" w:hAnsi="仿宋" w:eastAsia="仿宋" w:cs="DengXian-Regular"/>
          <w:sz w:val="32"/>
          <w:szCs w:val="32"/>
        </w:rPr>
        <w:t>2018</w:t>
      </w:r>
      <w:r>
        <w:rPr>
          <w:rFonts w:hint="eastAsia" w:ascii="仿宋" w:hAnsi="仿宋" w:eastAsia="仿宋" w:cs="DengXian-Regular"/>
          <w:sz w:val="32"/>
          <w:szCs w:val="32"/>
        </w:rPr>
        <w:t>年</w:t>
      </w:r>
      <w:r>
        <w:rPr>
          <w:rFonts w:ascii="仿宋" w:hAnsi="仿宋" w:eastAsia="仿宋" w:cs="DengXian-Regular"/>
          <w:sz w:val="32"/>
          <w:szCs w:val="32"/>
        </w:rPr>
        <w:t>12</w:t>
      </w:r>
      <w:r>
        <w:rPr>
          <w:rFonts w:hint="eastAsia" w:ascii="仿宋" w:hAnsi="仿宋" w:eastAsia="仿宋" w:cs="DengXian-Regular"/>
          <w:sz w:val="32"/>
          <w:szCs w:val="32"/>
        </w:rPr>
        <w:t>月</w:t>
      </w:r>
      <w:r>
        <w:rPr>
          <w:rFonts w:ascii="仿宋" w:hAnsi="仿宋" w:eastAsia="仿宋" w:cs="DengXian-Regular"/>
          <w:sz w:val="32"/>
          <w:szCs w:val="32"/>
        </w:rPr>
        <w:t>31</w:t>
      </w:r>
      <w:r>
        <w:rPr>
          <w:rFonts w:hint="eastAsia" w:ascii="仿宋" w:hAnsi="仿宋" w:eastAsia="仿宋" w:cs="DengXian-Regular"/>
          <w:sz w:val="32"/>
          <w:szCs w:val="32"/>
        </w:rPr>
        <w:t>日，本部门共有车辆</w:t>
      </w:r>
      <w:r>
        <w:rPr>
          <w:rFonts w:ascii="仿宋" w:hAnsi="仿宋" w:eastAsia="仿宋" w:cs="DengXian-Regular"/>
          <w:sz w:val="32"/>
          <w:szCs w:val="32"/>
        </w:rPr>
        <w:t>2</w:t>
      </w:r>
      <w:r>
        <w:rPr>
          <w:rFonts w:hint="eastAsia" w:ascii="仿宋" w:hAnsi="仿宋" w:eastAsia="仿宋" w:cs="DengXian-Regular"/>
          <w:sz w:val="32"/>
          <w:szCs w:val="32"/>
        </w:rPr>
        <w:t>辆，比上年增加</w:t>
      </w:r>
      <w:r>
        <w:rPr>
          <w:rFonts w:ascii="仿宋" w:hAnsi="仿宋" w:eastAsia="仿宋" w:cs="DengXian-Regular"/>
          <w:sz w:val="32"/>
          <w:szCs w:val="32"/>
        </w:rPr>
        <w:t>0</w:t>
      </w:r>
      <w:r>
        <w:rPr>
          <w:rFonts w:hint="eastAsia" w:ascii="仿宋" w:hAnsi="仿宋" w:eastAsia="仿宋" w:cs="DengXian-Regular"/>
          <w:sz w:val="32"/>
          <w:szCs w:val="32"/>
        </w:rPr>
        <w:t>辆，主要是与上年无增减变化。其中，副部（省）级及以上领导用车</w:t>
      </w:r>
      <w:r>
        <w:rPr>
          <w:rFonts w:ascii="仿宋" w:hAnsi="仿宋" w:eastAsia="仿宋" w:cs="DengXian-Regular"/>
          <w:sz w:val="32"/>
          <w:szCs w:val="32"/>
        </w:rPr>
        <w:t>0</w:t>
      </w:r>
      <w:r>
        <w:rPr>
          <w:rFonts w:hint="eastAsia" w:ascii="仿宋" w:hAnsi="仿宋" w:eastAsia="仿宋" w:cs="DengXian-Regular"/>
          <w:sz w:val="32"/>
          <w:szCs w:val="32"/>
        </w:rPr>
        <w:t>辆，主要领导干部用车</w:t>
      </w:r>
      <w:r>
        <w:rPr>
          <w:rFonts w:ascii="仿宋" w:hAnsi="仿宋" w:eastAsia="仿宋" w:cs="DengXian-Regular"/>
          <w:sz w:val="32"/>
          <w:szCs w:val="32"/>
        </w:rPr>
        <w:t>0</w:t>
      </w:r>
      <w:r>
        <w:rPr>
          <w:rFonts w:hint="eastAsia" w:ascii="仿宋" w:hAnsi="仿宋" w:eastAsia="仿宋" w:cs="DengXian-Regular"/>
          <w:sz w:val="32"/>
          <w:szCs w:val="32"/>
        </w:rPr>
        <w:t>辆，机要通信用车</w:t>
      </w:r>
      <w:r>
        <w:rPr>
          <w:rFonts w:ascii="仿宋" w:hAnsi="仿宋" w:eastAsia="仿宋" w:cs="DengXian-Regular"/>
          <w:sz w:val="32"/>
          <w:szCs w:val="32"/>
        </w:rPr>
        <w:t>2</w:t>
      </w:r>
      <w:r>
        <w:rPr>
          <w:rFonts w:hint="eastAsia" w:ascii="仿宋" w:hAnsi="仿宋" w:eastAsia="仿宋" w:cs="DengXian-Regular"/>
          <w:sz w:val="32"/>
          <w:szCs w:val="32"/>
        </w:rPr>
        <w:t>辆，应急保障用车</w:t>
      </w:r>
      <w:r>
        <w:rPr>
          <w:rFonts w:ascii="仿宋" w:hAnsi="仿宋" w:eastAsia="仿宋" w:cs="DengXian-Regular"/>
          <w:sz w:val="32"/>
          <w:szCs w:val="32"/>
        </w:rPr>
        <w:t>0</w:t>
      </w:r>
      <w:r>
        <w:rPr>
          <w:rFonts w:hint="eastAsia" w:ascii="仿宋" w:hAnsi="仿宋" w:eastAsia="仿宋" w:cs="DengXian-Regular"/>
          <w:sz w:val="32"/>
          <w:szCs w:val="32"/>
        </w:rPr>
        <w:t>辆，执法执勤用车</w:t>
      </w:r>
      <w:r>
        <w:rPr>
          <w:rFonts w:ascii="仿宋" w:hAnsi="仿宋" w:eastAsia="仿宋" w:cs="DengXian-Regular"/>
          <w:sz w:val="32"/>
          <w:szCs w:val="32"/>
        </w:rPr>
        <w:t>0</w:t>
      </w:r>
      <w:r>
        <w:rPr>
          <w:rFonts w:hint="eastAsia" w:ascii="仿宋" w:hAnsi="仿宋" w:eastAsia="仿宋" w:cs="DengXian-Regular"/>
          <w:sz w:val="32"/>
          <w:szCs w:val="32"/>
        </w:rPr>
        <w:t>辆，特种专业技术用车</w:t>
      </w:r>
      <w:r>
        <w:rPr>
          <w:rFonts w:ascii="仿宋" w:hAnsi="仿宋" w:eastAsia="仿宋" w:cs="DengXian-Regular"/>
          <w:sz w:val="32"/>
          <w:szCs w:val="32"/>
        </w:rPr>
        <w:t>0</w:t>
      </w:r>
      <w:r>
        <w:rPr>
          <w:rFonts w:hint="eastAsia" w:ascii="仿宋" w:hAnsi="仿宋" w:eastAsia="仿宋" w:cs="DengXian-Regular"/>
          <w:sz w:val="32"/>
          <w:szCs w:val="32"/>
        </w:rPr>
        <w:t>辆，离退休干部用车</w:t>
      </w:r>
      <w:r>
        <w:rPr>
          <w:rFonts w:ascii="仿宋" w:hAnsi="仿宋" w:eastAsia="仿宋" w:cs="DengXian-Regular"/>
          <w:sz w:val="32"/>
          <w:szCs w:val="32"/>
        </w:rPr>
        <w:t>0</w:t>
      </w:r>
      <w:r>
        <w:rPr>
          <w:rFonts w:hint="eastAsia" w:ascii="仿宋" w:hAnsi="仿宋" w:eastAsia="仿宋" w:cs="DengXian-Regular"/>
          <w:sz w:val="32"/>
          <w:szCs w:val="32"/>
        </w:rPr>
        <w:t>辆，其他用车</w:t>
      </w:r>
      <w:r>
        <w:rPr>
          <w:rFonts w:ascii="仿宋" w:hAnsi="仿宋" w:eastAsia="仿宋" w:cs="DengXian-Regular"/>
          <w:sz w:val="32"/>
          <w:szCs w:val="32"/>
        </w:rPr>
        <w:t>0</w:t>
      </w:r>
      <w:r>
        <w:rPr>
          <w:rFonts w:hint="eastAsia" w:ascii="仿宋" w:hAnsi="仿宋" w:eastAsia="仿宋" w:cs="DengXian-Regular"/>
          <w:sz w:val="32"/>
          <w:szCs w:val="32"/>
        </w:rPr>
        <w:t>辆，其他用车主要是与上年无增减变化；单位价值</w:t>
      </w:r>
      <w:r>
        <w:rPr>
          <w:rFonts w:ascii="仿宋" w:hAnsi="仿宋" w:eastAsia="仿宋" w:cs="DengXian-Regular"/>
          <w:sz w:val="32"/>
          <w:szCs w:val="32"/>
        </w:rPr>
        <w:t>50</w:t>
      </w:r>
      <w:r>
        <w:rPr>
          <w:rFonts w:hint="eastAsia" w:ascii="仿宋" w:hAnsi="仿宋" w:eastAsia="仿宋" w:cs="DengXian-Regular"/>
          <w:sz w:val="32"/>
          <w:szCs w:val="32"/>
        </w:rPr>
        <w:t>万元以上通用设备</w:t>
      </w:r>
      <w:r>
        <w:rPr>
          <w:rFonts w:ascii="仿宋" w:hAnsi="仿宋" w:eastAsia="仿宋" w:cs="DengXian-Regular"/>
          <w:sz w:val="32"/>
          <w:szCs w:val="32"/>
        </w:rPr>
        <w:t>0</w:t>
      </w:r>
      <w:r>
        <w:rPr>
          <w:rFonts w:hint="eastAsia" w:ascii="仿宋" w:hAnsi="仿宋" w:eastAsia="仿宋" w:cs="DengXian-Regular"/>
          <w:sz w:val="32"/>
          <w:szCs w:val="32"/>
        </w:rPr>
        <w:t>台（套），比上年增加</w:t>
      </w:r>
      <w:r>
        <w:rPr>
          <w:rFonts w:ascii="仿宋" w:hAnsi="仿宋" w:eastAsia="仿宋" w:cs="DengXian-Regular"/>
          <w:sz w:val="32"/>
          <w:szCs w:val="32"/>
        </w:rPr>
        <w:t>0</w:t>
      </w:r>
      <w:r>
        <w:rPr>
          <w:rFonts w:hint="eastAsia" w:ascii="仿宋" w:hAnsi="仿宋" w:eastAsia="仿宋" w:cs="DengXian-Regular"/>
          <w:sz w:val="32"/>
          <w:szCs w:val="32"/>
        </w:rPr>
        <w:t>套，主要是与上年无增减变化</w:t>
      </w:r>
      <w:bookmarkStart w:id="0" w:name="_GoBack"/>
      <w:bookmarkEnd w:id="0"/>
      <w:r>
        <w:rPr>
          <w:rFonts w:hint="eastAsia" w:ascii="仿宋" w:hAnsi="仿宋" w:eastAsia="仿宋" w:cs="DengXian-Regular"/>
          <w:sz w:val="32"/>
          <w:szCs w:val="32"/>
        </w:rPr>
        <w:t>，单位价值</w:t>
      </w:r>
      <w:r>
        <w:rPr>
          <w:rFonts w:ascii="仿宋" w:hAnsi="仿宋" w:eastAsia="仿宋" w:cs="DengXian-Regular"/>
          <w:sz w:val="32"/>
          <w:szCs w:val="32"/>
        </w:rPr>
        <w:t>100</w:t>
      </w:r>
      <w:r>
        <w:rPr>
          <w:rFonts w:hint="eastAsia" w:ascii="仿宋" w:hAnsi="仿宋" w:eastAsia="仿宋" w:cs="DengXian-Regular"/>
          <w:sz w:val="32"/>
          <w:szCs w:val="32"/>
        </w:rPr>
        <w:t>万元以上专用设备</w:t>
      </w:r>
      <w:r>
        <w:rPr>
          <w:rFonts w:ascii="仿宋" w:hAnsi="仿宋" w:eastAsia="仿宋" w:cs="DengXian-Regular"/>
          <w:sz w:val="32"/>
          <w:szCs w:val="32"/>
        </w:rPr>
        <w:t>0</w:t>
      </w:r>
      <w:r>
        <w:rPr>
          <w:rFonts w:hint="eastAsia" w:ascii="仿宋" w:hAnsi="仿宋" w:eastAsia="仿宋" w:cs="DengXian-Regular"/>
          <w:sz w:val="32"/>
          <w:szCs w:val="32"/>
        </w:rPr>
        <w:t>台（套）比上年增加</w:t>
      </w:r>
      <w:r>
        <w:rPr>
          <w:rFonts w:ascii="仿宋" w:hAnsi="仿宋" w:eastAsia="仿宋" w:cs="DengXian-Regular"/>
          <w:sz w:val="32"/>
          <w:szCs w:val="32"/>
        </w:rPr>
        <w:t>0</w:t>
      </w:r>
      <w:r>
        <w:rPr>
          <w:rFonts w:hint="eastAsia" w:ascii="仿宋" w:hAnsi="仿宋" w:eastAsia="仿宋" w:cs="DengXian-Regular"/>
          <w:sz w:val="32"/>
          <w:szCs w:val="32"/>
        </w:rPr>
        <w:t>套</w:t>
      </w:r>
      <w:r>
        <w:rPr>
          <w:rFonts w:ascii="仿宋" w:hAnsi="仿宋" w:eastAsia="仿宋" w:cs="DengXian-Regular"/>
          <w:sz w:val="32"/>
          <w:szCs w:val="32"/>
        </w:rPr>
        <w:t xml:space="preserve">, </w:t>
      </w:r>
      <w:r>
        <w:rPr>
          <w:rFonts w:hint="eastAsia" w:ascii="仿宋" w:hAnsi="仿宋" w:eastAsia="仿宋" w:cs="DengXian-Regular"/>
          <w:sz w:val="32"/>
          <w:szCs w:val="32"/>
        </w:rPr>
        <w:t>主要是与上年无增减变化。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4" w:lineRule="exact"/>
        <w:ind w:firstLine="640" w:firstLineChars="200"/>
        <w:rPr>
          <w:rFonts w:ascii="仿宋" w:hAnsi="仿宋" w:eastAsia="仿宋" w:cs="DengXian-Regular"/>
          <w:sz w:val="32"/>
          <w:szCs w:val="32"/>
        </w:rPr>
      </w:pPr>
      <w:r>
        <w:rPr>
          <w:rFonts w:ascii="仿宋" w:hAnsi="仿宋" w:eastAsia="仿宋" w:cs="DengXian-Regular"/>
          <w:sz w:val="32"/>
          <w:szCs w:val="32"/>
        </w:rPr>
        <w:t>1</w:t>
      </w:r>
      <w:r>
        <w:rPr>
          <w:rFonts w:hint="eastAsia" w:ascii="仿宋" w:hAnsi="仿宋" w:eastAsia="仿宋" w:cs="DengXian-Regular"/>
          <w:sz w:val="32"/>
          <w:szCs w:val="32"/>
        </w:rPr>
        <w:t>、本部门</w:t>
      </w:r>
      <w:r>
        <w:rPr>
          <w:rFonts w:ascii="仿宋" w:hAnsi="仿宋" w:eastAsia="仿宋" w:cs="DengXian-Regular"/>
          <w:sz w:val="32"/>
          <w:szCs w:val="32"/>
        </w:rPr>
        <w:t>2018</w:t>
      </w:r>
      <w:r>
        <w:rPr>
          <w:rFonts w:hint="eastAsia" w:ascii="仿宋" w:hAnsi="仿宋" w:eastAsia="仿宋" w:cs="DengXian-Regular"/>
          <w:sz w:val="32"/>
          <w:szCs w:val="32"/>
        </w:rPr>
        <w:t>年度国有资本经营预算财政拨款无收支及结转结余情况，故国有资本经营预算财政拨款支出决算表以空表列示。</w:t>
      </w:r>
    </w:p>
    <w:p>
      <w:pPr>
        <w:adjustRightInd w:val="0"/>
        <w:snapToGrid w:val="0"/>
        <w:spacing w:line="584" w:lineRule="exact"/>
        <w:ind w:firstLine="640" w:firstLineChars="200"/>
        <w:rPr>
          <w:rFonts w:ascii="仿宋" w:hAnsi="仿宋" w:eastAsia="仿宋" w:cs="DengXian-Regular"/>
          <w:sz w:val="32"/>
          <w:szCs w:val="32"/>
        </w:rPr>
      </w:pPr>
      <w:r>
        <w:rPr>
          <w:rFonts w:ascii="仿宋" w:hAnsi="仿宋" w:eastAsia="仿宋" w:cs="DengXian-Regular"/>
          <w:sz w:val="32"/>
          <w:szCs w:val="32"/>
        </w:rPr>
        <w:t>2</w:t>
      </w:r>
      <w:r>
        <w:rPr>
          <w:rFonts w:hint="eastAsia" w:ascii="仿宋" w:hAnsi="仿宋" w:eastAsia="仿宋" w:cs="DengXian-Regular"/>
          <w:sz w:val="32"/>
          <w:szCs w:val="32"/>
        </w:rPr>
        <w:t>、由于决算公开表格中金额数值应当保留两位小数，公开数据为四舍五入计算结果，个别数据合计项与分项之和存在小数点后差额，特此说明。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ascii="仿宋" w:hAnsi="仿宋" w:eastAsia="仿宋" w:cs="DengXian-Regular"/>
          <w:sz w:val="32"/>
          <w:szCs w:val="3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0" w:firstLineChars="200"/>
        <w:rPr>
          <w:rFonts w:ascii="仿宋_GB2312" w:hAnsi="宋体" w:eastAsia="仿宋_GB2312"/>
          <w:color w:val="000000"/>
          <w:kern w:val="0"/>
          <w:sz w:val="32"/>
          <w:szCs w:val="32"/>
        </w:rPr>
      </w:pPr>
      <w:r>
        <w:rPr>
          <w:rFonts w:hint="eastAsia" w:ascii="仿宋_GB2312" w:hAnsi="宋体" w:eastAsia="仿宋_GB2312"/>
          <w:bCs/>
          <w:color w:val="000000"/>
          <w:kern w:val="0"/>
          <w:sz w:val="32"/>
          <w:szCs w:val="32"/>
        </w:rPr>
        <w:t>（一）财政拨款收入</w:t>
      </w:r>
      <w:r>
        <w:rPr>
          <w:rFonts w:hint="eastAsia" w:ascii="仿宋_GB2312" w:hAnsi="宋体" w:eastAsia="仿宋_GB2312"/>
          <w:b/>
          <w:bCs/>
          <w:color w:val="000000"/>
          <w:kern w:val="0"/>
          <w:sz w:val="32"/>
          <w:szCs w:val="32"/>
        </w:rPr>
        <w:t>：</w:t>
      </w:r>
      <w:r>
        <w:rPr>
          <w:rFonts w:hint="eastAsia" w:ascii="仿宋" w:hAnsi="仿宋" w:eastAsia="仿宋" w:cs="DengXian-Regular"/>
          <w:sz w:val="32"/>
          <w:szCs w:val="32"/>
        </w:rPr>
        <w:t>本年度从本级财政部门取得的财政拨款，包括一般公共预算财政拨款和政府性基金预算财政拨款</w:t>
      </w:r>
      <w:r>
        <w:rPr>
          <w:rFonts w:hint="eastAsia" w:ascii="仿宋_GB2312" w:hAnsi="宋体" w:eastAsia="仿宋_GB2312"/>
          <w:color w:val="000000"/>
          <w:kern w:val="0"/>
          <w:sz w:val="32"/>
          <w:szCs w:val="32"/>
        </w:rPr>
        <w:t>。</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（二）事业收入</w:t>
      </w:r>
      <w:r>
        <w:rPr>
          <w:rFonts w:hint="eastAsia" w:ascii="仿宋_GB2312" w:hAnsi="宋体" w:eastAsia="仿宋_GB2312"/>
          <w:b/>
          <w:bCs/>
          <w:color w:val="000000"/>
          <w:kern w:val="0"/>
          <w:sz w:val="32"/>
          <w:szCs w:val="32"/>
        </w:rPr>
        <w:t>：</w:t>
      </w:r>
      <w:r>
        <w:rPr>
          <w:rFonts w:hint="eastAsia" w:ascii="仿宋" w:hAnsi="仿宋" w:eastAsia="仿宋" w:cs="DengXian-Regular"/>
          <w:sz w:val="32"/>
          <w:szCs w:val="32"/>
        </w:rPr>
        <w:t>指事业单位开展专业业务活动及辅助活动所取得的收入。</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（三）其他收入：</w:t>
      </w:r>
      <w:r>
        <w:rPr>
          <w:rFonts w:hint="eastAsia" w:ascii="仿宋" w:hAnsi="仿宋" w:eastAsia="仿宋" w:cs="DengXian-Regular"/>
          <w:sz w:val="32"/>
          <w:szCs w:val="32"/>
        </w:rPr>
        <w:t>指除上述“财政拨款收入”“事业收入”“经营收入”等以外的收入。</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（四）用事业基金弥补收支差额：</w:t>
      </w:r>
      <w:r>
        <w:rPr>
          <w:rFonts w:hint="eastAsia" w:ascii="仿宋" w:hAnsi="仿宋" w:eastAsia="仿宋" w:cs="DengXian-Regular"/>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adjustRightInd w:val="0"/>
        <w:snapToGrid w:val="0"/>
        <w:spacing w:line="584"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（五）年初结转和结余：</w:t>
      </w:r>
      <w:r>
        <w:rPr>
          <w:rFonts w:hint="eastAsia" w:ascii="仿宋" w:hAnsi="仿宋" w:eastAsia="仿宋" w:cs="DengXian-Regular"/>
          <w:sz w:val="32"/>
          <w:szCs w:val="32"/>
        </w:rPr>
        <w:t>指以前年度尚未完成、结转到本年仍按原规定用途继续使用的资金，或项目已完成等产生的结余资金。</w:t>
      </w:r>
    </w:p>
    <w:p>
      <w:pPr>
        <w:widowControl/>
        <w:spacing w:after="0" w:line="560" w:lineRule="exact"/>
        <w:ind w:firstLine="640" w:firstLineChars="200"/>
        <w:rPr>
          <w:rFonts w:ascii="仿宋_GB2312" w:hAnsi="宋体" w:eastAsia="仿宋_GB2312"/>
          <w:color w:val="000000"/>
          <w:kern w:val="0"/>
          <w:sz w:val="32"/>
          <w:szCs w:val="32"/>
        </w:rPr>
      </w:pPr>
      <w:r>
        <w:rPr>
          <w:rFonts w:hint="eastAsia" w:ascii="仿宋_GB2312" w:hAnsi="宋体" w:eastAsia="仿宋_GB2312"/>
          <w:bCs/>
          <w:color w:val="000000"/>
          <w:kern w:val="0"/>
          <w:sz w:val="32"/>
          <w:szCs w:val="32"/>
        </w:rPr>
        <w:t>（六）结余分配：</w:t>
      </w:r>
      <w:r>
        <w:rPr>
          <w:rFonts w:hint="eastAsia" w:ascii="仿宋" w:hAnsi="仿宋" w:eastAsia="仿宋" w:cs="DengXian-Regular"/>
          <w:sz w:val="32"/>
          <w:szCs w:val="32"/>
        </w:rPr>
        <w:t>指事业单位按照事业单位会计制度的规定从非财政补助结余中分配的事业基金和职工福利基金等</w:t>
      </w:r>
      <w:r>
        <w:rPr>
          <w:rFonts w:hint="eastAsia" w:ascii="仿宋_GB2312" w:hAnsi="宋体" w:eastAsia="仿宋_GB2312"/>
          <w:color w:val="000000"/>
          <w:kern w:val="0"/>
          <w:sz w:val="32"/>
          <w:szCs w:val="32"/>
        </w:rPr>
        <w:t>。</w:t>
      </w:r>
    </w:p>
    <w:p>
      <w:pPr>
        <w:widowControl/>
        <w:spacing w:after="0" w:line="560" w:lineRule="exact"/>
        <w:ind w:firstLine="640" w:firstLineChars="200"/>
        <w:rPr>
          <w:rFonts w:ascii="仿宋_GB2312" w:hAnsi="宋体" w:eastAsia="仿宋_GB2312"/>
          <w:color w:val="000000"/>
          <w:kern w:val="0"/>
          <w:sz w:val="32"/>
          <w:szCs w:val="32"/>
        </w:rPr>
      </w:pPr>
      <w:r>
        <w:rPr>
          <w:rFonts w:hint="eastAsia" w:ascii="仿宋_GB2312" w:hAnsi="宋体" w:eastAsia="仿宋_GB2312"/>
          <w:bCs/>
          <w:color w:val="000000"/>
          <w:kern w:val="0"/>
          <w:sz w:val="32"/>
          <w:szCs w:val="32"/>
        </w:rPr>
        <w:t>（七）年末结转和结余：</w:t>
      </w:r>
      <w:r>
        <w:rPr>
          <w:rFonts w:hint="eastAsia" w:ascii="仿宋" w:hAnsi="仿宋" w:eastAsia="仿宋" w:cs="DengXian-Regular"/>
          <w:sz w:val="32"/>
          <w:szCs w:val="32"/>
        </w:rPr>
        <w:t>指单位按有关规定结转到下年或以后年度继续使用的资金，或项目已完成等产生的结余资金。</w:t>
      </w:r>
    </w:p>
    <w:p>
      <w:pPr>
        <w:adjustRightInd w:val="0"/>
        <w:snapToGrid w:val="0"/>
        <w:spacing w:line="584"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（八）基本支出：</w:t>
      </w:r>
      <w:r>
        <w:rPr>
          <w:rFonts w:hint="eastAsia" w:ascii="仿宋" w:hAnsi="仿宋" w:eastAsia="仿宋" w:cs="DengXian-Regular"/>
          <w:sz w:val="32"/>
          <w:szCs w:val="32"/>
        </w:rPr>
        <w:t>填列单位为保障机构正常运转、完成日常工作任务而发生的各项支出。</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（九）项目支出：</w:t>
      </w:r>
      <w:r>
        <w:rPr>
          <w:rFonts w:hint="eastAsia" w:ascii="仿宋" w:hAnsi="仿宋" w:eastAsia="仿宋" w:cs="DengXian-Regular"/>
          <w:sz w:val="32"/>
          <w:szCs w:val="32"/>
        </w:rPr>
        <w:t>填列单位为完成特定的行政工作任务或事业发展目标，在基本支出之外发生的各项支出</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（十）资本性支出（基本建设）：</w:t>
      </w:r>
      <w:r>
        <w:rPr>
          <w:rFonts w:hint="eastAsia" w:ascii="仿宋" w:hAnsi="仿宋" w:eastAsia="仿宋" w:cs="DengXian-Regular"/>
          <w:sz w:val="32"/>
          <w:szCs w:val="32"/>
        </w:rPr>
        <w:t>填列切块由发展改革部门安排的基本建设支出，对企业补助支出不在此科目反映。</w:t>
      </w:r>
    </w:p>
    <w:p>
      <w:pPr>
        <w:widowControl/>
        <w:spacing w:after="0" w:line="560" w:lineRule="exact"/>
        <w:ind w:firstLine="640" w:firstLineChars="200"/>
        <w:rPr>
          <w:rFonts w:ascii="仿宋_GB2312" w:hAnsi="宋体" w:eastAsia="仿宋_GB2312"/>
          <w:color w:val="000000"/>
          <w:kern w:val="0"/>
          <w:sz w:val="32"/>
          <w:szCs w:val="32"/>
        </w:rPr>
      </w:pPr>
      <w:r>
        <w:rPr>
          <w:rFonts w:hint="eastAsia" w:ascii="仿宋_GB2312" w:hAnsi="宋体" w:eastAsia="仿宋_GB2312"/>
          <w:bCs/>
          <w:color w:val="000000"/>
          <w:kern w:val="0"/>
          <w:sz w:val="32"/>
          <w:szCs w:val="32"/>
        </w:rPr>
        <w:t>（十一）资本性支出：</w:t>
      </w:r>
      <w:r>
        <w:rPr>
          <w:rFonts w:hint="eastAsia" w:ascii="仿宋" w:hAnsi="仿宋" w:eastAsia="仿宋" w:cs="DengXian-Regular"/>
          <w:sz w:val="32"/>
          <w:szCs w:val="32"/>
        </w:rPr>
        <w:t>填列各单位安排的资本性支出。切块由发展改革部门安排的基本建设支出不在此科目反映。</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（十二）“三公”经费：</w:t>
      </w:r>
      <w:r>
        <w:rPr>
          <w:rFonts w:hint="eastAsia" w:ascii="仿宋" w:hAnsi="仿宋" w:eastAsia="仿宋" w:cs="DengXian-Regular"/>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0" w:firstLineChars="200"/>
        <w:rPr>
          <w:rFonts w:ascii="仿宋_GB2312" w:hAnsi="宋体" w:eastAsia="仿宋_GB2312"/>
          <w:color w:val="000000"/>
          <w:kern w:val="0"/>
          <w:sz w:val="32"/>
          <w:szCs w:val="32"/>
        </w:rPr>
      </w:pPr>
      <w:r>
        <w:rPr>
          <w:rFonts w:hint="eastAsia" w:ascii="仿宋_GB2312" w:hAnsi="宋体" w:eastAsia="仿宋_GB2312"/>
          <w:bCs/>
          <w:color w:val="000000"/>
          <w:kern w:val="0"/>
          <w:sz w:val="32"/>
          <w:szCs w:val="32"/>
        </w:rPr>
        <w:t>（十三）其他交通费用：</w:t>
      </w:r>
      <w:r>
        <w:rPr>
          <w:rFonts w:hint="eastAsia" w:ascii="仿宋" w:hAnsi="仿宋" w:eastAsia="仿宋" w:cs="DengXian-Regular"/>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（十四）公务用车购置：</w:t>
      </w:r>
      <w:r>
        <w:rPr>
          <w:rFonts w:hint="eastAsia" w:ascii="仿宋" w:hAnsi="仿宋" w:eastAsia="仿宋" w:cs="DengXian-Regular"/>
          <w:sz w:val="32"/>
          <w:szCs w:val="32"/>
        </w:rPr>
        <w:t>填列单位公务用车购置支出（含车辆购置税、牌照费）。</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（十五）其他交通工具购置：</w:t>
      </w:r>
      <w:r>
        <w:rPr>
          <w:rFonts w:hint="eastAsia" w:ascii="仿宋" w:hAnsi="仿宋" w:eastAsia="仿宋" w:cs="DengXian-Regular"/>
          <w:sz w:val="32"/>
          <w:szCs w:val="32"/>
        </w:rPr>
        <w:t>填列单位除公务用车外的其他各类交通工具（如船舶、飞机）购置支出（含车辆购置税、牌照费）。</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（十六）机关运行经费：</w:t>
      </w:r>
      <w:r>
        <w:rPr>
          <w:rFonts w:hint="eastAsia" w:ascii="仿宋" w:hAnsi="仿宋" w:eastAsia="仿宋" w:cs="DengXian-Regular"/>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0" w:firstLineChars="200"/>
        <w:rPr>
          <w:rFonts w:ascii="仿宋" w:hAnsi="仿宋" w:eastAsia="仿宋" w:cs="DengXian-Regular"/>
          <w:sz w:val="32"/>
          <w:szCs w:val="32"/>
        </w:rPr>
      </w:pPr>
      <w:r>
        <w:rPr>
          <w:rFonts w:hint="eastAsia" w:ascii="仿宋_GB2312" w:hAnsi="宋体" w:eastAsia="仿宋_GB2312"/>
          <w:bCs/>
          <w:color w:val="000000"/>
          <w:kern w:val="0"/>
          <w:sz w:val="32"/>
          <w:szCs w:val="32"/>
        </w:rPr>
        <w:t>（十七）经费形式</w:t>
      </w:r>
      <w:r>
        <w:rPr>
          <w:rFonts w:ascii="仿宋_GB2312" w:hAnsi="宋体" w:eastAsia="仿宋_GB2312"/>
          <w:bCs/>
          <w:color w:val="000000"/>
          <w:kern w:val="0"/>
          <w:sz w:val="32"/>
          <w:szCs w:val="32"/>
        </w:rPr>
        <w:t>:</w:t>
      </w:r>
      <w:r>
        <w:rPr>
          <w:rFonts w:hint="eastAsia" w:ascii="仿宋" w:hAnsi="仿宋" w:eastAsia="仿宋" w:cs="DengXian-Regular"/>
          <w:sz w:val="32"/>
          <w:szCs w:val="32"/>
        </w:rPr>
        <w:t>按照经费来源，可分为财政拨款、财政性资金基本保证、财政性资金定额或定项补助、财政性资金零补助四类。</w:t>
      </w:r>
    </w:p>
    <w:p>
      <w:pPr>
        <w:widowControl/>
        <w:spacing w:after="0" w:line="560" w:lineRule="exact"/>
        <w:ind w:firstLine="640" w:firstLineChars="200"/>
        <w:rPr>
          <w:rFonts w:ascii="仿宋" w:hAnsi="仿宋" w:eastAsia="仿宋" w:cs="DengXian-Regular"/>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475A0"/>
    <w:rsid w:val="00067085"/>
    <w:rsid w:val="00067693"/>
    <w:rsid w:val="00076EA9"/>
    <w:rsid w:val="000838C3"/>
    <w:rsid w:val="00093D29"/>
    <w:rsid w:val="000B2446"/>
    <w:rsid w:val="000B58B9"/>
    <w:rsid w:val="000C16C9"/>
    <w:rsid w:val="000C669D"/>
    <w:rsid w:val="000D5BF6"/>
    <w:rsid w:val="000D7C65"/>
    <w:rsid w:val="000E2F81"/>
    <w:rsid w:val="00101F8D"/>
    <w:rsid w:val="00113295"/>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865F7"/>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97074"/>
    <w:rsid w:val="004A0908"/>
    <w:rsid w:val="004B6E37"/>
    <w:rsid w:val="004C32BA"/>
    <w:rsid w:val="004C68EF"/>
    <w:rsid w:val="004D7BD3"/>
    <w:rsid w:val="00542F12"/>
    <w:rsid w:val="00575922"/>
    <w:rsid w:val="005A3C0D"/>
    <w:rsid w:val="005A6C90"/>
    <w:rsid w:val="005B37E6"/>
    <w:rsid w:val="005B7F42"/>
    <w:rsid w:val="005C396A"/>
    <w:rsid w:val="005E3FB0"/>
    <w:rsid w:val="005E7434"/>
    <w:rsid w:val="005F4B66"/>
    <w:rsid w:val="005F5208"/>
    <w:rsid w:val="005F54ED"/>
    <w:rsid w:val="00615C31"/>
    <w:rsid w:val="00641318"/>
    <w:rsid w:val="0064405D"/>
    <w:rsid w:val="00655615"/>
    <w:rsid w:val="0067612F"/>
    <w:rsid w:val="00695557"/>
    <w:rsid w:val="006D4EA7"/>
    <w:rsid w:val="0070012A"/>
    <w:rsid w:val="0070664B"/>
    <w:rsid w:val="007071B8"/>
    <w:rsid w:val="007155C2"/>
    <w:rsid w:val="007414DE"/>
    <w:rsid w:val="00760C0C"/>
    <w:rsid w:val="007651BA"/>
    <w:rsid w:val="007905A9"/>
    <w:rsid w:val="007B0E8E"/>
    <w:rsid w:val="007E072B"/>
    <w:rsid w:val="007E5500"/>
    <w:rsid w:val="007E7FF3"/>
    <w:rsid w:val="007F055B"/>
    <w:rsid w:val="00811C2F"/>
    <w:rsid w:val="00833D46"/>
    <w:rsid w:val="00836215"/>
    <w:rsid w:val="00840A97"/>
    <w:rsid w:val="00872B02"/>
    <w:rsid w:val="00873292"/>
    <w:rsid w:val="008A640A"/>
    <w:rsid w:val="008C0149"/>
    <w:rsid w:val="008C7315"/>
    <w:rsid w:val="008C7C6F"/>
    <w:rsid w:val="008D5DED"/>
    <w:rsid w:val="008E25CA"/>
    <w:rsid w:val="008F34FC"/>
    <w:rsid w:val="00944CD7"/>
    <w:rsid w:val="00961190"/>
    <w:rsid w:val="009831B2"/>
    <w:rsid w:val="009A1ABE"/>
    <w:rsid w:val="009E21A4"/>
    <w:rsid w:val="009F22C6"/>
    <w:rsid w:val="009F2C9A"/>
    <w:rsid w:val="00A07E50"/>
    <w:rsid w:val="00A12C15"/>
    <w:rsid w:val="00A15397"/>
    <w:rsid w:val="00A35CE0"/>
    <w:rsid w:val="00A4462E"/>
    <w:rsid w:val="00A44AA4"/>
    <w:rsid w:val="00A61623"/>
    <w:rsid w:val="00A84687"/>
    <w:rsid w:val="00AA0458"/>
    <w:rsid w:val="00AB0A0E"/>
    <w:rsid w:val="00AD3B6E"/>
    <w:rsid w:val="00AD4E09"/>
    <w:rsid w:val="00AF6D31"/>
    <w:rsid w:val="00B1751F"/>
    <w:rsid w:val="00B3272A"/>
    <w:rsid w:val="00B50F96"/>
    <w:rsid w:val="00B56722"/>
    <w:rsid w:val="00B60217"/>
    <w:rsid w:val="00B67044"/>
    <w:rsid w:val="00B74D39"/>
    <w:rsid w:val="00B827C6"/>
    <w:rsid w:val="00B91DA4"/>
    <w:rsid w:val="00BA7174"/>
    <w:rsid w:val="00BB7C98"/>
    <w:rsid w:val="00C12630"/>
    <w:rsid w:val="00C34562"/>
    <w:rsid w:val="00C3561C"/>
    <w:rsid w:val="00C3774E"/>
    <w:rsid w:val="00C57456"/>
    <w:rsid w:val="00C65387"/>
    <w:rsid w:val="00C87FAB"/>
    <w:rsid w:val="00C91FF7"/>
    <w:rsid w:val="00C92D15"/>
    <w:rsid w:val="00C94E53"/>
    <w:rsid w:val="00CE3FC3"/>
    <w:rsid w:val="00CE490E"/>
    <w:rsid w:val="00D0048E"/>
    <w:rsid w:val="00D23E7A"/>
    <w:rsid w:val="00D36F0F"/>
    <w:rsid w:val="00D56D8F"/>
    <w:rsid w:val="00D61063"/>
    <w:rsid w:val="00D75462"/>
    <w:rsid w:val="00DA0757"/>
    <w:rsid w:val="00DB35AF"/>
    <w:rsid w:val="00DD72D7"/>
    <w:rsid w:val="00DF5B88"/>
    <w:rsid w:val="00E0589E"/>
    <w:rsid w:val="00E0697F"/>
    <w:rsid w:val="00E241FA"/>
    <w:rsid w:val="00E2595E"/>
    <w:rsid w:val="00E35374"/>
    <w:rsid w:val="00E44766"/>
    <w:rsid w:val="00E50C19"/>
    <w:rsid w:val="00E64655"/>
    <w:rsid w:val="00E73081"/>
    <w:rsid w:val="00E856C9"/>
    <w:rsid w:val="00EA4F68"/>
    <w:rsid w:val="00EB6A8B"/>
    <w:rsid w:val="00EC6814"/>
    <w:rsid w:val="00ED411D"/>
    <w:rsid w:val="00EF38C6"/>
    <w:rsid w:val="00EF4732"/>
    <w:rsid w:val="00F10D4A"/>
    <w:rsid w:val="00F350F5"/>
    <w:rsid w:val="00F679C7"/>
    <w:rsid w:val="00F7711A"/>
    <w:rsid w:val="00F77811"/>
    <w:rsid w:val="00F80C72"/>
    <w:rsid w:val="00FA0D58"/>
    <w:rsid w:val="00FA1580"/>
    <w:rsid w:val="00FA56F4"/>
    <w:rsid w:val="00FB4EDA"/>
    <w:rsid w:val="00FD3BD5"/>
    <w:rsid w:val="00FE3DC8"/>
    <w:rsid w:val="04073F84"/>
    <w:rsid w:val="0B60750A"/>
    <w:rsid w:val="10686488"/>
    <w:rsid w:val="10DF728A"/>
    <w:rsid w:val="1264200E"/>
    <w:rsid w:val="141C5B77"/>
    <w:rsid w:val="18D8339D"/>
    <w:rsid w:val="1A21388F"/>
    <w:rsid w:val="1A570D2F"/>
    <w:rsid w:val="28FB0B8D"/>
    <w:rsid w:val="2D2B7942"/>
    <w:rsid w:val="2D46481D"/>
    <w:rsid w:val="2E733B28"/>
    <w:rsid w:val="2FE028AD"/>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标题 1 Char"/>
    <w:basedOn w:val="14"/>
    <w:link w:val="2"/>
    <w:qFormat/>
    <w:locked/>
    <w:uiPriority w:val="99"/>
    <w:rPr>
      <w:rFonts w:ascii="Times New Roman" w:hAnsi="Times New Roman" w:eastAsia="宋体" w:cs="Times New Roman"/>
      <w:b/>
      <w:bCs/>
      <w:kern w:val="44"/>
      <w:sz w:val="44"/>
      <w:szCs w:val="44"/>
    </w:rPr>
  </w:style>
  <w:style w:type="character" w:customStyle="1" w:styleId="16">
    <w:name w:val="标题 2 Char"/>
    <w:basedOn w:val="14"/>
    <w:link w:val="3"/>
    <w:qFormat/>
    <w:locked/>
    <w:uiPriority w:val="99"/>
    <w:rPr>
      <w:rFonts w:ascii="Calibri" w:hAnsi="Calibri" w:eastAsia="宋体" w:cs="Times New Roman"/>
      <w:b/>
      <w:bCs/>
      <w:sz w:val="32"/>
      <w:szCs w:val="32"/>
    </w:rPr>
  </w:style>
  <w:style w:type="character" w:customStyle="1" w:styleId="17">
    <w:name w:val="标题 3 Char"/>
    <w:basedOn w:val="14"/>
    <w:link w:val="4"/>
    <w:qFormat/>
    <w:locked/>
    <w:uiPriority w:val="99"/>
    <w:rPr>
      <w:rFonts w:ascii="Times New Roman" w:hAnsi="Times New Roman" w:eastAsia="宋体" w:cs="Times New Roman"/>
      <w:b/>
      <w:bCs/>
      <w:sz w:val="32"/>
      <w:szCs w:val="32"/>
    </w:rPr>
  </w:style>
  <w:style w:type="character" w:customStyle="1" w:styleId="18">
    <w:name w:val="标题 4 Char"/>
    <w:basedOn w:val="14"/>
    <w:link w:val="5"/>
    <w:qFormat/>
    <w:locked/>
    <w:uiPriority w:val="99"/>
    <w:rPr>
      <w:rFonts w:ascii="Calibri" w:hAnsi="Calibri" w:eastAsia="宋体" w:cs="Times New Roman"/>
      <w:b/>
      <w:bCs/>
      <w:sz w:val="28"/>
      <w:szCs w:val="28"/>
    </w:rPr>
  </w:style>
  <w:style w:type="character" w:customStyle="1" w:styleId="19">
    <w:name w:val="日期 Char"/>
    <w:basedOn w:val="14"/>
    <w:link w:val="6"/>
    <w:semiHidden/>
    <w:qFormat/>
    <w:locked/>
    <w:uiPriority w:val="99"/>
    <w:rPr>
      <w:rFonts w:ascii="Times New Roman" w:hAnsi="Times New Roman" w:eastAsia="宋体" w:cs="Times New Roman"/>
      <w:sz w:val="24"/>
      <w:szCs w:val="24"/>
    </w:rPr>
  </w:style>
  <w:style w:type="character" w:customStyle="1" w:styleId="20">
    <w:name w:val="批注框文本 Char"/>
    <w:basedOn w:val="14"/>
    <w:link w:val="7"/>
    <w:semiHidden/>
    <w:qFormat/>
    <w:locked/>
    <w:uiPriority w:val="99"/>
    <w:rPr>
      <w:rFonts w:ascii="Times New Roman" w:hAnsi="Times New Roman" w:eastAsia="宋体" w:cs="Times New Roman"/>
      <w:sz w:val="18"/>
      <w:szCs w:val="18"/>
    </w:rPr>
  </w:style>
  <w:style w:type="character" w:customStyle="1" w:styleId="21">
    <w:name w:val="页脚 Char"/>
    <w:basedOn w:val="14"/>
    <w:link w:val="8"/>
    <w:qFormat/>
    <w:locked/>
    <w:uiPriority w:val="99"/>
    <w:rPr>
      <w:rFonts w:cs="Times New Roman"/>
      <w:sz w:val="18"/>
      <w:szCs w:val="18"/>
    </w:rPr>
  </w:style>
  <w:style w:type="character" w:customStyle="1" w:styleId="22">
    <w:name w:val="页眉 Char"/>
    <w:basedOn w:val="14"/>
    <w:link w:val="9"/>
    <w:qFormat/>
    <w:locked/>
    <w:uiPriority w:val="99"/>
    <w:rPr>
      <w:rFonts w:cs="Times New Roman"/>
      <w:sz w:val="18"/>
      <w:szCs w:val="18"/>
    </w:rPr>
  </w:style>
  <w:style w:type="character" w:customStyle="1" w:styleId="23">
    <w:name w:val="副标题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标题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sz w:val="22"/>
      <w:szCs w:val="22"/>
      <w:lang w:val="en-US" w:eastAsia="zh-CN" w:bidi="ar-SA"/>
    </w:rPr>
  </w:style>
  <w:style w:type="character" w:customStyle="1" w:styleId="26">
    <w:name w:val="无间隔 Char"/>
    <w:basedOn w:val="14"/>
    <w:link w:val="25"/>
    <w:qFormat/>
    <w:locked/>
    <w:uiPriority w:val="99"/>
    <w:rPr>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5921</Words>
  <Characters>730</Characters>
  <Lines>6</Lines>
  <Paragraphs>13</Paragraphs>
  <TotalTime>635</TotalTime>
  <ScaleCrop>false</ScaleCrop>
  <LinksUpToDate>false</LinksUpToDate>
  <CharactersWithSpaces>6638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2019-11-13T08:14:00Z</cp:lastPrinted>
  <dcterms:modified xsi:type="dcterms:W3CDTF">2021-05-18T03:53:52Z</dcterms:modified>
  <dc:subject>石家庄市xxx部门</dc:subject>
  <dc:title>2017年度部门决算</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A658D4F76D1544BA8A730968A0C2E57B</vt:lpwstr>
  </property>
</Properties>
</file>