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大城县气象</w:t>
      </w:r>
      <w:r>
        <w:rPr>
          <w:rFonts w:hint="eastAsia" w:ascii="Times New Roman" w:hAnsi="Times New Roman" w:eastAsia="方正小标宋简体" w:cs="Times New Roman"/>
          <w:sz w:val="44"/>
          <w:szCs w:val="44"/>
          <w:lang w:val="en-US" w:eastAsia="zh-CN"/>
        </w:rPr>
        <w:t>局</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21</w:t>
      </w:r>
      <w:r>
        <w:rPr>
          <w:rFonts w:ascii="Times New Roman" w:hAnsi="Times New Roman" w:eastAsia="方正小标宋简体" w:cs="Times New Roman"/>
          <w:sz w:val="44"/>
          <w:szCs w:val="44"/>
        </w:rPr>
        <w:t>年部门预算信息公开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keepNext w:val="0"/>
        <w:keepLines w:val="0"/>
        <w:pageBreakBefore w:val="0"/>
        <w:widowControl w:val="0"/>
        <w:kinsoku/>
        <w:wordWrap/>
        <w:topLinePunct w:val="0"/>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eastAsia="zh-CN"/>
        </w:rPr>
        <w:t>大城县气象</w:t>
      </w:r>
      <w:r>
        <w:rPr>
          <w:rFonts w:hint="eastAsia" w:ascii="Times New Roman" w:hAnsi="Times New Roman" w:eastAsia="仿宋_GB2312" w:cs="Times New Roman"/>
          <w:sz w:val="32"/>
          <w:szCs w:val="32"/>
          <w:lang w:val="en-US" w:eastAsia="zh-CN"/>
        </w:rPr>
        <w:t>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keepNext w:val="0"/>
        <w:keepLines w:val="0"/>
        <w:pageBreakBefore w:val="0"/>
        <w:widowControl w:val="0"/>
        <w:kinsoku/>
        <w:wordWrap/>
        <w:topLinePunct w:val="0"/>
        <w:bidi w:val="0"/>
        <w:spacing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一、部门职责及机构设置情况</w:t>
      </w:r>
    </w:p>
    <w:p>
      <w:pPr>
        <w:keepNext w:val="0"/>
        <w:keepLines w:val="0"/>
        <w:pageBreakBefore w:val="0"/>
        <w:widowControl w:val="0"/>
        <w:kinsoku/>
        <w:wordWrap/>
        <w:topLinePunct w:val="0"/>
        <w:bidi w:val="0"/>
        <w:spacing w:line="560" w:lineRule="exact"/>
        <w:ind w:firstLine="643" w:firstLineChars="200"/>
        <w:textAlignment w:val="auto"/>
        <w:rPr>
          <w:rFonts w:ascii="Times New Roman" w:hAnsi="Times New Roman" w:eastAsia="楷体_GB2312" w:cs="Times New Roman"/>
          <w:b/>
          <w:sz w:val="32"/>
          <w:szCs w:val="32"/>
        </w:rPr>
      </w:pPr>
      <w:r>
        <w:rPr>
          <w:rFonts w:ascii="Times New Roman" w:hAnsi="Times New Roman" w:eastAsia="楷体_GB2312" w:cs="Times New Roman"/>
          <w:b/>
          <w:sz w:val="32"/>
          <w:szCs w:val="32"/>
        </w:rPr>
        <w:t>部门职责：</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大城县气象系统各级管理机构实行上级气象主管机构与本级人民政府双重领导，以上级气象主管机构领导为主的管理体制。在上级气象主管机构和本级人民政府的领导下，根据授权承担本行政区域内气象工作的政府行政管理职能，依法履行气象主管机构的各项职责，主要职责是：</w:t>
      </w:r>
    </w:p>
    <w:p>
      <w:pPr>
        <w:keepNext w:val="0"/>
        <w:keepLines w:val="0"/>
        <w:pageBreakBefore w:val="0"/>
        <w:widowControl w:val="0"/>
        <w:kinsoku/>
        <w:wordWrap/>
        <w:overflowPunct/>
        <w:topLinePunct w:val="0"/>
        <w:autoSpaceDE/>
        <w:autoSpaceDN/>
        <w:bidi w:val="0"/>
        <w:adjustRightInd/>
        <w:spacing w:line="560" w:lineRule="exact"/>
        <w:ind w:firstLine="646"/>
        <w:textAlignment w:val="auto"/>
        <w:rPr>
          <w:rFonts w:hint="eastAsia" w:ascii="仿宋_GB2312" w:eastAsia="仿宋_GB2312"/>
          <w:sz w:val="32"/>
          <w:szCs w:val="32"/>
        </w:rPr>
      </w:pPr>
      <w:r>
        <w:rPr>
          <w:rFonts w:hint="eastAsia" w:ascii="仿宋_GB2312" w:eastAsia="仿宋_GB2312"/>
          <w:sz w:val="32"/>
          <w:szCs w:val="32"/>
        </w:rPr>
        <w:t>1.负责本行政区域内气象事业发展规划的制定及气象工作的组织实施；对本行政区域内的气象活动进行指导、监督和行业管理。</w:t>
      </w:r>
    </w:p>
    <w:p>
      <w:pPr>
        <w:keepNext w:val="0"/>
        <w:keepLines w:val="0"/>
        <w:pageBreakBefore w:val="0"/>
        <w:widowControl w:val="0"/>
        <w:kinsoku/>
        <w:wordWrap/>
        <w:overflowPunct/>
        <w:topLinePunct w:val="0"/>
        <w:autoSpaceDE/>
        <w:autoSpaceDN/>
        <w:bidi w:val="0"/>
        <w:adjustRightInd/>
        <w:spacing w:line="560" w:lineRule="exact"/>
        <w:ind w:firstLine="646"/>
        <w:textAlignment w:val="auto"/>
        <w:rPr>
          <w:rFonts w:hint="eastAsia" w:ascii="仿宋_GB2312" w:eastAsia="仿宋_GB2312"/>
          <w:sz w:val="32"/>
          <w:szCs w:val="32"/>
        </w:rPr>
      </w:pPr>
      <w:r>
        <w:rPr>
          <w:rFonts w:hint="eastAsia" w:ascii="仿宋_GB2312" w:eastAsia="仿宋_GB2312"/>
          <w:sz w:val="32"/>
          <w:szCs w:val="32"/>
        </w:rPr>
        <w:t>2.组织管理本行政区域内气象灾害防御工作；组织拟订和实施本行政区域的气象灾害防御规划；管理本行政区域人工影响天气工作，指导和组织人工影响天气作业；指导城乡气象工作，组织推进农村气象灾害防御体系和气象服务体系建设，组织指导乡镇（街道）气象工作站和气象协理员、信息员队伍建设。</w:t>
      </w:r>
    </w:p>
    <w:p>
      <w:pPr>
        <w:keepNext w:val="0"/>
        <w:keepLines w:val="0"/>
        <w:pageBreakBefore w:val="0"/>
        <w:widowControl w:val="0"/>
        <w:kinsoku/>
        <w:wordWrap/>
        <w:topLinePunct w:val="0"/>
        <w:bidi w:val="0"/>
        <w:spacing w:line="560" w:lineRule="exact"/>
        <w:ind w:firstLine="646"/>
        <w:textAlignment w:val="auto"/>
        <w:rPr>
          <w:rFonts w:hint="eastAsia" w:ascii="仿宋_GB2312" w:eastAsia="仿宋_GB2312"/>
          <w:sz w:val="32"/>
          <w:szCs w:val="32"/>
        </w:rPr>
      </w:pPr>
      <w:r>
        <w:rPr>
          <w:rFonts w:hint="eastAsia" w:ascii="仿宋_GB2312" w:eastAsia="仿宋_GB2312"/>
          <w:sz w:val="32"/>
          <w:szCs w:val="32"/>
        </w:rPr>
        <w:t>3.组织管理本行政区域内雷电灾害防御工作，会同有关部门指导对可能遭受袭击的建筑物、构筑物和其它设施安装的雷电灾害防护装置的检测工作；负责本行政区域内雷电灾害防护装置的设计审核和竣工验收；负责管理本行政区域内的施放气球活动。</w:t>
      </w:r>
    </w:p>
    <w:p>
      <w:pPr>
        <w:keepNext w:val="0"/>
        <w:keepLines w:val="0"/>
        <w:pageBreakBefore w:val="0"/>
        <w:widowControl w:val="0"/>
        <w:kinsoku/>
        <w:wordWrap/>
        <w:topLinePunct w:val="0"/>
        <w:autoSpaceDE w:val="0"/>
        <w:autoSpaceDN w:val="0"/>
        <w:bidi w:val="0"/>
        <w:adjustRightInd w:val="0"/>
        <w:spacing w:line="5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4.组织本行政区域内气候资源的综合调查、区划，指导气候资源的开发利用和保护，组织并审查重点建设工程、重大区域经济开发项目和城乡建设规划的气候可行性论证和气象灾害风险评估。</w:t>
      </w:r>
    </w:p>
    <w:p>
      <w:pPr>
        <w:keepNext w:val="0"/>
        <w:keepLines w:val="0"/>
        <w:pageBreakBefore w:val="0"/>
        <w:widowControl w:val="0"/>
        <w:kinsoku/>
        <w:wordWrap/>
        <w:topLinePunct w:val="0"/>
        <w:autoSpaceDE w:val="0"/>
        <w:autoSpaceDN w:val="0"/>
        <w:bidi w:val="0"/>
        <w:adjustRightInd w:val="0"/>
        <w:spacing w:line="560" w:lineRule="exact"/>
        <w:ind w:firstLine="640" w:firstLineChars="200"/>
        <w:jc w:val="left"/>
        <w:textAlignment w:val="auto"/>
        <w:rPr>
          <w:rFonts w:hint="eastAsia" w:ascii="仿宋_GB2312" w:eastAsia="仿宋_GB2312"/>
          <w:sz w:val="32"/>
          <w:szCs w:val="32"/>
        </w:rPr>
      </w:pPr>
      <w:r>
        <w:rPr>
          <w:rFonts w:hint="eastAsia" w:ascii="仿宋_GB2312" w:eastAsia="仿宋_GB2312"/>
          <w:sz w:val="32"/>
          <w:szCs w:val="32"/>
        </w:rPr>
        <w:t>5.负责本行政区域内的气象台站和气象设施的组织建设和维护管理；组织管理本行政区域内气象探测资料的采集、传输和汇交；依法保护气象设施和探测环境；负责审查建设项目大气环境影响评价所使用的气象资料。</w:t>
      </w:r>
    </w:p>
    <w:p>
      <w:pPr>
        <w:keepNext w:val="0"/>
        <w:keepLines w:val="0"/>
        <w:pageBreakBefore w:val="0"/>
        <w:widowControl w:val="0"/>
        <w:kinsoku/>
        <w:wordWrap/>
        <w:topLinePunct w:val="0"/>
        <w:bidi w:val="0"/>
        <w:spacing w:line="560" w:lineRule="exact"/>
        <w:ind w:firstLine="646"/>
        <w:textAlignment w:val="auto"/>
        <w:rPr>
          <w:rFonts w:hint="eastAsia" w:ascii="仿宋_GB2312" w:eastAsia="仿宋_GB2312"/>
          <w:sz w:val="32"/>
          <w:szCs w:val="32"/>
        </w:rPr>
      </w:pPr>
      <w:r>
        <w:rPr>
          <w:rFonts w:hint="eastAsia" w:ascii="仿宋_GB2312" w:eastAsia="仿宋_GB2312"/>
          <w:sz w:val="32"/>
          <w:szCs w:val="32"/>
        </w:rPr>
        <w:t>6.负责本行政区域内的气象监测、预报、预警、公共服务管理工作；组织管理本行政区域内气象信息的发布和传播；组织重大活动、突发公共事件气象保障工作；承担重大突发公共事件预警信息发布系统建设及运行维护。</w:t>
      </w:r>
    </w:p>
    <w:p>
      <w:pPr>
        <w:keepNext w:val="0"/>
        <w:keepLines w:val="0"/>
        <w:pageBreakBefore w:val="0"/>
        <w:widowControl w:val="0"/>
        <w:kinsoku/>
        <w:wordWrap/>
        <w:topLinePunct w:val="0"/>
        <w:bidi w:val="0"/>
        <w:spacing w:line="560" w:lineRule="exact"/>
        <w:ind w:firstLine="646"/>
        <w:textAlignment w:val="auto"/>
        <w:rPr>
          <w:rFonts w:hint="eastAsia" w:ascii="仿宋_GB2312" w:eastAsia="仿宋_GB2312"/>
          <w:sz w:val="32"/>
          <w:szCs w:val="32"/>
        </w:rPr>
      </w:pPr>
      <w:r>
        <w:rPr>
          <w:rFonts w:hint="eastAsia" w:ascii="仿宋_GB2312" w:eastAsia="仿宋_GB2312"/>
          <w:sz w:val="32"/>
          <w:szCs w:val="32"/>
        </w:rPr>
        <w:t>7.组织开展气象法制宣传教育，负责监督有关气象法律法规的实施，对违反《中华人民共和国气象法》等法律法规有关规定的行为依法进行处罚，承担有关行政诉讼；组织宣传、普及气象科学知识。</w:t>
      </w:r>
    </w:p>
    <w:p>
      <w:pPr>
        <w:keepNext w:val="0"/>
        <w:keepLines w:val="0"/>
        <w:pageBreakBefore w:val="0"/>
        <w:widowControl w:val="0"/>
        <w:kinsoku/>
        <w:wordWrap/>
        <w:topLinePunct w:val="0"/>
        <w:bidi w:val="0"/>
        <w:spacing w:line="560" w:lineRule="exact"/>
        <w:ind w:firstLine="646"/>
        <w:textAlignment w:val="auto"/>
        <w:rPr>
          <w:rFonts w:hint="eastAsia" w:ascii="仿宋_GB2312" w:eastAsia="仿宋_GB2312"/>
          <w:sz w:val="32"/>
          <w:szCs w:val="32"/>
        </w:rPr>
      </w:pPr>
      <w:r>
        <w:rPr>
          <w:rFonts w:hint="eastAsia" w:ascii="仿宋_GB2312" w:eastAsia="仿宋_GB2312"/>
          <w:sz w:val="32"/>
          <w:szCs w:val="32"/>
        </w:rPr>
        <w:t>8.管理本级气象部门内部的计划财务、人事劳动、队伍建设、教育培训和业务建设；负责气象部门双重计划财务体制的落实工作；负责党的建设、精神文明和气象文化建设。</w:t>
      </w:r>
    </w:p>
    <w:p>
      <w:pPr>
        <w:keepNext w:val="0"/>
        <w:keepLines w:val="0"/>
        <w:pageBreakBefore w:val="0"/>
        <w:widowControl w:val="0"/>
        <w:kinsoku/>
        <w:wordWrap/>
        <w:topLinePunct w:val="0"/>
        <w:bidi w:val="0"/>
        <w:spacing w:line="560" w:lineRule="exact"/>
        <w:ind w:firstLine="646"/>
        <w:textAlignment w:val="auto"/>
        <w:rPr>
          <w:rFonts w:hint="eastAsia" w:ascii="仿宋_GB2312" w:eastAsia="仿宋_GB2312"/>
          <w:sz w:val="32"/>
          <w:szCs w:val="32"/>
        </w:rPr>
      </w:pPr>
      <w:r>
        <w:rPr>
          <w:rFonts w:hint="eastAsia" w:ascii="仿宋_GB2312" w:eastAsia="仿宋_GB2312"/>
          <w:sz w:val="32"/>
          <w:szCs w:val="32"/>
        </w:rPr>
        <w:t>9.承担上级气象主管机构和本级人民政府交办的其他事项。</w:t>
      </w:r>
    </w:p>
    <w:p>
      <w:pPr>
        <w:keepNext w:val="0"/>
        <w:keepLines w:val="0"/>
        <w:pageBreakBefore w:val="0"/>
        <w:widowControl w:val="0"/>
        <w:kinsoku/>
        <w:wordWrap/>
        <w:topLinePunct w:val="0"/>
        <w:autoSpaceDE w:val="0"/>
        <w:autoSpaceDN w:val="0"/>
        <w:bidi w:val="0"/>
        <w:adjustRightInd w:val="0"/>
        <w:spacing w:line="560" w:lineRule="exact"/>
        <w:ind w:firstLine="630" w:firstLineChars="196"/>
        <w:jc w:val="left"/>
        <w:textAlignment w:val="auto"/>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keepNext w:val="0"/>
        <w:keepLines w:val="0"/>
        <w:pageBreakBefore w:val="0"/>
        <w:widowControl w:val="0"/>
        <w:kinsoku/>
        <w:wordWrap/>
        <w:topLinePunct w:val="0"/>
        <w:bidi w:val="0"/>
        <w:spacing w:line="560" w:lineRule="exact"/>
        <w:jc w:val="center"/>
        <w:textAlignment w:val="auto"/>
        <w:outlineLvl w:val="0"/>
        <w:rPr>
          <w:rFonts w:ascii="Times New Roman" w:hAnsi="Times New Roman" w:eastAsia="仿宋_GB2312" w:cs="Times New Roman"/>
          <w:b/>
          <w:sz w:val="32"/>
          <w:szCs w:val="24"/>
        </w:rPr>
      </w:pPr>
      <w:r>
        <w:rPr>
          <w:rFonts w:ascii="Times New Roman" w:hAnsi="Times New Roman" w:eastAsia="仿宋_GB2312" w:cs="Times New Roman"/>
          <w:b/>
          <w:sz w:val="32"/>
          <w:szCs w:val="24"/>
        </w:rPr>
        <w:t>部门机构设置情况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44"/>
        <w:gridCol w:w="1642"/>
        <w:gridCol w:w="1467"/>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3744" w:type="dxa"/>
            <w:vMerge w:val="restart"/>
            <w:shd w:val="clear" w:color="auto" w:fill="auto"/>
            <w:vAlign w:val="center"/>
          </w:tcPr>
          <w:p>
            <w:pPr>
              <w:keepNext w:val="0"/>
              <w:keepLines w:val="0"/>
              <w:pageBreakBefore w:val="0"/>
              <w:widowControl w:val="0"/>
              <w:kinsoku/>
              <w:wordWrap/>
              <w:topLinePunct w:val="0"/>
              <w:bidi w:val="0"/>
              <w:spacing w:line="560" w:lineRule="exact"/>
              <w:jc w:val="center"/>
              <w:textAlignment w:val="auto"/>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642" w:type="dxa"/>
            <w:vMerge w:val="restart"/>
            <w:shd w:val="clear" w:color="auto" w:fill="auto"/>
            <w:vAlign w:val="center"/>
          </w:tcPr>
          <w:p>
            <w:pPr>
              <w:keepNext w:val="0"/>
              <w:keepLines w:val="0"/>
              <w:pageBreakBefore w:val="0"/>
              <w:widowControl w:val="0"/>
              <w:kinsoku/>
              <w:wordWrap/>
              <w:topLinePunct w:val="0"/>
              <w:bidi w:val="0"/>
              <w:spacing w:line="560" w:lineRule="exact"/>
              <w:jc w:val="center"/>
              <w:textAlignment w:val="auto"/>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467" w:type="dxa"/>
            <w:vMerge w:val="restart"/>
            <w:shd w:val="clear" w:color="auto" w:fill="auto"/>
            <w:vAlign w:val="center"/>
          </w:tcPr>
          <w:p>
            <w:pPr>
              <w:keepNext w:val="0"/>
              <w:keepLines w:val="0"/>
              <w:pageBreakBefore w:val="0"/>
              <w:widowControl w:val="0"/>
              <w:kinsoku/>
              <w:wordWrap/>
              <w:topLinePunct w:val="0"/>
              <w:bidi w:val="0"/>
              <w:spacing w:line="560" w:lineRule="exact"/>
              <w:jc w:val="center"/>
              <w:textAlignment w:val="auto"/>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keepNext w:val="0"/>
              <w:keepLines w:val="0"/>
              <w:pageBreakBefore w:val="0"/>
              <w:widowControl w:val="0"/>
              <w:kinsoku/>
              <w:wordWrap/>
              <w:topLinePunct w:val="0"/>
              <w:bidi w:val="0"/>
              <w:spacing w:line="560" w:lineRule="exact"/>
              <w:jc w:val="center"/>
              <w:textAlignment w:val="auto"/>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3744" w:type="dxa"/>
            <w:vMerge w:val="continue"/>
            <w:shd w:val="clear" w:color="auto" w:fill="auto"/>
            <w:vAlign w:val="center"/>
          </w:tcPr>
          <w:p>
            <w:pPr>
              <w:keepNext w:val="0"/>
              <w:keepLines w:val="0"/>
              <w:pageBreakBefore w:val="0"/>
              <w:widowControl w:val="0"/>
              <w:kinsoku/>
              <w:wordWrap/>
              <w:topLinePunct w:val="0"/>
              <w:bidi w:val="0"/>
              <w:spacing w:line="560" w:lineRule="exact"/>
              <w:textAlignment w:val="auto"/>
            </w:pPr>
          </w:p>
        </w:tc>
        <w:tc>
          <w:tcPr>
            <w:tcW w:w="1642" w:type="dxa"/>
            <w:vMerge w:val="continue"/>
            <w:shd w:val="clear" w:color="auto" w:fill="auto"/>
            <w:vAlign w:val="center"/>
          </w:tcPr>
          <w:p>
            <w:pPr>
              <w:keepNext w:val="0"/>
              <w:keepLines w:val="0"/>
              <w:pageBreakBefore w:val="0"/>
              <w:widowControl w:val="0"/>
              <w:kinsoku/>
              <w:wordWrap/>
              <w:topLinePunct w:val="0"/>
              <w:bidi w:val="0"/>
              <w:spacing w:line="560" w:lineRule="exact"/>
              <w:textAlignment w:val="auto"/>
            </w:pPr>
          </w:p>
        </w:tc>
        <w:tc>
          <w:tcPr>
            <w:tcW w:w="1467" w:type="dxa"/>
            <w:vMerge w:val="continue"/>
            <w:shd w:val="clear" w:color="auto" w:fill="auto"/>
            <w:vAlign w:val="center"/>
          </w:tcPr>
          <w:p>
            <w:pPr>
              <w:keepNext w:val="0"/>
              <w:keepLines w:val="0"/>
              <w:pageBreakBefore w:val="0"/>
              <w:widowControl w:val="0"/>
              <w:kinsoku/>
              <w:wordWrap/>
              <w:topLinePunct w:val="0"/>
              <w:bidi w:val="0"/>
              <w:spacing w:line="560" w:lineRule="exact"/>
              <w:textAlignment w:val="auto"/>
            </w:pPr>
          </w:p>
        </w:tc>
        <w:tc>
          <w:tcPr>
            <w:tcW w:w="2902" w:type="dxa"/>
            <w:vMerge w:val="continue"/>
            <w:shd w:val="clear" w:color="auto" w:fill="auto"/>
            <w:vAlign w:val="center"/>
          </w:tcPr>
          <w:p>
            <w:pPr>
              <w:keepNext w:val="0"/>
              <w:keepLines w:val="0"/>
              <w:pageBreakBefore w:val="0"/>
              <w:widowControl w:val="0"/>
              <w:kinsoku/>
              <w:wordWrap/>
              <w:topLinePunct w:val="0"/>
              <w:bidi w:val="0"/>
              <w:spacing w:line="560" w:lineRule="exact"/>
              <w:textAlignment w:val="auto"/>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44" w:type="dxa"/>
            <w:shd w:val="clear" w:color="auto" w:fill="auto"/>
            <w:vAlign w:val="center"/>
          </w:tcPr>
          <w:p>
            <w:pPr>
              <w:keepNext w:val="0"/>
              <w:keepLines w:val="0"/>
              <w:pageBreakBefore w:val="0"/>
              <w:widowControl w:val="0"/>
              <w:kinsoku/>
              <w:wordWrap/>
              <w:topLinePunct w:val="0"/>
              <w:bidi w:val="0"/>
              <w:spacing w:line="560" w:lineRule="exact"/>
              <w:jc w:val="center"/>
              <w:textAlignment w:val="auto"/>
              <w:rPr>
                <w:rFonts w:ascii="Times New Roman" w:hAnsi="Times New Roman" w:eastAsia="仿宋_GB2312" w:cs="Times New Roman"/>
                <w:b/>
              </w:rPr>
            </w:pPr>
            <w:r>
              <w:rPr>
                <w:rFonts w:hint="eastAsia" w:ascii="Times New Roman" w:hAnsi="Times New Roman" w:eastAsia="方正书宋_GBK"/>
                <w:sz w:val="24"/>
                <w:szCs w:val="24"/>
              </w:rPr>
              <w:t>大城县气象局</w:t>
            </w:r>
          </w:p>
        </w:tc>
        <w:tc>
          <w:tcPr>
            <w:tcW w:w="1642" w:type="dxa"/>
            <w:shd w:val="clear" w:color="auto" w:fill="auto"/>
            <w:vAlign w:val="center"/>
          </w:tcPr>
          <w:p>
            <w:pPr>
              <w:keepNext w:val="0"/>
              <w:keepLines w:val="0"/>
              <w:pageBreakBefore w:val="0"/>
              <w:widowControl w:val="0"/>
              <w:kinsoku/>
              <w:wordWrap/>
              <w:topLinePunct w:val="0"/>
              <w:bidi w:val="0"/>
              <w:spacing w:line="560" w:lineRule="exact"/>
              <w:jc w:val="center"/>
              <w:textAlignment w:val="auto"/>
              <w:rPr>
                <w:rFonts w:ascii="Times New Roman" w:hAnsi="Times New Roman" w:eastAsia="仿宋_GB2312" w:cs="Times New Roman"/>
                <w:b/>
              </w:rPr>
            </w:pPr>
            <w:r>
              <w:rPr>
                <w:rFonts w:hint="eastAsia" w:ascii="Times New Roman" w:hAnsi="Times New Roman" w:eastAsia="方正书宋_GBK"/>
                <w:sz w:val="24"/>
                <w:szCs w:val="24"/>
              </w:rPr>
              <w:t>事业</w:t>
            </w:r>
          </w:p>
        </w:tc>
        <w:tc>
          <w:tcPr>
            <w:tcW w:w="1467" w:type="dxa"/>
            <w:shd w:val="clear" w:color="auto" w:fill="auto"/>
            <w:vAlign w:val="center"/>
          </w:tcPr>
          <w:p>
            <w:pPr>
              <w:keepNext w:val="0"/>
              <w:keepLines w:val="0"/>
              <w:pageBreakBefore w:val="0"/>
              <w:widowControl w:val="0"/>
              <w:kinsoku/>
              <w:wordWrap/>
              <w:topLinePunct w:val="0"/>
              <w:bidi w:val="0"/>
              <w:spacing w:line="560" w:lineRule="exact"/>
              <w:jc w:val="center"/>
              <w:textAlignment w:val="auto"/>
              <w:rPr>
                <w:rFonts w:ascii="Times New Roman" w:hAnsi="Times New Roman" w:eastAsia="仿宋_GB2312" w:cs="Times New Roman"/>
                <w:b/>
              </w:rPr>
            </w:pPr>
            <w:r>
              <w:rPr>
                <w:rFonts w:hint="eastAsia" w:ascii="Times New Roman" w:hAnsi="Times New Roman" w:eastAsia="方正书宋_GBK"/>
                <w:sz w:val="24"/>
                <w:szCs w:val="24"/>
              </w:rPr>
              <w:t>正科级</w:t>
            </w:r>
          </w:p>
        </w:tc>
        <w:tc>
          <w:tcPr>
            <w:tcW w:w="2902" w:type="dxa"/>
            <w:shd w:val="clear" w:color="auto" w:fill="auto"/>
            <w:vAlign w:val="center"/>
          </w:tcPr>
          <w:p>
            <w:pPr>
              <w:keepNext w:val="0"/>
              <w:keepLines w:val="0"/>
              <w:pageBreakBefore w:val="0"/>
              <w:widowControl w:val="0"/>
              <w:kinsoku/>
              <w:wordWrap/>
              <w:topLinePunct w:val="0"/>
              <w:bidi w:val="0"/>
              <w:spacing w:line="560" w:lineRule="exact"/>
              <w:jc w:val="center"/>
              <w:textAlignment w:val="auto"/>
              <w:rPr>
                <w:rFonts w:ascii="Times New Roman" w:hAnsi="Times New Roman" w:eastAsia="仿宋_GB2312" w:cs="Times New Roman"/>
                <w:b/>
              </w:rPr>
            </w:pPr>
            <w:r>
              <w:rPr>
                <w:rFonts w:hint="eastAsia" w:ascii="Times New Roman" w:hAnsi="Times New Roman" w:eastAsia="方正书宋_GBK"/>
                <w:sz w:val="24"/>
                <w:szCs w:val="24"/>
              </w:rPr>
              <w:t>财政性资金基本保证</w:t>
            </w:r>
          </w:p>
        </w:tc>
      </w:tr>
    </w:tbl>
    <w:p>
      <w:pPr>
        <w:keepNext w:val="0"/>
        <w:keepLines w:val="0"/>
        <w:pageBreakBefore w:val="0"/>
        <w:widowControl w:val="0"/>
        <w:kinsoku/>
        <w:wordWrap/>
        <w:topLinePunct w:val="0"/>
        <w:bidi w:val="0"/>
        <w:spacing w:line="560" w:lineRule="exact"/>
        <w:ind w:firstLine="640" w:firstLineChars="200"/>
        <w:textAlignment w:val="auto"/>
        <w:rPr>
          <w:rFonts w:ascii="Times New Roman" w:hAnsi="Times New Roman" w:eastAsia="仿宋" w:cs="Times New Roman"/>
          <w:color w:val="FF0000"/>
          <w:sz w:val="32"/>
          <w:szCs w:val="32"/>
        </w:rPr>
      </w:pPr>
    </w:p>
    <w:p>
      <w:pPr>
        <w:keepNext w:val="0"/>
        <w:keepLines w:val="0"/>
        <w:pageBreakBefore w:val="0"/>
        <w:widowControl w:val="0"/>
        <w:kinsoku/>
        <w:wordWrap/>
        <w:topLinePunct w:val="0"/>
        <w:bidi w:val="0"/>
        <w:spacing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二、部门预算安排的总体情况</w:t>
      </w:r>
    </w:p>
    <w:p>
      <w:pPr>
        <w:keepNext w:val="0"/>
        <w:keepLines w:val="0"/>
        <w:pageBreakBefore w:val="0"/>
        <w:widowControl w:val="0"/>
        <w:kinsoku/>
        <w:wordWrap/>
        <w:topLinePunct w:val="0"/>
        <w:bidi w:val="0"/>
        <w:spacing w:line="560" w:lineRule="exact"/>
        <w:ind w:firstLine="640" w:firstLineChars="200"/>
        <w:textAlignment w:val="auto"/>
        <w:rPr>
          <w:rFonts w:ascii="Times New Roman" w:hAnsi="Times New Roman" w:eastAsia="仿宋_GB2312" w:cs="Times New Roman"/>
          <w:sz w:val="32"/>
          <w:szCs w:val="32"/>
        </w:rPr>
      </w:pPr>
      <w:r>
        <w:rPr>
          <w:rFonts w:ascii="Times New Roman" w:hAnsi="Times New Roman" w:eastAsia="仿宋_GB2312" w:cs="Times New Roman"/>
          <w:sz w:val="32"/>
          <w:szCs w:val="32"/>
        </w:rPr>
        <w:t>按照预算管理有关规定，目前我</w:t>
      </w:r>
      <w:r>
        <w:rPr>
          <w:rFonts w:hint="eastAsia" w:ascii="Times New Roman" w:hAnsi="Times New Roman" w:eastAsia="仿宋_GB2312" w:cs="Times New Roman"/>
          <w:sz w:val="32"/>
          <w:szCs w:val="32"/>
          <w:lang w:eastAsia="zh-CN"/>
        </w:rPr>
        <w:t>县</w:t>
      </w:r>
      <w:r>
        <w:rPr>
          <w:rFonts w:ascii="Times New Roman" w:hAnsi="Times New Roman" w:eastAsia="仿宋_GB2312" w:cs="Times New Roman"/>
          <w:sz w:val="32"/>
          <w:szCs w:val="32"/>
        </w:rPr>
        <w:t>部门预算的编制实行综合预算制度，即全部收入和支出都反映在预算中。</w:t>
      </w:r>
      <w:r>
        <w:rPr>
          <w:rFonts w:hint="eastAsia" w:ascii="Times New Roman" w:hAnsi="Times New Roman" w:eastAsia="仿宋_GB2312" w:cs="Times New Roman"/>
          <w:sz w:val="32"/>
          <w:szCs w:val="32"/>
          <w:lang w:eastAsia="zh-CN"/>
        </w:rPr>
        <w:t>大城县</w:t>
      </w:r>
      <w:r>
        <w:rPr>
          <w:rFonts w:hint="eastAsia" w:ascii="Times New Roman" w:hAnsi="Times New Roman" w:eastAsia="仿宋_GB2312" w:cs="Times New Roman"/>
          <w:sz w:val="32"/>
          <w:szCs w:val="32"/>
          <w:lang w:val="en-US" w:eastAsia="zh-CN"/>
        </w:rPr>
        <w:t>气象局</w:t>
      </w:r>
      <w:r>
        <w:rPr>
          <w:rFonts w:ascii="Times New Roman" w:hAnsi="Times New Roman" w:eastAsia="仿宋_GB2312" w:cs="Times New Roman"/>
          <w:sz w:val="32"/>
          <w:szCs w:val="32"/>
        </w:rPr>
        <w:t>的收支包含在部门预算中。</w:t>
      </w:r>
    </w:p>
    <w:p>
      <w:pPr>
        <w:keepNext w:val="0"/>
        <w:keepLines w:val="0"/>
        <w:pageBreakBefore w:val="0"/>
        <w:widowControl w:val="0"/>
        <w:kinsoku/>
        <w:wordWrap/>
        <w:topLinePunct w:val="0"/>
        <w:bidi w:val="0"/>
        <w:spacing w:line="560" w:lineRule="exact"/>
        <w:ind w:firstLine="64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反映本部门当年全部收入。2021年预算收入</w:t>
      </w:r>
      <w:r>
        <w:rPr>
          <w:rFonts w:hint="eastAsia" w:ascii="仿宋_GB2312" w:hAnsi="仿宋" w:eastAsia="仿宋_GB2312"/>
          <w:sz w:val="32"/>
          <w:szCs w:val="32"/>
          <w:lang w:val="en-US" w:eastAsia="zh-CN"/>
        </w:rPr>
        <w:t>170.27</w:t>
      </w:r>
      <w:r>
        <w:rPr>
          <w:rFonts w:hint="eastAsia" w:ascii="仿宋_GB2312" w:hAnsi="仿宋" w:eastAsia="仿宋_GB2312"/>
          <w:sz w:val="32"/>
          <w:szCs w:val="32"/>
        </w:rPr>
        <w:t>万元，其中：一般公共预算收入</w:t>
      </w:r>
      <w:r>
        <w:rPr>
          <w:rFonts w:hint="eastAsia" w:ascii="仿宋_GB2312" w:hAnsi="仿宋" w:eastAsia="仿宋_GB2312"/>
          <w:sz w:val="32"/>
          <w:szCs w:val="32"/>
          <w:lang w:val="en-US" w:eastAsia="zh-CN"/>
        </w:rPr>
        <w:t>170.27</w:t>
      </w:r>
      <w:r>
        <w:rPr>
          <w:rFonts w:hint="eastAsia" w:ascii="仿宋_GB2312" w:hAnsi="仿宋" w:eastAsia="仿宋_GB2312"/>
          <w:sz w:val="32"/>
          <w:szCs w:val="32"/>
        </w:rPr>
        <w:t>万元，基金预算收入</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万元，财政专户核拨收入</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万元，其他来源收入</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万元，上年结转</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keepNext w:val="0"/>
        <w:keepLines w:val="0"/>
        <w:pageBreakBefore w:val="0"/>
        <w:widowControl w:val="0"/>
        <w:kinsoku/>
        <w:wordWrap/>
        <w:topLinePunct w:val="0"/>
        <w:bidi w:val="0"/>
        <w:spacing w:line="560" w:lineRule="exact"/>
        <w:ind w:firstLine="64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收支预算总表支出栏、基本支出表、项目支出表按经济分类和支出功能分类科目编制，反映</w:t>
      </w:r>
      <w:r>
        <w:rPr>
          <w:rFonts w:hint="eastAsia" w:ascii="仿宋_GB2312" w:hAnsi="仿宋" w:eastAsia="仿宋_GB2312"/>
          <w:sz w:val="32"/>
          <w:szCs w:val="32"/>
          <w:lang w:eastAsia="zh-CN"/>
        </w:rPr>
        <w:t>我局</w:t>
      </w:r>
      <w:r>
        <w:rPr>
          <w:rFonts w:hint="eastAsia" w:ascii="仿宋_GB2312" w:hAnsi="仿宋" w:eastAsia="仿宋_GB2312"/>
          <w:sz w:val="32"/>
          <w:szCs w:val="32"/>
          <w:lang w:val="en-US" w:eastAsia="zh-CN"/>
        </w:rPr>
        <w:t>2021</w:t>
      </w:r>
      <w:r>
        <w:rPr>
          <w:rFonts w:hint="eastAsia" w:ascii="仿宋_GB2312" w:hAnsi="仿宋" w:eastAsia="仿宋_GB2312"/>
          <w:sz w:val="32"/>
          <w:szCs w:val="32"/>
        </w:rPr>
        <w:t>年度部门预算中支出预算的总体情况。2021年支出预算</w:t>
      </w:r>
      <w:r>
        <w:rPr>
          <w:rFonts w:hint="eastAsia" w:ascii="仿宋_GB2312" w:hAnsi="仿宋" w:eastAsia="仿宋_GB2312"/>
          <w:sz w:val="32"/>
          <w:szCs w:val="32"/>
          <w:lang w:val="en-US" w:eastAsia="zh-CN"/>
        </w:rPr>
        <w:t>170.27</w:t>
      </w:r>
      <w:r>
        <w:rPr>
          <w:rFonts w:hint="eastAsia" w:ascii="仿宋_GB2312" w:hAnsi="仿宋" w:eastAsia="仿宋_GB2312"/>
          <w:sz w:val="32"/>
          <w:szCs w:val="32"/>
        </w:rPr>
        <w:t>万元，其中基本支出</w:t>
      </w:r>
      <w:r>
        <w:rPr>
          <w:rFonts w:hint="eastAsia" w:ascii="仿宋_GB2312" w:hAnsi="仿宋" w:eastAsia="仿宋_GB2312"/>
          <w:sz w:val="32"/>
          <w:szCs w:val="32"/>
          <w:lang w:val="en-US" w:eastAsia="zh-CN"/>
        </w:rPr>
        <w:t>40.21</w:t>
      </w:r>
      <w:r>
        <w:rPr>
          <w:rFonts w:hint="eastAsia" w:ascii="仿宋_GB2312" w:hAnsi="仿宋" w:eastAsia="仿宋_GB2312"/>
          <w:sz w:val="32"/>
          <w:szCs w:val="32"/>
        </w:rPr>
        <w:t>万元，包括人员类项目经费</w:t>
      </w:r>
      <w:r>
        <w:rPr>
          <w:rFonts w:hint="eastAsia" w:ascii="仿宋_GB2312" w:hAnsi="仿宋" w:eastAsia="仿宋_GB2312"/>
          <w:sz w:val="32"/>
          <w:szCs w:val="32"/>
          <w:lang w:val="en-US" w:eastAsia="zh-CN"/>
        </w:rPr>
        <w:t>36.52</w:t>
      </w:r>
      <w:r>
        <w:rPr>
          <w:rFonts w:hint="eastAsia" w:ascii="仿宋_GB2312" w:hAnsi="仿宋" w:eastAsia="仿宋_GB2312"/>
          <w:sz w:val="32"/>
          <w:szCs w:val="32"/>
        </w:rPr>
        <w:t>万元和运转类公用项目经费</w:t>
      </w:r>
      <w:r>
        <w:rPr>
          <w:rFonts w:hint="eastAsia" w:ascii="仿宋_GB2312" w:hAnsi="仿宋" w:eastAsia="仿宋_GB2312"/>
          <w:sz w:val="32"/>
          <w:szCs w:val="32"/>
          <w:lang w:val="en-US" w:eastAsia="zh-CN"/>
        </w:rPr>
        <w:t>3.69</w:t>
      </w:r>
      <w:r>
        <w:rPr>
          <w:rFonts w:hint="eastAsia" w:ascii="仿宋_GB2312" w:hAnsi="仿宋" w:eastAsia="仿宋_GB2312"/>
          <w:sz w:val="32"/>
          <w:szCs w:val="32"/>
        </w:rPr>
        <w:t>万元；运转类其他及特定目标类项目支出</w:t>
      </w:r>
      <w:r>
        <w:rPr>
          <w:rFonts w:hint="eastAsia" w:ascii="仿宋_GB2312" w:hAnsi="仿宋" w:eastAsia="仿宋_GB2312"/>
          <w:sz w:val="32"/>
          <w:szCs w:val="32"/>
          <w:lang w:val="en-US" w:eastAsia="zh-CN"/>
        </w:rPr>
        <w:t>130.06</w:t>
      </w:r>
      <w:r>
        <w:rPr>
          <w:rFonts w:hint="eastAsia" w:ascii="仿宋_GB2312" w:hAnsi="仿宋" w:eastAsia="仿宋_GB2312"/>
          <w:sz w:val="32"/>
          <w:szCs w:val="32"/>
        </w:rPr>
        <w:t>万元，包括本级支出，主要为</w:t>
      </w:r>
      <w:r>
        <w:rPr>
          <w:rFonts w:hint="eastAsia" w:ascii="仿宋_GB2312" w:hAnsi="仿宋" w:eastAsia="仿宋_GB2312"/>
          <w:sz w:val="32"/>
          <w:szCs w:val="32"/>
          <w:lang w:eastAsia="zh-CN"/>
        </w:rPr>
        <w:t>大城县气象局业务用房及配套基础设施建设工程项目、</w:t>
      </w:r>
      <w:r>
        <w:rPr>
          <w:rFonts w:hint="eastAsia" w:ascii="仿宋_GB2312" w:hAnsi="仿宋" w:eastAsia="仿宋_GB2312"/>
          <w:sz w:val="32"/>
          <w:szCs w:val="32"/>
        </w:rPr>
        <w:t>大气污染气象条件预报预测经费、气象灾害防御指挥部维持经费、设备维持经费。</w:t>
      </w:r>
    </w:p>
    <w:p>
      <w:pPr>
        <w:keepNext w:val="0"/>
        <w:keepLines w:val="0"/>
        <w:pageBreakBefore w:val="0"/>
        <w:widowControl w:val="0"/>
        <w:kinsoku/>
        <w:wordWrap/>
        <w:topLinePunct w:val="0"/>
        <w:bidi w:val="0"/>
        <w:spacing w:line="560" w:lineRule="exact"/>
        <w:ind w:firstLine="640"/>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2021年预算收支安排</w:t>
      </w:r>
      <w:r>
        <w:rPr>
          <w:rFonts w:hint="eastAsia" w:ascii="仿宋_GB2312" w:hAnsi="仿宋" w:eastAsia="仿宋_GB2312"/>
          <w:sz w:val="32"/>
          <w:szCs w:val="32"/>
          <w:lang w:val="en-US" w:eastAsia="zh-CN"/>
        </w:rPr>
        <w:t>170.27</w:t>
      </w:r>
      <w:r>
        <w:rPr>
          <w:rFonts w:hint="eastAsia" w:ascii="仿宋_GB2312" w:hAnsi="仿宋" w:eastAsia="仿宋_GB2312"/>
          <w:sz w:val="32"/>
          <w:szCs w:val="32"/>
        </w:rPr>
        <w:t>万元，较2020年预算增加</w:t>
      </w:r>
      <w:r>
        <w:rPr>
          <w:rFonts w:hint="eastAsia" w:ascii="仿宋_GB2312" w:hAnsi="仿宋" w:eastAsia="仿宋_GB2312"/>
          <w:sz w:val="32"/>
          <w:szCs w:val="32"/>
          <w:lang w:val="en-US" w:eastAsia="zh-CN"/>
        </w:rPr>
        <w:t>110.06</w:t>
      </w:r>
      <w:r>
        <w:rPr>
          <w:rFonts w:hint="eastAsia" w:ascii="仿宋_GB2312" w:hAnsi="仿宋" w:eastAsia="仿宋_GB2312"/>
          <w:sz w:val="32"/>
          <w:szCs w:val="32"/>
        </w:rPr>
        <w:t>万元，其中：基本支出增加</w:t>
      </w:r>
      <w:r>
        <w:rPr>
          <w:rFonts w:hint="eastAsia" w:ascii="仿宋_GB2312" w:hAnsi="仿宋" w:eastAsia="仿宋_GB2312"/>
          <w:sz w:val="32"/>
          <w:szCs w:val="32"/>
          <w:lang w:val="en-US" w:eastAsia="zh-CN"/>
        </w:rPr>
        <w:t>0.60</w:t>
      </w:r>
      <w:r>
        <w:rPr>
          <w:rFonts w:hint="eastAsia" w:ascii="仿宋_GB2312" w:hAnsi="仿宋" w:eastAsia="仿宋_GB2312"/>
          <w:sz w:val="32"/>
          <w:szCs w:val="32"/>
        </w:rPr>
        <w:t>万元，主要为</w:t>
      </w:r>
      <w:r>
        <w:rPr>
          <w:rFonts w:hint="eastAsia" w:ascii="仿宋_GB2312" w:hAnsi="仿宋" w:eastAsia="仿宋_GB2312"/>
          <w:sz w:val="32"/>
          <w:szCs w:val="32"/>
          <w:lang w:eastAsia="zh-CN"/>
        </w:rPr>
        <w:t>人员经费</w:t>
      </w:r>
      <w:r>
        <w:rPr>
          <w:rFonts w:hint="eastAsia" w:ascii="仿宋_GB2312" w:hAnsi="仿宋" w:eastAsia="仿宋_GB2312"/>
          <w:sz w:val="32"/>
          <w:szCs w:val="32"/>
        </w:rPr>
        <w:t>支出；项目支出增加</w:t>
      </w:r>
      <w:r>
        <w:rPr>
          <w:rFonts w:hint="eastAsia" w:ascii="仿宋_GB2312" w:hAnsi="仿宋" w:eastAsia="仿宋_GB2312"/>
          <w:sz w:val="32"/>
          <w:szCs w:val="32"/>
          <w:lang w:val="en-US" w:eastAsia="zh-CN"/>
        </w:rPr>
        <w:t>110.00</w:t>
      </w:r>
      <w:r>
        <w:rPr>
          <w:rFonts w:hint="eastAsia" w:ascii="仿宋_GB2312" w:hAnsi="仿宋" w:eastAsia="仿宋_GB2312"/>
          <w:sz w:val="32"/>
          <w:szCs w:val="32"/>
        </w:rPr>
        <w:t>万元，主要为</w:t>
      </w:r>
      <w:r>
        <w:rPr>
          <w:rFonts w:hint="eastAsia" w:ascii="仿宋_GB2312" w:hAnsi="仿宋" w:eastAsia="仿宋_GB2312"/>
          <w:sz w:val="32"/>
          <w:szCs w:val="32"/>
          <w:lang w:eastAsia="zh-CN"/>
        </w:rPr>
        <w:t>大城县气象局业务用房及配套基础设施建设工程项目和自然灾害综合风险普查经费</w:t>
      </w:r>
      <w:r>
        <w:rPr>
          <w:rFonts w:hint="eastAsia" w:ascii="仿宋_GB2312" w:hAnsi="仿宋" w:eastAsia="仿宋_GB2312"/>
          <w:sz w:val="32"/>
          <w:szCs w:val="32"/>
        </w:rPr>
        <w:t>项目支出。</w:t>
      </w:r>
    </w:p>
    <w:p>
      <w:pPr>
        <w:keepNext w:val="0"/>
        <w:keepLines w:val="0"/>
        <w:pageBreakBefore w:val="0"/>
        <w:widowControl w:val="0"/>
        <w:kinsoku/>
        <w:wordWrap/>
        <w:topLinePunct w:val="0"/>
        <w:autoSpaceDE w:val="0"/>
        <w:autoSpaceDN w:val="0"/>
        <w:bidi w:val="0"/>
        <w:adjustRightInd w:val="0"/>
        <w:spacing w:line="560" w:lineRule="exact"/>
        <w:ind w:left="198" w:firstLine="640" w:firstLineChars="200"/>
        <w:jc w:val="left"/>
        <w:textAlignment w:val="auto"/>
        <w:rPr>
          <w:rFonts w:ascii="Times New Roman" w:hAnsi="Times New Roman" w:eastAsia="黑体" w:cs="Times New Roman"/>
          <w:sz w:val="32"/>
          <w:szCs w:val="32"/>
        </w:rPr>
      </w:pPr>
      <w:r>
        <w:rPr>
          <w:rFonts w:ascii="Times New Roman" w:hAnsi="Times New Roman" w:eastAsia="黑体" w:cs="Times New Roman"/>
          <w:sz w:val="32"/>
          <w:szCs w:val="32"/>
        </w:rPr>
        <w:t>三、机关运行经费安排情况</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2021年，我局机关运行经费共计安排</w:t>
      </w:r>
      <w:r>
        <w:rPr>
          <w:rFonts w:hint="eastAsia" w:ascii="仿宋_GB2312" w:hAnsi="仿宋" w:eastAsia="仿宋_GB2312"/>
          <w:sz w:val="32"/>
          <w:szCs w:val="32"/>
          <w:lang w:val="en-US" w:eastAsia="zh-CN"/>
        </w:rPr>
        <w:t>3.69</w:t>
      </w:r>
      <w:r>
        <w:rPr>
          <w:rFonts w:hint="eastAsia" w:ascii="仿宋_GB2312" w:hAnsi="仿宋" w:eastAsia="仿宋_GB2312"/>
          <w:sz w:val="32"/>
          <w:szCs w:val="32"/>
        </w:rPr>
        <w:t>万元，主要用于</w:t>
      </w:r>
      <w:r>
        <w:rPr>
          <w:rFonts w:hint="eastAsia" w:ascii="仿宋_GB2312" w:hAnsi="仿宋" w:eastAsia="仿宋_GB2312"/>
          <w:sz w:val="32"/>
          <w:szCs w:val="32"/>
          <w:lang w:eastAsia="zh-CN"/>
        </w:rPr>
        <w:t>单位</w:t>
      </w:r>
      <w:r>
        <w:rPr>
          <w:rFonts w:hint="eastAsia" w:ascii="仿宋_GB2312" w:hAnsi="仿宋" w:eastAsia="仿宋_GB2312"/>
          <w:sz w:val="32"/>
          <w:szCs w:val="32"/>
        </w:rPr>
        <w:t>办公区的日常维修、办公用房水电费、办公用房取暖费、办公用房物业管理费等日常运行支出。</w:t>
      </w:r>
    </w:p>
    <w:p>
      <w:pPr>
        <w:keepNext w:val="0"/>
        <w:keepLines w:val="0"/>
        <w:pageBreakBefore w:val="0"/>
        <w:widowControl w:val="0"/>
        <w:kinsoku/>
        <w:wordWrap/>
        <w:topLinePunct w:val="0"/>
        <w:autoSpaceDE w:val="0"/>
        <w:autoSpaceDN w:val="0"/>
        <w:bidi w:val="0"/>
        <w:adjustRightInd w:val="0"/>
        <w:spacing w:line="560" w:lineRule="exact"/>
        <w:ind w:firstLine="630" w:firstLineChars="196"/>
        <w:jc w:val="left"/>
        <w:textAlignment w:val="auto"/>
        <w:rPr>
          <w:rFonts w:ascii="Times New Roman" w:hAnsi="Times New Roman" w:eastAsia="仿宋_GB2312" w:cs="Times New Roman"/>
          <w:b/>
          <w:sz w:val="32"/>
          <w:szCs w:val="32"/>
        </w:rPr>
      </w:pPr>
      <w:r>
        <w:rPr>
          <w:rFonts w:ascii="Times New Roman" w:hAnsi="Times New Roman" w:eastAsia="仿宋_GB2312" w:cs="Times New Roman"/>
          <w:b/>
          <w:sz w:val="32"/>
          <w:szCs w:val="32"/>
        </w:rPr>
        <w:t>四、财政拨款“三公”经费预算情况及增减变化原因</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rPr>
      </w:pPr>
      <w:r>
        <w:rPr>
          <w:rFonts w:hint="eastAsia" w:ascii="仿宋_GB2312" w:hAnsi="仿宋" w:eastAsia="仿宋_GB2312"/>
          <w:sz w:val="32"/>
          <w:szCs w:val="32"/>
        </w:rPr>
        <w:t>2021年，我局财政拨款“三公”经费预算安排</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万元。其中，因公出国（境）费。</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万元；公务用车购置及运维费</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万元（其中：公务用车购置费为</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万元，公务用车运维费</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万元)；公务接待费</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万元。与2020年相比持平，无增减变化。</w:t>
      </w:r>
    </w:p>
    <w:p>
      <w:pPr>
        <w:keepNext w:val="0"/>
        <w:keepLines w:val="0"/>
        <w:pageBreakBefore w:val="0"/>
        <w:widowControl w:val="0"/>
        <w:kinsoku/>
        <w:wordWrap/>
        <w:topLinePunct w:val="0"/>
        <w:bidi w:val="0"/>
        <w:spacing w:line="560" w:lineRule="exact"/>
        <w:ind w:firstLine="640" w:firstLineChars="200"/>
        <w:textAlignment w:val="auto"/>
        <w:rPr>
          <w:rFonts w:ascii="Times New Roman" w:hAnsi="Times New Roman" w:eastAsia="黑体" w:cs="Times New Roman"/>
          <w:sz w:val="32"/>
          <w:szCs w:val="32"/>
        </w:rPr>
      </w:pPr>
      <w:r>
        <w:rPr>
          <w:rFonts w:ascii="Times New Roman" w:hAnsi="Times New Roman" w:eastAsia="黑体" w:cs="Times New Roman"/>
          <w:sz w:val="32"/>
          <w:szCs w:val="32"/>
        </w:rPr>
        <w:t>五、绩效预算信息</w:t>
      </w:r>
    </w:p>
    <w:p>
      <w:pPr>
        <w:keepNext w:val="0"/>
        <w:keepLines w:val="0"/>
        <w:pageBreakBefore w:val="0"/>
        <w:widowControl w:val="0"/>
        <w:kinsoku/>
        <w:wordWrap/>
        <w:topLinePunct w:val="0"/>
        <w:bidi w:val="0"/>
        <w:spacing w:line="560" w:lineRule="exact"/>
        <w:ind w:firstLine="640" w:firstLineChars="200"/>
        <w:textAlignment w:val="auto"/>
        <w:rPr>
          <w:rFonts w:ascii="Times New Roman" w:hAnsi="Times New Roman" w:eastAsia="黑体" w:cs="Times New Roman"/>
          <w:sz w:val="32"/>
          <w:szCs w:val="32"/>
        </w:rPr>
      </w:pPr>
      <w:r>
        <w:rPr>
          <w:rFonts w:hint="eastAsia" w:ascii="Times New Roman" w:hAnsi="Times New Roman" w:eastAsia="黑体" w:cs="Times New Roman"/>
          <w:sz w:val="32"/>
          <w:szCs w:val="32"/>
        </w:rPr>
        <w:t>第一部分 部门整体绩效目标</w:t>
      </w:r>
    </w:p>
    <w:p>
      <w:pPr>
        <w:keepNext w:val="0"/>
        <w:keepLines w:val="0"/>
        <w:pageBreakBefore w:val="0"/>
        <w:widowControl w:val="0"/>
        <w:kinsoku/>
        <w:wordWrap/>
        <w:topLinePunct w:val="0"/>
        <w:bidi w:val="0"/>
        <w:spacing w:line="560"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（一）总体绩效目标</w:t>
      </w:r>
    </w:p>
    <w:p>
      <w:pPr>
        <w:keepNext w:val="0"/>
        <w:keepLines w:val="0"/>
        <w:pageBreakBefore w:val="0"/>
        <w:widowControl w:val="0"/>
        <w:kinsoku/>
        <w:wordWrap/>
        <w:topLinePunct w:val="0"/>
        <w:bidi w:val="0"/>
        <w:spacing w:line="560" w:lineRule="exact"/>
        <w:ind w:firstLine="640"/>
        <w:textAlignment w:val="auto"/>
        <w:rPr>
          <w:rFonts w:ascii="Times New Roman" w:hAnsi="Times New Roman" w:eastAsia="仿宋_GB2312" w:cs="Times New Roman"/>
          <w:sz w:val="32"/>
          <w:szCs w:val="32"/>
          <w:lang w:val="en-US" w:eastAsia="zh-CN"/>
        </w:rPr>
      </w:pPr>
      <w:r>
        <w:rPr>
          <w:rFonts w:hint="eastAsia" w:ascii="仿宋_GB2312" w:hAnsi="仿宋" w:eastAsia="仿宋_GB2312"/>
          <w:sz w:val="32"/>
          <w:szCs w:val="32"/>
          <w:lang w:val="en-US" w:eastAsia="zh-CN"/>
        </w:rPr>
        <w:t>以习近平新时代中国特色社会主义思想为指导，认真落实县委、县政府的工作部署，以深化改革为发展动力，以信息化为基础，以智慧气象为重要标准，切实推进气象现代化建设。提升气象灾害预报预警能力，完善突发预警信息发布系统，突发灾害性天气预警提前量达到30分钟；提升全县气象装备保障水平，保障气象网络安全稳定运行时间超过95%。大力提升公共气象服务能力，确保气象服务网站全年正常运行8000小时以上。优化防雷专业气象服务，推进专业服务改革，气象服务满意度稳定在80分以上。加强部门间合作，加强对工业园区、重点企业、特色行业服务，提升气象产业对本地经济发展的直接贡献。</w:t>
      </w:r>
    </w:p>
    <w:p>
      <w:pPr>
        <w:keepNext w:val="0"/>
        <w:keepLines w:val="0"/>
        <w:pageBreakBefore w:val="0"/>
        <w:widowControl w:val="0"/>
        <w:kinsoku/>
        <w:wordWrap/>
        <w:topLinePunct w:val="0"/>
        <w:bidi w:val="0"/>
        <w:spacing w:line="560"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（二）分项绩效目标</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1、气象灾害综合监测能力进一步提升</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绩效目标：建设完善的气象灾害监测站网，保障全县气象灾害监测站网和计算机通信网络正常运行；建立气象灾害预报指标体系和预报预警业务系统，开展气象灾害预警；建立突发事件预警信息发布系统。</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绩效指标：12个气象观测站全部建成温度、雨量多传感器标准系统，综合观测业务可用性平均不低于90%，综合观测数据可用率平均不低于95%。</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2、气象灾害预报预警能力整体增强</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绩效目标：通过招录2名劳务派遣人员，开展开展气象灾害防御中心工作，切实提高气象灾害的防御能力和水平，最大限度地减轻或避免气象灾害造成的人员伤亡、财产损失，为全县经济社会发展提供有力保障。</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 xml:space="preserve">绩效指标：着力提高暴雨预警准确率和强对流天气预警提前量等2个社会关注度最高的天气预报预警项目。其中，暴雨预警准确率达到85%以上，强对流天气预警发布的提前时间达到20分钟。 </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3、气象灾害风险防范能力显著提高</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绩效目标：开展专项气象灾害普查，编制气象灾害风险区划；加大重大气象灾害现场调查，强化灾害风险评估业务；加大基层气象防灾减灾标准化建设，提升基层气象防灾减灾能力。</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绩效指标：完成专项气象灾害普查，数据完备度达60%以上，制作气象灾害风险区划地图；重大气象灾害灾情现场调查率达到50%，完成重大气象灾害风险评估；完成基层人员气象灾害防御能力提升工作。</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4、基层气象台站基础设施得到进一步改善</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绩效目标：通过项目的开展，2022年项目投入使用，解决气象探测环境保护要求与县城西部建设发展之间矛盾，提升县城西部基础设施建设和公共服务水平；有效改善基层气象台站工作环境，优化配套设施环境，气象局业务自动化、现代化程度得到明显提升，气象信息发布能力和气象服务能力得到明显提高。</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绩效指标：工程验收合格率100%，基础设施建成后的利用、使用情况达到95%以上，气象探测环境综合评分95分以上。</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5、气象社会治理能力显著增强</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绩效目标：落实社会管理职能，加快推进“互联网+审批服务”和“线上线下深度融合”，进一步提高审批效率。通过书面检查与双随机抽查相结合的方式，推进防雷重点单位防雷安全检查全覆盖。</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绩效指标：行政许可审批事项全部实现网上办理；双随机执法抽查率达到5%；防雷安全重点单位防雷安全检查覆盖率达到100%。</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6、提升汛期及重大活动气象保障能力</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绩效目标：加强智能网格预报产品和其他数值产品的解释、应用；加强汛期灾害性天气落区预报和重大活动中的时空精细化气象服务，进一步提升汛期及重大活动的气象服务保障能力。</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绩效指标：《河北省集约化综合气象业务平台》稳定运行时间超过98%，智能网格预报产品和其他数值产品在预报业务中得到普遍应用；汛期重大灾害性天气、高影响天气过程不漏报，两会及重要节假日等重大活动决策服务根据需要提前到2～7天。</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7、大气污染气象服务保障能力进一步提升</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绩效目标：强化重污染天气应对气象保障服务，加强环境气象业务支撑能力建设，提升全县大气污染防治气象保障综合能力。</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eastAsia="zh-CN"/>
        </w:rPr>
      </w:pPr>
      <w:r>
        <w:rPr>
          <w:rFonts w:hint="eastAsia" w:ascii="仿宋_GB2312" w:hAnsi="仿宋" w:eastAsia="仿宋_GB2312"/>
          <w:sz w:val="32"/>
          <w:szCs w:val="32"/>
          <w:lang w:eastAsia="zh-CN"/>
        </w:rPr>
        <w:t>绩效指标：开展全县大气污染气象扩散条件预报分析，空气质量预报时效延长到7天；制作发布3种以上环境气象服务产品；与环保局和专家组配合，努力实现重污染天气预警提前2天发布。</w:t>
      </w:r>
    </w:p>
    <w:p>
      <w:pPr>
        <w:keepNext w:val="0"/>
        <w:keepLines w:val="0"/>
        <w:pageBreakBefore w:val="0"/>
        <w:widowControl w:val="0"/>
        <w:kinsoku/>
        <w:wordWrap/>
        <w:topLinePunct w:val="0"/>
        <w:bidi w:val="0"/>
        <w:spacing w:line="560" w:lineRule="exact"/>
        <w:ind w:firstLine="643" w:firstLineChars="200"/>
        <w:textAlignment w:val="auto"/>
        <w:rPr>
          <w:rFonts w:ascii="楷体_GB2312" w:eastAsia="楷体_GB2312" w:cs="Times New Roman"/>
          <w:b/>
          <w:sz w:val="32"/>
          <w:szCs w:val="32"/>
        </w:rPr>
      </w:pPr>
      <w:r>
        <w:rPr>
          <w:rFonts w:hint="eastAsia" w:ascii="楷体_GB2312" w:eastAsia="楷体_GB2312" w:cs="Times New Roman"/>
          <w:b/>
          <w:sz w:val="32"/>
          <w:szCs w:val="32"/>
        </w:rPr>
        <w:t>（三）工作保障措施</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完善财务制度建设。为保证支出规范、资金安全，坚持制度先行。及时梳理部门内控制度，修订完善资金管理办法，建立健全预算绩效管理工作机制。严格执行《大城县气象局业务建设项目管理办法》及信息化项目管理规定，履行相关程序，落实各方责任，规范管理行为，堵塞管理漏洞，防范化解风险隐患。</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加强项目管理。充分发挥业务科室、项目技术专家和社会中介组织的力量，全面参与项目事前论证评审、事中督导评估和事后评价总结的全过程监管，形成多环节全过程的监督管理格局，尽早发现问题解决问题。依托网上报销审批系统，守牢资金支出最后一道防线，杜绝不合规支出，避免和减少损失。</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3、加强绩效运行监控。通过规划重点项目管理平台，对项目申报、初审、论证、评审、审批、实施、验收等全过程进行实时动态监管，及时跟踪目标实现程度和预算执行情况，并对全年绩效目标预期完成情况进行综合判断，发现问题及时纠偏，确保绩效目标如期保质实现。同时，将项目评价结果应用于当年的预算动态调整和第二年度的预算编制，形成滚动闭环预算管理。</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4、做好绩效自评。按要求开展上年度部门预算绩效自评和重点项目自评工作，开展预算项目事前绩效评审，加强预算执行和绩效运行跟踪。各项目责任科室按照年初申报的《项目绩效信息表》填写相应的《项目支出绩效自评表》并撰写相关项目的绩效自评工作总结。对绩效评价中发现的问题及时整改，下一年申报预算项目时调整优化支出结构，强化绩效自评结果应用。</w:t>
      </w:r>
    </w:p>
    <w:p>
      <w:pPr>
        <w:keepNext w:val="0"/>
        <w:keepLines w:val="0"/>
        <w:pageBreakBefore w:val="0"/>
        <w:widowControl w:val="0"/>
        <w:kinsoku/>
        <w:wordWrap/>
        <w:topLinePunct w:val="0"/>
        <w:bidi w:val="0"/>
        <w:snapToGrid w:val="0"/>
        <w:spacing w:line="560" w:lineRule="exact"/>
        <w:ind w:firstLine="640" w:firstLineChars="200"/>
        <w:textAlignment w:val="auto"/>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5、加强宣传培训调研。结合巡视巡察、审计、财务检查等发现的问题，对单位负责人、财务人员、经办人员进行培训，提高业务素质；加强调研，提出优化预算资金配置、提高资金使用效益的意见；加大宣传力度，强化预算绩效管理意识，促进预算绩效管理水平进一步提升。</w:t>
      </w:r>
    </w:p>
    <w:p>
      <w:pPr>
        <w:overflowPunct w:val="0"/>
        <w:adjustRightInd w:val="0"/>
        <w:snapToGrid w:val="0"/>
        <w:spacing w:afterLines="50" w:line="580" w:lineRule="exact"/>
        <w:jc w:val="left"/>
        <w:rPr>
          <w:rFonts w:hint="eastAsia" w:ascii="楷体_GB2312" w:eastAsia="楷体_GB2312" w:cs="Times New Roman"/>
          <w:b/>
          <w:sz w:val="32"/>
          <w:szCs w:val="32"/>
          <w:lang w:eastAsia="zh-CN"/>
        </w:rPr>
      </w:pPr>
    </w:p>
    <w:p>
      <w:pPr>
        <w:overflowPunct w:val="0"/>
        <w:adjustRightInd w:val="0"/>
        <w:snapToGrid w:val="0"/>
        <w:spacing w:afterLines="50" w:line="580" w:lineRule="exact"/>
        <w:ind w:firstLine="630" w:firstLineChars="196"/>
        <w:jc w:val="left"/>
        <w:rPr>
          <w:rFonts w:ascii="楷体_GB2312" w:eastAsia="楷体_GB2312" w:cs="Times New Roman"/>
          <w:b/>
          <w:sz w:val="32"/>
          <w:szCs w:val="32"/>
        </w:rPr>
      </w:pPr>
      <w:r>
        <w:rPr>
          <w:rFonts w:hint="eastAsia" w:ascii="楷体_GB2312" w:eastAsia="楷体_GB2312" w:cs="Times New Roman"/>
          <w:b/>
          <w:sz w:val="32"/>
          <w:szCs w:val="32"/>
        </w:rPr>
        <w:t>（四）部门整体支出绩效指标</w:t>
      </w:r>
    </w:p>
    <w:tbl>
      <w:tblPr>
        <w:tblStyle w:val="8"/>
        <w:tblW w:w="135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1141"/>
        <w:gridCol w:w="1160"/>
        <w:gridCol w:w="2893"/>
        <w:gridCol w:w="2786"/>
        <w:gridCol w:w="2161"/>
        <w:gridCol w:w="589"/>
        <w:gridCol w:w="678"/>
        <w:gridCol w:w="534"/>
        <w:gridCol w:w="1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1141" w:type="dxa"/>
            <w:vMerge w:val="restart"/>
            <w:tcBorders>
              <w:tl2br w:val="nil"/>
              <w:tr2bl w:val="nil"/>
            </w:tcBorders>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一级指标</w:t>
            </w:r>
          </w:p>
        </w:tc>
        <w:tc>
          <w:tcPr>
            <w:tcW w:w="1160" w:type="dxa"/>
            <w:vMerge w:val="restart"/>
            <w:tcBorders>
              <w:tl2br w:val="nil"/>
              <w:tr2bl w:val="nil"/>
            </w:tcBorders>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二级</w:t>
            </w:r>
          </w:p>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指标</w:t>
            </w:r>
          </w:p>
        </w:tc>
        <w:tc>
          <w:tcPr>
            <w:tcW w:w="2893" w:type="dxa"/>
            <w:vMerge w:val="restart"/>
            <w:tcBorders>
              <w:tl2br w:val="nil"/>
              <w:tr2bl w:val="nil"/>
            </w:tcBorders>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三级</w:t>
            </w:r>
          </w:p>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指标</w:t>
            </w:r>
          </w:p>
        </w:tc>
        <w:tc>
          <w:tcPr>
            <w:tcW w:w="2786" w:type="dxa"/>
            <w:vMerge w:val="restart"/>
            <w:tcBorders>
              <w:tl2br w:val="nil"/>
              <w:tr2bl w:val="nil"/>
            </w:tcBorders>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评（扣）分标准</w:t>
            </w:r>
          </w:p>
        </w:tc>
        <w:tc>
          <w:tcPr>
            <w:tcW w:w="2161" w:type="dxa"/>
            <w:vMerge w:val="restart"/>
            <w:tcBorders>
              <w:tl2br w:val="nil"/>
              <w:tr2bl w:val="nil"/>
            </w:tcBorders>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绩效指标</w:t>
            </w:r>
          </w:p>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描述</w:t>
            </w:r>
          </w:p>
        </w:tc>
        <w:tc>
          <w:tcPr>
            <w:tcW w:w="1801" w:type="dxa"/>
            <w:gridSpan w:val="3"/>
            <w:tcBorders>
              <w:tl2br w:val="nil"/>
              <w:tr2bl w:val="nil"/>
            </w:tcBorders>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指标值</w:t>
            </w:r>
          </w:p>
        </w:tc>
        <w:tc>
          <w:tcPr>
            <w:tcW w:w="1607" w:type="dxa"/>
            <w:vMerge w:val="restart"/>
            <w:tcBorders>
              <w:tl2br w:val="nil"/>
              <w:tr2bl w:val="nil"/>
            </w:tcBorders>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指标值</w:t>
            </w:r>
          </w:p>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tblHeader/>
          <w:jc w:val="center"/>
        </w:trPr>
        <w:tc>
          <w:tcPr>
            <w:tcW w:w="1141" w:type="dxa"/>
            <w:vMerge w:val="continue"/>
            <w:tcBorders>
              <w:tl2br w:val="nil"/>
              <w:tr2bl w:val="nil"/>
            </w:tcBorders>
            <w:vAlign w:val="center"/>
          </w:tcPr>
          <w:p>
            <w:pPr>
              <w:rPr>
                <w:rFonts w:hint="eastAsia" w:ascii="仿宋_GB2312" w:hAnsi="仿宋_GB2312" w:eastAsia="仿宋_GB2312" w:cs="仿宋_GB2312"/>
              </w:rPr>
            </w:pPr>
          </w:p>
        </w:tc>
        <w:tc>
          <w:tcPr>
            <w:tcW w:w="1160" w:type="dxa"/>
            <w:vMerge w:val="continue"/>
            <w:tcBorders>
              <w:tl2br w:val="nil"/>
              <w:tr2bl w:val="nil"/>
            </w:tcBorders>
            <w:vAlign w:val="center"/>
          </w:tcPr>
          <w:p>
            <w:pPr>
              <w:rPr>
                <w:rFonts w:hint="eastAsia" w:ascii="仿宋_GB2312" w:hAnsi="仿宋_GB2312" w:eastAsia="仿宋_GB2312" w:cs="仿宋_GB2312"/>
              </w:rPr>
            </w:pPr>
          </w:p>
        </w:tc>
        <w:tc>
          <w:tcPr>
            <w:tcW w:w="2893" w:type="dxa"/>
            <w:vMerge w:val="continue"/>
            <w:tcBorders>
              <w:tl2br w:val="nil"/>
              <w:tr2bl w:val="nil"/>
            </w:tcBorders>
            <w:vAlign w:val="center"/>
          </w:tcPr>
          <w:p>
            <w:pPr>
              <w:rPr>
                <w:rFonts w:hint="eastAsia" w:ascii="仿宋_GB2312" w:hAnsi="仿宋_GB2312" w:eastAsia="仿宋_GB2312" w:cs="仿宋_GB2312"/>
              </w:rPr>
            </w:pPr>
          </w:p>
        </w:tc>
        <w:tc>
          <w:tcPr>
            <w:tcW w:w="2786" w:type="dxa"/>
            <w:vMerge w:val="continue"/>
            <w:tcBorders>
              <w:tl2br w:val="nil"/>
              <w:tr2bl w:val="nil"/>
            </w:tcBorders>
            <w:vAlign w:val="center"/>
          </w:tcPr>
          <w:p>
            <w:pPr>
              <w:rPr>
                <w:rFonts w:hint="eastAsia" w:ascii="仿宋_GB2312" w:hAnsi="仿宋_GB2312" w:eastAsia="仿宋_GB2312" w:cs="仿宋_GB2312"/>
              </w:rPr>
            </w:pPr>
          </w:p>
        </w:tc>
        <w:tc>
          <w:tcPr>
            <w:tcW w:w="2161" w:type="dxa"/>
            <w:vMerge w:val="continue"/>
            <w:tcBorders>
              <w:tl2br w:val="nil"/>
              <w:tr2bl w:val="nil"/>
            </w:tcBorders>
            <w:vAlign w:val="center"/>
          </w:tcPr>
          <w:p>
            <w:pPr>
              <w:rPr>
                <w:rFonts w:hint="eastAsia" w:ascii="仿宋_GB2312" w:hAnsi="仿宋_GB2312" w:eastAsia="仿宋_GB2312" w:cs="仿宋_GB2312"/>
              </w:rPr>
            </w:pPr>
          </w:p>
        </w:tc>
        <w:tc>
          <w:tcPr>
            <w:tcW w:w="589" w:type="dxa"/>
            <w:tcBorders>
              <w:tl2br w:val="nil"/>
              <w:tr2bl w:val="nil"/>
            </w:tcBorders>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符号</w:t>
            </w:r>
          </w:p>
        </w:tc>
        <w:tc>
          <w:tcPr>
            <w:tcW w:w="678" w:type="dxa"/>
            <w:tcBorders>
              <w:tl2br w:val="nil"/>
              <w:tr2bl w:val="nil"/>
            </w:tcBorders>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值</w:t>
            </w:r>
          </w:p>
        </w:tc>
        <w:tc>
          <w:tcPr>
            <w:tcW w:w="534" w:type="dxa"/>
            <w:tcBorders>
              <w:tl2br w:val="nil"/>
              <w:tr2bl w:val="nil"/>
            </w:tcBorders>
            <w:vAlign w:val="center"/>
          </w:tcPr>
          <w:p>
            <w:pPr>
              <w:widowControl/>
              <w:adjustRightInd w:val="0"/>
              <w:snapToGrid w:val="0"/>
              <w:jc w:val="center"/>
              <w:rPr>
                <w:rFonts w:hint="eastAsia" w:ascii="仿宋_GB2312" w:hAnsi="仿宋_GB2312" w:eastAsia="仿宋_GB2312" w:cs="仿宋_GB2312"/>
                <w:b/>
              </w:rPr>
            </w:pPr>
            <w:r>
              <w:rPr>
                <w:rFonts w:hint="eastAsia" w:ascii="仿宋_GB2312" w:hAnsi="仿宋_GB2312" w:eastAsia="仿宋_GB2312" w:cs="仿宋_GB2312"/>
                <w:b/>
              </w:rPr>
              <w:t>单位</w:t>
            </w:r>
          </w:p>
        </w:tc>
        <w:tc>
          <w:tcPr>
            <w:tcW w:w="1607" w:type="dxa"/>
            <w:vMerge w:val="continue"/>
            <w:tcBorders>
              <w:tl2br w:val="nil"/>
              <w:tr2bl w:val="nil"/>
            </w:tcBorders>
            <w:vAlign w:val="center"/>
          </w:tcPr>
          <w:p>
            <w:pPr>
              <w:rPr>
                <w:rFonts w:hint="eastAsia" w:ascii="仿宋_GB2312" w:hAnsi="仿宋_GB2312" w:eastAsia="仿宋_GB2312" w:cs="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1141" w:type="dxa"/>
            <w:vMerge w:val="restart"/>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部门产出</w:t>
            </w:r>
          </w:p>
        </w:tc>
        <w:tc>
          <w:tcPr>
            <w:tcW w:w="1160"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数量</w:t>
            </w:r>
          </w:p>
        </w:tc>
        <w:tc>
          <w:tcPr>
            <w:tcW w:w="2893"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常规设备观测次数</w:t>
            </w:r>
          </w:p>
        </w:tc>
        <w:tc>
          <w:tcPr>
            <w:tcW w:w="2786"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全部完成得满分，每降低指标值的 1%</w:t>
            </w:r>
          </w:p>
        </w:tc>
        <w:tc>
          <w:tcPr>
            <w:tcW w:w="2161"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本部门所有观测设备全年观测温度、压强、风力、湿度的次数</w:t>
            </w:r>
          </w:p>
        </w:tc>
        <w:tc>
          <w:tcPr>
            <w:tcW w:w="589"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678"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8672.00</w:t>
            </w:r>
          </w:p>
        </w:tc>
        <w:tc>
          <w:tcPr>
            <w:tcW w:w="534"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次</w:t>
            </w:r>
          </w:p>
        </w:tc>
        <w:tc>
          <w:tcPr>
            <w:tcW w:w="1607"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统计报表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41" w:type="dxa"/>
            <w:vMerge w:val="continue"/>
            <w:tcBorders>
              <w:tl2br w:val="nil"/>
              <w:tr2bl w:val="nil"/>
            </w:tcBorders>
            <w:vAlign w:val="center"/>
          </w:tcPr>
          <w:p>
            <w:pPr>
              <w:rPr>
                <w:rFonts w:hint="eastAsia" w:ascii="仿宋_GB2312" w:hAnsi="仿宋_GB2312" w:eastAsia="仿宋_GB2312" w:cs="仿宋_GB2312"/>
              </w:rPr>
            </w:pPr>
          </w:p>
        </w:tc>
        <w:tc>
          <w:tcPr>
            <w:tcW w:w="1160"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数量</w:t>
            </w:r>
          </w:p>
        </w:tc>
        <w:tc>
          <w:tcPr>
            <w:tcW w:w="2893"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决策服务产品数量</w:t>
            </w:r>
          </w:p>
        </w:tc>
        <w:tc>
          <w:tcPr>
            <w:tcW w:w="2786"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未达到服务产品期数</w:t>
            </w:r>
          </w:p>
        </w:tc>
        <w:tc>
          <w:tcPr>
            <w:tcW w:w="2161"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各种决策气象服务产品数量</w:t>
            </w:r>
          </w:p>
        </w:tc>
        <w:tc>
          <w:tcPr>
            <w:tcW w:w="589"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678"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30.00</w:t>
            </w:r>
          </w:p>
        </w:tc>
        <w:tc>
          <w:tcPr>
            <w:tcW w:w="534"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期</w:t>
            </w:r>
          </w:p>
        </w:tc>
        <w:tc>
          <w:tcPr>
            <w:tcW w:w="1607"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统计报表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41" w:type="dxa"/>
            <w:vMerge w:val="continue"/>
            <w:tcBorders>
              <w:tl2br w:val="nil"/>
              <w:tr2bl w:val="nil"/>
            </w:tcBorders>
            <w:vAlign w:val="center"/>
          </w:tcPr>
          <w:p>
            <w:pPr>
              <w:rPr>
                <w:rFonts w:hint="eastAsia" w:ascii="仿宋_GB2312" w:hAnsi="仿宋_GB2312" w:eastAsia="仿宋_GB2312" w:cs="仿宋_GB2312"/>
              </w:rPr>
            </w:pPr>
          </w:p>
        </w:tc>
        <w:tc>
          <w:tcPr>
            <w:tcW w:w="1160"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质量</w:t>
            </w:r>
          </w:p>
        </w:tc>
        <w:tc>
          <w:tcPr>
            <w:tcW w:w="2893"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地面气象观测数据的可用率</w:t>
            </w:r>
          </w:p>
        </w:tc>
        <w:tc>
          <w:tcPr>
            <w:tcW w:w="2786"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达到目标值得满分，每降低指标值的 1%</w:t>
            </w:r>
          </w:p>
        </w:tc>
        <w:tc>
          <w:tcPr>
            <w:tcW w:w="2161"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国家级无人自动气象站观测数据的可用比例</w:t>
            </w:r>
          </w:p>
        </w:tc>
        <w:tc>
          <w:tcPr>
            <w:tcW w:w="589"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678"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95.00</w:t>
            </w:r>
          </w:p>
        </w:tc>
        <w:tc>
          <w:tcPr>
            <w:tcW w:w="534"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607" w:type="dxa"/>
            <w:tcBorders>
              <w:tl2br w:val="nil"/>
              <w:tr2bl w:val="nil"/>
            </w:tcBorders>
            <w:vAlign w:val="center"/>
          </w:tcPr>
          <w:p>
            <w:pPr>
              <w:widowControl/>
              <w:adjustRightInd w:val="0"/>
              <w:snapToGrid w:val="0"/>
              <w:rPr>
                <w:rFonts w:hint="eastAsia" w:ascii="仿宋_GB2312" w:hAnsi="仿宋_GB2312" w:eastAsia="仿宋_GB2312" w:cs="仿宋_GB2312"/>
              </w:rPr>
            </w:pPr>
            <w:r>
              <w:rPr>
                <w:rFonts w:hint="eastAsia" w:ascii="仿宋_GB2312" w:hAnsi="仿宋_GB2312" w:eastAsia="仿宋_GB2312" w:cs="仿宋_GB2312"/>
              </w:rPr>
              <w:t>统计报表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1141" w:type="dxa"/>
            <w:vMerge w:val="continue"/>
            <w:tcBorders>
              <w:tl2br w:val="nil"/>
              <w:tr2bl w:val="nil"/>
            </w:tcBorders>
            <w:vAlign w:val="center"/>
          </w:tcPr>
          <w:p/>
        </w:tc>
        <w:tc>
          <w:tcPr>
            <w:tcW w:w="1160"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时效</w:t>
            </w:r>
          </w:p>
        </w:tc>
        <w:tc>
          <w:tcPr>
            <w:tcW w:w="2893"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重要天气预警提前量</w:t>
            </w:r>
          </w:p>
        </w:tc>
        <w:tc>
          <w:tcPr>
            <w:tcW w:w="2786"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重要天气预警信息发布提前时间小于20分钟</w:t>
            </w:r>
          </w:p>
        </w:tc>
        <w:tc>
          <w:tcPr>
            <w:tcW w:w="2161"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重要天气预警提前量</w:t>
            </w:r>
          </w:p>
        </w:tc>
        <w:tc>
          <w:tcPr>
            <w:tcW w:w="589"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678"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20.00</w:t>
            </w:r>
          </w:p>
        </w:tc>
        <w:tc>
          <w:tcPr>
            <w:tcW w:w="534"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分钟</w:t>
            </w:r>
          </w:p>
        </w:tc>
        <w:tc>
          <w:tcPr>
            <w:tcW w:w="1607"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灾害天气过程总结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41" w:type="dxa"/>
            <w:vMerge w:val="continue"/>
            <w:tcBorders>
              <w:tl2br w:val="nil"/>
              <w:tr2bl w:val="nil"/>
            </w:tcBorders>
            <w:vAlign w:val="center"/>
          </w:tcPr>
          <w:p/>
        </w:tc>
        <w:tc>
          <w:tcPr>
            <w:tcW w:w="1160"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成本</w:t>
            </w:r>
          </w:p>
        </w:tc>
        <w:tc>
          <w:tcPr>
            <w:tcW w:w="2893"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项目预算控制数</w:t>
            </w:r>
          </w:p>
        </w:tc>
        <w:tc>
          <w:tcPr>
            <w:tcW w:w="2786"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超预算执行</w:t>
            </w:r>
          </w:p>
        </w:tc>
        <w:tc>
          <w:tcPr>
            <w:tcW w:w="2161"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项目预算控制数</w:t>
            </w:r>
          </w:p>
        </w:tc>
        <w:tc>
          <w:tcPr>
            <w:tcW w:w="589"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678"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130.06</w:t>
            </w:r>
          </w:p>
        </w:tc>
        <w:tc>
          <w:tcPr>
            <w:tcW w:w="534"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万元</w:t>
            </w:r>
          </w:p>
        </w:tc>
        <w:tc>
          <w:tcPr>
            <w:tcW w:w="1607"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预算批复文件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41"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1160"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社会</w:t>
            </w:r>
          </w:p>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效益</w:t>
            </w:r>
          </w:p>
        </w:tc>
        <w:tc>
          <w:tcPr>
            <w:tcW w:w="2893"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气象设备运行正常率</w:t>
            </w:r>
          </w:p>
        </w:tc>
        <w:tc>
          <w:tcPr>
            <w:tcW w:w="2786"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气象设备正常运行率低于98%</w:t>
            </w:r>
          </w:p>
        </w:tc>
        <w:tc>
          <w:tcPr>
            <w:tcW w:w="2161"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气象设备运行正常率</w:t>
            </w:r>
          </w:p>
        </w:tc>
        <w:tc>
          <w:tcPr>
            <w:tcW w:w="589"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678"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98.00</w:t>
            </w:r>
          </w:p>
        </w:tc>
        <w:tc>
          <w:tcPr>
            <w:tcW w:w="534"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607"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统计报表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41" w:type="dxa"/>
            <w:vMerge w:val="continue"/>
            <w:tcBorders>
              <w:tl2br w:val="nil"/>
              <w:tr2bl w:val="nil"/>
            </w:tcBorders>
            <w:vAlign w:val="center"/>
          </w:tcPr>
          <w:p/>
        </w:tc>
        <w:tc>
          <w:tcPr>
            <w:tcW w:w="1160"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社会</w:t>
            </w:r>
          </w:p>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效益</w:t>
            </w:r>
          </w:p>
        </w:tc>
        <w:tc>
          <w:tcPr>
            <w:tcW w:w="2893"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科普宣传覆盖率</w:t>
            </w:r>
          </w:p>
        </w:tc>
        <w:tc>
          <w:tcPr>
            <w:tcW w:w="2786"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达到目标值得满分，每降低指标值的 1%</w:t>
            </w:r>
          </w:p>
        </w:tc>
        <w:tc>
          <w:tcPr>
            <w:tcW w:w="2161"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辖区公众接受气象科普信息覆盖程度</w:t>
            </w:r>
          </w:p>
        </w:tc>
        <w:tc>
          <w:tcPr>
            <w:tcW w:w="589"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678"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80.00</w:t>
            </w:r>
          </w:p>
        </w:tc>
        <w:tc>
          <w:tcPr>
            <w:tcW w:w="534"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607"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活动方案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1141" w:type="dxa"/>
            <w:vMerge w:val="continue"/>
            <w:tcBorders>
              <w:tl2br w:val="nil"/>
              <w:tr2bl w:val="nil"/>
            </w:tcBorders>
            <w:vAlign w:val="center"/>
          </w:tcPr>
          <w:p/>
        </w:tc>
        <w:tc>
          <w:tcPr>
            <w:tcW w:w="1160"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可持续影响</w:t>
            </w:r>
          </w:p>
        </w:tc>
        <w:tc>
          <w:tcPr>
            <w:tcW w:w="2893"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社会大众气象防灾减灾能力的提升</w:t>
            </w:r>
          </w:p>
        </w:tc>
        <w:tc>
          <w:tcPr>
            <w:tcW w:w="2786"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社会大众气象防灾减灾能力未得到有效提升</w:t>
            </w:r>
          </w:p>
        </w:tc>
        <w:tc>
          <w:tcPr>
            <w:tcW w:w="2161"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社会大众气象防灾减灾能力的提升</w:t>
            </w:r>
          </w:p>
        </w:tc>
        <w:tc>
          <w:tcPr>
            <w:tcW w:w="589"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p>
        </w:tc>
        <w:tc>
          <w:tcPr>
            <w:tcW w:w="678"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p>
        </w:tc>
        <w:tc>
          <w:tcPr>
            <w:tcW w:w="534"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提升</w:t>
            </w:r>
          </w:p>
        </w:tc>
        <w:tc>
          <w:tcPr>
            <w:tcW w:w="1607"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年终总结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1141" w:type="dxa"/>
            <w:vMerge w:val="continue"/>
            <w:tcBorders>
              <w:tl2br w:val="nil"/>
              <w:tr2bl w:val="nil"/>
            </w:tcBorders>
            <w:vAlign w:val="center"/>
          </w:tcPr>
          <w:p/>
        </w:tc>
        <w:tc>
          <w:tcPr>
            <w:tcW w:w="1160"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满意度</w:t>
            </w:r>
          </w:p>
        </w:tc>
        <w:tc>
          <w:tcPr>
            <w:tcW w:w="2893" w:type="dxa"/>
            <w:tcBorders>
              <w:tl2br w:val="nil"/>
              <w:tr2bl w:val="nil"/>
            </w:tcBorders>
            <w:noWrap/>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公众气象服务满意度</w:t>
            </w:r>
          </w:p>
        </w:tc>
        <w:tc>
          <w:tcPr>
            <w:tcW w:w="2786" w:type="dxa"/>
            <w:tcBorders>
              <w:tl2br w:val="nil"/>
              <w:tr2bl w:val="nil"/>
            </w:tcBorders>
            <w:noWrap/>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委托第三方公司对公众进行调查，满意度低于95%</w:t>
            </w:r>
          </w:p>
        </w:tc>
        <w:tc>
          <w:tcPr>
            <w:tcW w:w="2161" w:type="dxa"/>
            <w:tcBorders>
              <w:tl2br w:val="nil"/>
              <w:tr2bl w:val="nil"/>
            </w:tcBorders>
            <w:noWrap/>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反映公众利用气象条件趋利避害的能力，气象服务产品的公众满意度</w:t>
            </w:r>
          </w:p>
        </w:tc>
        <w:tc>
          <w:tcPr>
            <w:tcW w:w="589"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678"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9</w:t>
            </w:r>
            <w:r>
              <w:rPr>
                <w:rFonts w:hint="eastAsia" w:ascii="仿宋_GB2312" w:hAnsi="仿宋_GB2312" w:eastAsia="仿宋_GB2312" w:cs="仿宋_GB2312"/>
                <w:lang w:val="en-US" w:eastAsia="zh-CN"/>
              </w:rPr>
              <w:t>5</w:t>
            </w:r>
            <w:r>
              <w:rPr>
                <w:rFonts w:hint="eastAsia" w:ascii="仿宋_GB2312" w:hAnsi="仿宋_GB2312" w:eastAsia="仿宋_GB2312" w:cs="仿宋_GB2312"/>
              </w:rPr>
              <w:t>.00</w:t>
            </w:r>
          </w:p>
        </w:tc>
        <w:tc>
          <w:tcPr>
            <w:tcW w:w="534"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w:t>
            </w:r>
          </w:p>
        </w:tc>
        <w:tc>
          <w:tcPr>
            <w:tcW w:w="1607"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问卷调查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1141" w:type="dxa"/>
            <w:vMerge w:val="continue"/>
            <w:tcBorders>
              <w:tl2br w:val="nil"/>
              <w:tr2bl w:val="nil"/>
            </w:tcBorders>
            <w:vAlign w:val="center"/>
          </w:tcPr>
          <w:p/>
        </w:tc>
        <w:tc>
          <w:tcPr>
            <w:tcW w:w="1160"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满意度</w:t>
            </w:r>
          </w:p>
        </w:tc>
        <w:tc>
          <w:tcPr>
            <w:tcW w:w="2893" w:type="dxa"/>
            <w:tcBorders>
              <w:tl2br w:val="nil"/>
              <w:tr2bl w:val="nil"/>
            </w:tcBorders>
            <w:noWrap/>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专业气象服务满意度</w:t>
            </w:r>
          </w:p>
        </w:tc>
        <w:tc>
          <w:tcPr>
            <w:tcW w:w="2786" w:type="dxa"/>
            <w:tcBorders>
              <w:tl2br w:val="nil"/>
              <w:tr2bl w:val="nil"/>
            </w:tcBorders>
            <w:noWrap/>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委托第三方公司对服务对象进行调查，满意度低于90%</w:t>
            </w:r>
          </w:p>
        </w:tc>
        <w:tc>
          <w:tcPr>
            <w:tcW w:w="2161" w:type="dxa"/>
            <w:tcBorders>
              <w:tl2br w:val="nil"/>
              <w:tr2bl w:val="nil"/>
            </w:tcBorders>
            <w:noWrap/>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专业气象服务满意度</w:t>
            </w:r>
          </w:p>
        </w:tc>
        <w:tc>
          <w:tcPr>
            <w:tcW w:w="589"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rPr>
              <w:t>≧</w:t>
            </w:r>
          </w:p>
        </w:tc>
        <w:tc>
          <w:tcPr>
            <w:tcW w:w="678"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rPr>
              <w:t>9</w:t>
            </w:r>
            <w:r>
              <w:rPr>
                <w:rFonts w:hint="eastAsia" w:ascii="仿宋_GB2312" w:hAnsi="仿宋_GB2312" w:eastAsia="仿宋_GB2312" w:cs="仿宋_GB2312"/>
                <w:lang w:val="en-US" w:eastAsia="zh-CN"/>
              </w:rPr>
              <w:t>0</w:t>
            </w:r>
            <w:r>
              <w:rPr>
                <w:rFonts w:hint="eastAsia" w:ascii="仿宋_GB2312" w:hAnsi="仿宋_GB2312" w:eastAsia="仿宋_GB2312" w:cs="仿宋_GB2312"/>
              </w:rPr>
              <w:t>.00</w:t>
            </w:r>
          </w:p>
        </w:tc>
        <w:tc>
          <w:tcPr>
            <w:tcW w:w="534" w:type="dxa"/>
            <w:tcBorders>
              <w:tl2br w:val="nil"/>
              <w:tr2bl w:val="nil"/>
            </w:tcBorders>
            <w:vAlign w:val="center"/>
          </w:tcPr>
          <w:p>
            <w:pPr>
              <w:widowControl/>
              <w:adjustRightInd w:val="0"/>
              <w:snapToGrid w:val="0"/>
              <w:jc w:val="center"/>
              <w:rPr>
                <w:rFonts w:hint="eastAsia" w:ascii="仿宋_GB2312" w:hAnsi="仿宋_GB2312" w:eastAsia="仿宋_GB2312" w:cs="仿宋_GB2312"/>
                <w:lang w:val="en-US" w:eastAsia="zh-CN"/>
              </w:rPr>
            </w:pPr>
            <w:r>
              <w:rPr>
                <w:rFonts w:hint="eastAsia" w:ascii="仿宋_GB2312" w:hAnsi="仿宋_GB2312" w:eastAsia="仿宋_GB2312" w:cs="仿宋_GB2312"/>
              </w:rPr>
              <w:t>%</w:t>
            </w:r>
          </w:p>
        </w:tc>
        <w:tc>
          <w:tcPr>
            <w:tcW w:w="1607" w:type="dxa"/>
            <w:tcBorders>
              <w:tl2br w:val="nil"/>
              <w:tr2bl w:val="nil"/>
            </w:tcBorders>
            <w:vAlign w:val="center"/>
          </w:tcPr>
          <w:p>
            <w:pPr>
              <w:widowControl/>
              <w:adjustRightInd w:val="0"/>
              <w:snapToGrid w:val="0"/>
              <w:jc w:val="center"/>
              <w:rPr>
                <w:rFonts w:hint="eastAsia" w:ascii="仿宋_GB2312" w:hAnsi="仿宋_GB2312" w:eastAsia="仿宋_GB2312" w:cs="仿宋_GB2312"/>
              </w:rPr>
            </w:pPr>
            <w:r>
              <w:rPr>
                <w:rFonts w:hint="eastAsia" w:ascii="仿宋_GB2312" w:hAnsi="仿宋_GB2312" w:eastAsia="仿宋_GB2312" w:cs="仿宋_GB2312"/>
              </w:rPr>
              <w:t>问卷调查</w:t>
            </w:r>
          </w:p>
        </w:tc>
      </w:tr>
    </w:tbl>
    <w:p>
      <w:pPr>
        <w:spacing w:line="584" w:lineRule="exact"/>
        <w:rPr>
          <w:rFonts w:ascii="仿宋_GB2312" w:eastAsia="仿宋_GB2312" w:cs="Times New Roman"/>
          <w:sz w:val="32"/>
          <w:szCs w:val="32"/>
        </w:rPr>
      </w:pPr>
    </w:p>
    <w:p>
      <w:pPr>
        <w:spacing w:line="584" w:lineRule="exact"/>
        <w:ind w:firstLine="640" w:firstLineChars="200"/>
        <w:rPr>
          <w:rFonts w:hint="eastAsia" w:ascii="Times New Roman" w:hAnsi="Times New Roman" w:eastAsia="黑体" w:cs="Times New Roman"/>
          <w:sz w:val="32"/>
          <w:szCs w:val="32"/>
        </w:rPr>
      </w:pPr>
    </w:p>
    <w:p>
      <w:pPr>
        <w:spacing w:line="584" w:lineRule="exact"/>
        <w:ind w:firstLine="640" w:firstLineChars="200"/>
        <w:rPr>
          <w:rFonts w:ascii="Times New Roman" w:hAnsi="Times New Roman" w:eastAsia="黑体" w:cs="Times New Roman"/>
          <w:sz w:val="32"/>
          <w:szCs w:val="32"/>
        </w:rPr>
      </w:pPr>
      <w:r>
        <w:rPr>
          <w:rFonts w:hint="eastAsia" w:ascii="Times New Roman" w:hAnsi="Times New Roman" w:eastAsia="黑体" w:cs="Times New Roman"/>
          <w:sz w:val="32"/>
          <w:szCs w:val="32"/>
        </w:rPr>
        <w:t>第二部分 资金绩效目标</w:t>
      </w: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rPr>
        <w:t>大气污染气象条件预报预测经费</w:t>
      </w:r>
      <w:r>
        <w:rPr>
          <w:rFonts w:ascii="Times New Roman" w:hAnsi="Times New Roman" w:eastAsia="仿宋_GB2312" w:cs="Times New Roman"/>
          <w:sz w:val="28"/>
        </w:rPr>
        <w:t>绩效目标表</w:t>
      </w:r>
      <w:bookmarkStart w:id="0" w:name="_Toc29799657"/>
      <w:bookmarkEnd w:id="0"/>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1653" w:type="dxa"/>
            <w:gridSpan w:val="5"/>
            <w:shd w:val="clear" w:color="auto" w:fill="auto"/>
            <w:vAlign w:val="center"/>
          </w:tcPr>
          <w:p>
            <w:pPr>
              <w:spacing w:line="300" w:lineRule="exact"/>
              <w:rPr>
                <w:rFonts w:hint="eastAsia" w:ascii="仿宋_GB2312" w:hAnsi="仿宋_GB2312" w:eastAsia="仿宋_GB2312" w:cs="仿宋_GB2312"/>
                <w:b/>
                <w:sz w:val="21"/>
                <w:szCs w:val="21"/>
              </w:rPr>
            </w:pPr>
            <w:r>
              <w:rPr>
                <w:rFonts w:hint="eastAsia" w:ascii="仿宋_GB2312" w:hAnsi="仿宋_GB2312" w:eastAsia="仿宋_GB2312" w:cs="仿宋_GB2312"/>
                <w:color w:val="000000"/>
                <w:kern w:val="0"/>
                <w:sz w:val="21"/>
                <w:szCs w:val="21"/>
              </w:rPr>
              <w:t>通过开展重污染天气的预报预警服务，为大气污染防治工作提供科学依据，通过靠宣传，提高人民气象防灾减灾能力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1843"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15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数量</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重污染天气气象服务专题报告期数</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反映重污染天气气象服务水平和气象保障经济发展的能力</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52</w:t>
            </w:r>
            <w:r>
              <w:rPr>
                <w:rFonts w:hint="eastAsia" w:ascii="仿宋_GB2312" w:hAnsi="仿宋_GB2312" w:eastAsia="仿宋_GB2312" w:cs="仿宋_GB2312"/>
                <w:color w:val="000000"/>
                <w:kern w:val="0"/>
                <w:sz w:val="21"/>
                <w:szCs w:val="21"/>
              </w:rPr>
              <w:t>期</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统计报表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质量</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预报准确率</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预报预警发布的准确率</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90%</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统计报表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时效</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重污染天气预警提前量</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重污染天气预警提前量</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20分钟</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灾害天气过程总结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成本</w:t>
            </w:r>
          </w:p>
        </w:tc>
        <w:tc>
          <w:tcPr>
            <w:tcW w:w="1985" w:type="dxa"/>
            <w:shd w:val="clear" w:color="auto" w:fill="auto"/>
            <w:vAlign w:val="center"/>
          </w:tcPr>
          <w:p>
            <w:pP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预算控制数</w:t>
            </w:r>
          </w:p>
        </w:tc>
        <w:tc>
          <w:tcPr>
            <w:tcW w:w="3402" w:type="dxa"/>
            <w:shd w:val="clear" w:color="auto" w:fill="auto"/>
            <w:vAlign w:val="center"/>
          </w:tcPr>
          <w:p>
            <w:pPr>
              <w:jc w:val="center"/>
              <w:rPr>
                <w:rFonts w:hint="eastAsia" w:ascii="仿宋_GB2312" w:hAnsi="仿宋_GB2312" w:eastAsia="仿宋_GB2312" w:cs="仿宋_GB2312"/>
                <w:kern w:val="2"/>
                <w:sz w:val="21"/>
                <w:szCs w:val="21"/>
                <w:lang w:val="en-US" w:eastAsia="zh-CN" w:bidi="ar-SA"/>
              </w:rPr>
            </w:pPr>
            <w:r>
              <w:rPr>
                <w:rFonts w:hint="eastAsia" w:ascii="仿宋_GB2312" w:hAnsi="仿宋_GB2312" w:eastAsia="仿宋_GB2312" w:cs="仿宋_GB2312"/>
                <w:color w:val="000000"/>
                <w:kern w:val="0"/>
                <w:sz w:val="21"/>
                <w:szCs w:val="21"/>
              </w:rPr>
              <w:t>预算控制数</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sz w:val="21"/>
                <w:szCs w:val="21"/>
              </w:rPr>
              <w:t>≤</w:t>
            </w:r>
            <w:r>
              <w:rPr>
                <w:rFonts w:hint="eastAsia" w:ascii="仿宋_GB2312" w:hAnsi="仿宋_GB2312" w:eastAsia="仿宋_GB2312" w:cs="仿宋_GB2312"/>
                <w:sz w:val="21"/>
                <w:szCs w:val="21"/>
                <w:lang w:val="en-US" w:eastAsia="zh-CN"/>
              </w:rPr>
              <w:t>5万元</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预算批复文件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效果指标</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社会效益</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对大气污染防治产生积极影响</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对大气污染防治产生积极影响</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积极</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年终总结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可持续效益</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社会大众气象防灾减灾能力的提升</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社会大众气象防灾减灾能力的提升</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提升</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年终总结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满意度</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专业气象服务满意度</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专业气象服务满意度</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95%</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满意度</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公众气象服务满意度</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反映公众利用气象条件趋利避害的能力，气象服务产品的公众满意度</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95%</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问卷调查</w:t>
            </w:r>
          </w:p>
        </w:tc>
      </w:tr>
    </w:tbl>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r>
        <w:rPr>
          <w:rFonts w:ascii="Times New Roman" w:hAnsi="Times New Roman" w:eastAsia="仿宋_GB2312" w:cs="Times New Roman"/>
          <w:sz w:val="28"/>
        </w:rPr>
        <w:t>2.</w:t>
      </w:r>
      <w:r>
        <w:rPr>
          <w:rFonts w:hint="eastAsia" w:ascii="Times New Roman" w:hAnsi="Times New Roman" w:eastAsia="仿宋_GB2312" w:cs="Times New Roman"/>
          <w:sz w:val="28"/>
        </w:rPr>
        <w:t>防雷管理经费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1653" w:type="dxa"/>
            <w:gridSpan w:val="5"/>
            <w:shd w:val="clear" w:color="auto" w:fill="auto"/>
            <w:vAlign w:val="center"/>
          </w:tcPr>
          <w:p>
            <w:pPr>
              <w:spacing w:line="300" w:lineRule="exact"/>
              <w:rPr>
                <w:rFonts w:hint="eastAsia" w:ascii="仿宋_GB2312" w:hAnsi="仿宋_GB2312" w:eastAsia="仿宋_GB2312" w:cs="仿宋_GB2312"/>
                <w:b/>
                <w:sz w:val="21"/>
                <w:szCs w:val="21"/>
              </w:rPr>
            </w:pPr>
            <w:r>
              <w:rPr>
                <w:rFonts w:hint="eastAsia" w:ascii="仿宋_GB2312" w:hAnsi="仿宋_GB2312" w:eastAsia="仿宋_GB2312" w:cs="仿宋_GB2312"/>
                <w:color w:val="000000"/>
                <w:kern w:val="0"/>
                <w:sz w:val="21"/>
                <w:szCs w:val="21"/>
              </w:rPr>
              <w:t>通过防雷检查和科普宣传，提高人民的防雷安全意识，保障全县防雷安全。通过项目的开展为防雷装置设计审核和竣工验收行政许可事项委托中介机构进行技术服务，包括防雷装置图纸评价和竣工验收服务检测，实现202</w:t>
            </w:r>
            <w:r>
              <w:rPr>
                <w:rFonts w:hint="eastAsia" w:ascii="仿宋_GB2312" w:hAnsi="仿宋_GB2312" w:eastAsia="仿宋_GB2312" w:cs="仿宋_GB2312"/>
                <w:color w:val="000000"/>
                <w:kern w:val="0"/>
                <w:sz w:val="21"/>
                <w:szCs w:val="21"/>
                <w:lang w:val="en-US" w:eastAsia="zh-CN"/>
              </w:rPr>
              <w:t>1</w:t>
            </w:r>
            <w:r>
              <w:rPr>
                <w:rFonts w:hint="eastAsia" w:ascii="仿宋_GB2312" w:hAnsi="仿宋_GB2312" w:eastAsia="仿宋_GB2312" w:cs="仿宋_GB2312"/>
                <w:color w:val="000000"/>
                <w:kern w:val="0"/>
                <w:sz w:val="21"/>
                <w:szCs w:val="21"/>
              </w:rPr>
              <w:t>年防雷装置设计审核和竣工验收行政许可事项正常开展。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1843"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15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数量</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全年集中开展的防雷安全检查次数</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全年集中开展的防雷安全检查次数</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3次</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质量</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防雷检查企业的百分率</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实际检查的企业占应检查企业的百分率</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100%</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统计报表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时效</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防雷许可的办理时效</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办理防雷行政许可的天数</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3天</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color w:val="000000"/>
                <w:kern w:val="0"/>
                <w:sz w:val="21"/>
                <w:szCs w:val="21"/>
              </w:rPr>
              <w:t>国发〔2016〕11号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成本</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预算控制数</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预算控制数</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3万元</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预算批复文件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效果指标</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社会效益</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人民防雷安全意识和能力的提升</w:t>
            </w:r>
          </w:p>
        </w:tc>
        <w:tc>
          <w:tcPr>
            <w:tcW w:w="3402" w:type="dxa"/>
            <w:shd w:val="clear" w:color="auto" w:fill="auto"/>
            <w:vAlign w:val="center"/>
          </w:tcPr>
          <w:p>
            <w:pPr>
              <w:widowControl/>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人民防雷安全意识和能力的提升</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提升</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年终总结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可持续影响</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审核管理机制健全性</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反映项目单位对第三方的审核管理机制是否健全</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健全</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年终总结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可持续影响</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档案管理机制健全性</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反映档案制度管理机制是否健全</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健全</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年终总结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满意度</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用户使用满意度</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反映调查中用户反馈满意和较满意的数量占调查用户总数量的比率</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90%</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问卷调查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ascii="Times New Roman" w:hAnsi="Times New Roman" w:eastAsia="仿宋_GB2312" w:cs="Times New Roman"/>
          <w:sz w:val="28"/>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3</w:t>
      </w:r>
      <w:r>
        <w:rPr>
          <w:rFonts w:ascii="Times New Roman" w:hAnsi="Times New Roman" w:eastAsia="仿宋_GB2312" w:cs="Times New Roman"/>
          <w:sz w:val="28"/>
        </w:rPr>
        <w:t>.</w:t>
      </w:r>
      <w:r>
        <w:rPr>
          <w:rFonts w:hint="eastAsia" w:ascii="Times New Roman" w:hAnsi="Times New Roman" w:eastAsia="仿宋_GB2312" w:cs="Times New Roman"/>
          <w:sz w:val="28"/>
        </w:rPr>
        <w:t>气象灾害防御指挥部维持经费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1653" w:type="dxa"/>
            <w:gridSpan w:val="5"/>
            <w:shd w:val="clear" w:color="auto" w:fill="auto"/>
            <w:vAlign w:val="center"/>
          </w:tcPr>
          <w:p>
            <w:pPr>
              <w:spacing w:line="300" w:lineRule="exact"/>
              <w:rPr>
                <w:rFonts w:hint="eastAsia" w:ascii="仿宋_GB2312" w:hAnsi="仿宋_GB2312" w:eastAsia="仿宋_GB2312" w:cs="仿宋_GB2312"/>
                <w:b/>
                <w:sz w:val="21"/>
                <w:szCs w:val="21"/>
              </w:rPr>
            </w:pPr>
            <w:r>
              <w:rPr>
                <w:rFonts w:hint="eastAsia" w:ascii="仿宋_GB2312" w:hAnsi="仿宋_GB2312" w:eastAsia="仿宋_GB2312" w:cs="仿宋_GB2312"/>
                <w:color w:val="000000"/>
                <w:kern w:val="0"/>
                <w:sz w:val="21"/>
                <w:szCs w:val="21"/>
              </w:rPr>
              <w:t>召开气象灾害防御指挥部联席会议，部署气象防灾减灾工作；开展气象灾害防御单位检查，确保安全度汛；开展气象信息员的更新入库工作及培训，提高人民气象防灾减灾能力。</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1843"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15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数量</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气象信息员培训次数</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开展</w:t>
            </w:r>
            <w:r>
              <w:rPr>
                <w:rFonts w:hint="eastAsia" w:ascii="仿宋_GB2312" w:hAnsi="仿宋_GB2312" w:eastAsia="仿宋_GB2312" w:cs="仿宋_GB2312"/>
                <w:color w:val="000000"/>
                <w:kern w:val="0"/>
                <w:sz w:val="21"/>
                <w:szCs w:val="21"/>
                <w:lang w:val="en-US" w:eastAsia="zh-CN"/>
              </w:rPr>
              <w:t>气象信息员培训次数</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3次</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质量</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预报准确率</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预报预警发布的准确率</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90%</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统计报表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时效</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信息员更新入库率</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反映</w:t>
            </w:r>
            <w:r>
              <w:rPr>
                <w:rFonts w:hint="eastAsia" w:ascii="仿宋_GB2312" w:hAnsi="仿宋_GB2312" w:eastAsia="仿宋_GB2312" w:cs="仿宋_GB2312"/>
                <w:color w:val="000000"/>
                <w:kern w:val="0"/>
                <w:sz w:val="21"/>
                <w:szCs w:val="21"/>
                <w:lang w:val="en-US" w:eastAsia="zh-CN"/>
              </w:rPr>
              <w:t>更新信息员数量占全部信息员比例</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99%</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统计报表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成本</w:t>
            </w:r>
          </w:p>
        </w:tc>
        <w:tc>
          <w:tcPr>
            <w:tcW w:w="1985" w:type="dxa"/>
            <w:shd w:val="clear" w:color="auto" w:fill="auto"/>
            <w:vAlign w:val="center"/>
          </w:tcPr>
          <w:p>
            <w:pPr>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sz w:val="21"/>
                <w:szCs w:val="21"/>
                <w:lang w:val="en-US" w:eastAsia="zh-CN"/>
              </w:rPr>
              <w:t>预算控制数</w:t>
            </w:r>
          </w:p>
        </w:tc>
        <w:tc>
          <w:tcPr>
            <w:tcW w:w="3402" w:type="dxa"/>
            <w:shd w:val="clear" w:color="auto" w:fill="auto"/>
            <w:vAlign w:val="center"/>
          </w:tcPr>
          <w:p>
            <w:pPr>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sz w:val="21"/>
                <w:szCs w:val="21"/>
                <w:lang w:val="en-US" w:eastAsia="zh-CN"/>
              </w:rPr>
              <w:t>预算控制数</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2万元</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预算批复文件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效果指标</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社会效益</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为科学防灾减灾提供支撑</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为科学防灾减灾提供支撑</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满足</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年终总结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可持续效益</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信息员</w:t>
            </w:r>
            <w:r>
              <w:rPr>
                <w:rFonts w:hint="eastAsia" w:ascii="仿宋_GB2312" w:hAnsi="仿宋_GB2312" w:eastAsia="仿宋_GB2312" w:cs="仿宋_GB2312"/>
                <w:color w:val="000000"/>
                <w:kern w:val="0"/>
                <w:sz w:val="21"/>
                <w:szCs w:val="21"/>
              </w:rPr>
              <w:t>气象防灾减灾能力的提升</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信息员</w:t>
            </w:r>
            <w:r>
              <w:rPr>
                <w:rFonts w:hint="eastAsia" w:ascii="仿宋_GB2312" w:hAnsi="仿宋_GB2312" w:eastAsia="仿宋_GB2312" w:cs="仿宋_GB2312"/>
                <w:color w:val="000000"/>
                <w:kern w:val="0"/>
                <w:sz w:val="21"/>
                <w:szCs w:val="21"/>
              </w:rPr>
              <w:t>气象防灾减灾能力的提升</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提升</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年终总结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满意度</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培训满意度</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受培训人员的满意程度</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96%</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满意度</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公众气象服务满意度</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反映公众利用气象条件趋利避害的能力，气象服务产品的公众满意度</w:t>
            </w:r>
          </w:p>
        </w:tc>
        <w:tc>
          <w:tcPr>
            <w:tcW w:w="1843" w:type="dxa"/>
            <w:shd w:val="clear" w:color="auto" w:fill="auto"/>
            <w:vAlign w:val="center"/>
          </w:tcPr>
          <w:p>
            <w:pPr>
              <w:spacing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95%</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问卷调查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4</w:t>
      </w:r>
      <w:r>
        <w:rPr>
          <w:rFonts w:ascii="Times New Roman" w:hAnsi="Times New Roman" w:eastAsia="仿宋_GB2312" w:cs="Times New Roman"/>
          <w:sz w:val="28"/>
        </w:rPr>
        <w:t>.</w:t>
      </w:r>
      <w:r>
        <w:rPr>
          <w:rFonts w:hint="eastAsia" w:ascii="Times New Roman" w:hAnsi="Times New Roman" w:eastAsia="仿宋_GB2312" w:cs="Times New Roman"/>
          <w:sz w:val="28"/>
        </w:rPr>
        <w:t>设备维持经费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1653" w:type="dxa"/>
            <w:gridSpan w:val="5"/>
            <w:shd w:val="clear" w:color="auto" w:fill="auto"/>
            <w:vAlign w:val="center"/>
          </w:tcPr>
          <w:p>
            <w:pPr>
              <w:spacing w:line="300" w:lineRule="exact"/>
              <w:rPr>
                <w:rFonts w:hint="eastAsia" w:ascii="仿宋_GB2312" w:hAnsi="仿宋_GB2312" w:eastAsia="仿宋_GB2312" w:cs="仿宋_GB2312"/>
                <w:b/>
                <w:sz w:val="21"/>
                <w:szCs w:val="21"/>
              </w:rPr>
            </w:pPr>
            <w:r>
              <w:rPr>
                <w:rFonts w:hint="eastAsia" w:ascii="仿宋_GB2312" w:hAnsi="仿宋_GB2312" w:eastAsia="仿宋_GB2312" w:cs="仿宋_GB2312"/>
                <w:color w:val="000000"/>
                <w:kern w:val="0"/>
                <w:sz w:val="21"/>
                <w:szCs w:val="21"/>
              </w:rPr>
              <w:t>通过项目的开展保障设备的上线率，提高数据的入库率和数据的可用率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1843"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15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数量</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仪器维护次数</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全年维护仪器的次数</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12次</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质量</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地面气象观测数据的可用率</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国家级无人自动气象站观测数据的可用比例</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95%</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统计报表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时效</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气象观测数据入库时间</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气象数据进入数据库所用时间</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1分钟</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统计报表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成本</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预算控制数</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预算控制数</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3万元</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预算批复文件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效果指标</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社会效益</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气象设备运行正常率</w:t>
            </w:r>
          </w:p>
        </w:tc>
        <w:tc>
          <w:tcPr>
            <w:tcW w:w="3402" w:type="dxa"/>
            <w:shd w:val="clear" w:color="auto" w:fill="auto"/>
            <w:vAlign w:val="center"/>
          </w:tcPr>
          <w:p>
            <w:pPr>
              <w:widowControl/>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气象设备运行正常率</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98%</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统计报表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社会效益</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入库数据的可用率</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入库数据的可用率</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98%</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统计报表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可持续影响</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气象设备运行情况</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反映气象设备正常运行情况</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正常</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年终总结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满意度</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受益群体</w:t>
            </w:r>
            <w:r>
              <w:rPr>
                <w:rFonts w:hint="eastAsia" w:ascii="仿宋_GB2312" w:hAnsi="仿宋_GB2312" w:eastAsia="仿宋_GB2312" w:cs="仿宋_GB2312"/>
                <w:color w:val="000000"/>
                <w:kern w:val="0"/>
                <w:sz w:val="21"/>
                <w:szCs w:val="21"/>
              </w:rPr>
              <w:t>满意度</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受益群体调查中，满意和较满意的人数占全部调查人数的比率</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90%</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问卷调查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5</w:t>
      </w:r>
      <w:r>
        <w:rPr>
          <w:rFonts w:ascii="Times New Roman" w:hAnsi="Times New Roman" w:eastAsia="仿宋_GB2312" w:cs="Times New Roman"/>
          <w:sz w:val="28"/>
        </w:rPr>
        <w:t>.</w:t>
      </w:r>
      <w:r>
        <w:rPr>
          <w:rFonts w:hint="eastAsia" w:ascii="Times New Roman" w:hAnsi="Times New Roman" w:eastAsia="仿宋_GB2312" w:cs="Times New Roman"/>
          <w:sz w:val="28"/>
        </w:rPr>
        <w:t>气象灾害防御中心人员经费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1653" w:type="dxa"/>
            <w:gridSpan w:val="5"/>
            <w:shd w:val="clear" w:color="auto" w:fill="auto"/>
            <w:vAlign w:val="center"/>
          </w:tcPr>
          <w:p>
            <w:pPr>
              <w:spacing w:line="300" w:lineRule="exact"/>
              <w:rPr>
                <w:rFonts w:hint="eastAsia" w:ascii="仿宋_GB2312" w:hAnsi="仿宋_GB2312" w:eastAsia="仿宋_GB2312" w:cs="仿宋_GB2312"/>
                <w:b/>
                <w:sz w:val="21"/>
                <w:szCs w:val="21"/>
              </w:rPr>
            </w:pPr>
            <w:r>
              <w:rPr>
                <w:rFonts w:hint="eastAsia" w:ascii="仿宋_GB2312" w:hAnsi="仿宋_GB2312" w:eastAsia="仿宋_GB2312" w:cs="仿宋_GB2312"/>
                <w:color w:val="000000"/>
                <w:kern w:val="0"/>
                <w:sz w:val="21"/>
                <w:szCs w:val="21"/>
              </w:rPr>
              <w:t>通过招录2名劳务派遣人员，开展开展气象灾害防御中心工作，切实提高气象灾害的防御能力和水平，最大限度地减轻或避免气象灾害造成的人员伤亡、财产损失，为全县经济社会发展提供有力保障。</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1843"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15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数量</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劳务派遣人员工资发放次数</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反映劳务派遣人员工资发放的次数</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lang w:val="en-US" w:eastAsia="zh-CN"/>
              </w:rPr>
              <w:t>=12次</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质量</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预报准确率</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预报预警发布的准确率</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85%</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统计报表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时效</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工资发放及时率</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反映工资按时发放的情况</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lang w:val="en-US" w:eastAsia="zh-CN"/>
              </w:rPr>
              <w:t>=100%</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统计报表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成本</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预算控制数</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预算控制数</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7.56万元</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预算批复文件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效果指标</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社会效益</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预报预警提前时间</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反映提高决策气象服务的针对性、敏感性、综合性和实效性</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20分钟</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灾害天气过程总结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可持续效益</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长效管理机制健全性</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反映管理机制健全性的情况</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健全</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年终总结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满意度</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劳务派遣人员满意度</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反映劳务派遣人员对各项待遇的满意程度</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95%</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问卷调查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spacing w:line="300" w:lineRule="exact"/>
              <w:jc w:val="cente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满意度</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服务对象满意度</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服务对象满意度</w:t>
            </w:r>
          </w:p>
        </w:tc>
        <w:tc>
          <w:tcPr>
            <w:tcW w:w="1843" w:type="dxa"/>
            <w:shd w:val="clear" w:color="auto" w:fill="auto"/>
            <w:vAlign w:val="center"/>
          </w:tcPr>
          <w:p>
            <w:pPr>
              <w:spacing w:line="300" w:lineRule="exact"/>
              <w:jc w:val="left"/>
              <w:rPr>
                <w:rFonts w:hint="eastAsia" w:ascii="仿宋_GB2312" w:hAnsi="仿宋_GB2312" w:eastAsia="仿宋_GB2312" w:cs="仿宋_GB2312"/>
                <w:color w:val="000000"/>
                <w:kern w:val="0"/>
                <w:sz w:val="21"/>
                <w:szCs w:val="21"/>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95%</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问卷调查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6</w:t>
      </w:r>
      <w:r>
        <w:rPr>
          <w:rFonts w:ascii="Times New Roman" w:hAnsi="Times New Roman" w:eastAsia="仿宋_GB2312" w:cs="Times New Roman"/>
          <w:sz w:val="28"/>
        </w:rPr>
        <w:t>.</w:t>
      </w:r>
      <w:r>
        <w:rPr>
          <w:rFonts w:hint="eastAsia" w:ascii="Times New Roman" w:hAnsi="Times New Roman" w:eastAsia="仿宋_GB2312" w:cs="Times New Roman"/>
          <w:sz w:val="28"/>
        </w:rPr>
        <w:t>自然灾害综合风险普查经费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1843"/>
        <w:gridCol w:w="21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1653" w:type="dxa"/>
            <w:gridSpan w:val="5"/>
            <w:shd w:val="clear" w:color="auto" w:fill="auto"/>
            <w:vAlign w:val="center"/>
          </w:tcPr>
          <w:p>
            <w:pPr>
              <w:spacing w:line="300" w:lineRule="exact"/>
              <w:rPr>
                <w:rFonts w:hint="eastAsia" w:ascii="仿宋_GB2312" w:hAnsi="仿宋_GB2312" w:eastAsia="仿宋_GB2312" w:cs="仿宋_GB2312"/>
                <w:b/>
                <w:sz w:val="21"/>
                <w:szCs w:val="21"/>
              </w:rPr>
            </w:pPr>
            <w:r>
              <w:rPr>
                <w:rFonts w:hint="eastAsia" w:ascii="仿宋_GB2312" w:hAnsi="仿宋_GB2312" w:eastAsia="仿宋_GB2312" w:cs="仿宋_GB2312"/>
                <w:color w:val="000000"/>
                <w:kern w:val="0"/>
                <w:sz w:val="21"/>
                <w:szCs w:val="21"/>
              </w:rPr>
              <w:t>通过</w:t>
            </w:r>
            <w:r>
              <w:rPr>
                <w:rFonts w:hint="eastAsia" w:ascii="仿宋_GB2312" w:hAnsi="仿宋_GB2312" w:eastAsia="仿宋_GB2312" w:cs="仿宋_GB2312"/>
                <w:color w:val="000000"/>
                <w:kern w:val="0"/>
                <w:sz w:val="21"/>
                <w:szCs w:val="21"/>
                <w:lang w:eastAsia="zh-CN"/>
              </w:rPr>
              <w:t>项目的实施</w:t>
            </w: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eastAsia="zh-CN"/>
              </w:rPr>
              <w:t>摸清灾害风险隐患底数，查明重点区域抗灾能力，客观认识灾害综合风险水平，为政府有效开展自然灾害防治和应急管理工作、切实保障社会可持续发展提供权威的灾害风险信息和科学决策依据。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1843"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215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数量</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调查灾害种类</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完成气象灾害调查的种类</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8类</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年度工作安排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质量</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普查数据错误率</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错误数据占全部普查数据的</w:t>
            </w:r>
            <w:r>
              <w:rPr>
                <w:rFonts w:hint="eastAsia" w:ascii="仿宋_GB2312" w:hAnsi="仿宋_GB2312" w:eastAsia="仿宋_GB2312" w:cs="仿宋_GB2312"/>
                <w:color w:val="000000"/>
                <w:kern w:val="0"/>
                <w:sz w:val="21"/>
                <w:szCs w:val="21"/>
              </w:rPr>
              <w:t>百分率</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3%</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统计报表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时效</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eastAsia="zh-CN"/>
              </w:rPr>
              <w:t>完成普查工作，通过上级审核及时</w:t>
            </w:r>
            <w:r>
              <w:rPr>
                <w:rFonts w:hint="eastAsia" w:ascii="仿宋_GB2312" w:hAnsi="仿宋_GB2312" w:eastAsia="仿宋_GB2312" w:cs="仿宋_GB2312"/>
                <w:color w:val="000000"/>
                <w:kern w:val="0"/>
                <w:sz w:val="21"/>
                <w:szCs w:val="21"/>
                <w:lang w:val="en-US" w:eastAsia="zh-CN"/>
              </w:rPr>
              <w:t>率</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eastAsia="zh-CN"/>
              </w:rPr>
              <w:t>及时完成普查工作，通过上级审核</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lang w:val="en-US" w:eastAsia="zh-CN"/>
              </w:rPr>
              <w:t>=100%</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统计报表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成本</w:t>
            </w:r>
          </w:p>
        </w:tc>
        <w:tc>
          <w:tcPr>
            <w:tcW w:w="1985" w:type="dxa"/>
            <w:shd w:val="clear" w:color="auto" w:fill="auto"/>
            <w:vAlign w:val="center"/>
          </w:tcPr>
          <w:p>
            <w:pPr>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预算控制数</w:t>
            </w:r>
          </w:p>
        </w:tc>
        <w:tc>
          <w:tcPr>
            <w:tcW w:w="3402" w:type="dxa"/>
            <w:shd w:val="clear" w:color="auto" w:fill="auto"/>
            <w:vAlign w:val="center"/>
          </w:tcPr>
          <w:p>
            <w:pPr>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考察项目实施</w:t>
            </w:r>
            <w:r>
              <w:rPr>
                <w:rFonts w:hint="eastAsia" w:ascii="仿宋_GB2312" w:hAnsi="仿宋_GB2312" w:eastAsia="仿宋_GB2312" w:cs="仿宋_GB2312"/>
                <w:color w:val="000000"/>
                <w:kern w:val="0"/>
                <w:sz w:val="21"/>
                <w:szCs w:val="21"/>
                <w:lang w:val="en-US" w:eastAsia="zh-CN"/>
              </w:rPr>
              <w:t>实际使用预算资金情况</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10万元</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预算批复文件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效果指标</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eastAsia="zh-CN"/>
              </w:rPr>
              <w:t>经济效益</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eastAsia="zh-CN"/>
              </w:rPr>
              <w:t>普查数据产品的利用率</w:t>
            </w:r>
          </w:p>
        </w:tc>
        <w:tc>
          <w:tcPr>
            <w:tcW w:w="3402" w:type="dxa"/>
            <w:shd w:val="clear" w:color="auto" w:fill="auto"/>
            <w:vAlign w:val="center"/>
          </w:tcPr>
          <w:p>
            <w:pPr>
              <w:widowControl/>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eastAsia="zh-CN"/>
              </w:rPr>
              <w:t>普查数据产品的利用率</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95%</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统计报表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社会效益</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rPr>
              <w:t>气象灾害风险普查率</w:t>
            </w:r>
          </w:p>
        </w:tc>
        <w:tc>
          <w:tcPr>
            <w:tcW w:w="3402" w:type="dxa"/>
            <w:shd w:val="clear" w:color="auto" w:fill="auto"/>
            <w:vAlign w:val="center"/>
          </w:tcPr>
          <w:p>
            <w:pPr>
              <w:widowControl/>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eastAsia="zh-CN"/>
              </w:rPr>
              <w:t>数据普查覆盖率</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95%</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统计报表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社会效益</w:t>
            </w:r>
          </w:p>
        </w:tc>
        <w:tc>
          <w:tcPr>
            <w:tcW w:w="1985" w:type="dxa"/>
            <w:shd w:val="clear" w:color="auto" w:fill="auto"/>
            <w:vAlign w:val="center"/>
          </w:tcPr>
          <w:p>
            <w:pPr>
              <w:widowControl/>
              <w:jc w:val="both"/>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lang w:val="en-US" w:eastAsia="zh-CN" w:bidi="ar-SA"/>
              </w:rPr>
              <w:t>气象灾害损失</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反映</w:t>
            </w:r>
            <w:r>
              <w:rPr>
                <w:rFonts w:hint="eastAsia" w:ascii="仿宋_GB2312" w:hAnsi="仿宋_GB2312" w:eastAsia="仿宋_GB2312" w:cs="仿宋_GB2312"/>
                <w:color w:val="000000"/>
                <w:kern w:val="0"/>
                <w:sz w:val="21"/>
                <w:szCs w:val="21"/>
                <w:lang w:val="en-US" w:eastAsia="zh-CN"/>
              </w:rPr>
              <w:t>气象灾害造成损失的情况</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降低</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年终总结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满意度</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用户使用满意度</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反映调查中用户反馈满意和较满意的数量占调查用户总数量的比率</w:t>
            </w:r>
          </w:p>
        </w:tc>
        <w:tc>
          <w:tcPr>
            <w:tcW w:w="1843"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90%</w:t>
            </w:r>
          </w:p>
        </w:tc>
        <w:tc>
          <w:tcPr>
            <w:tcW w:w="2155"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问卷调查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ind w:firstLine="560" w:firstLineChars="200"/>
        <w:jc w:val="left"/>
        <w:outlineLvl w:val="1"/>
        <w:rPr>
          <w:rFonts w:hint="eastAsia" w:ascii="Times New Roman" w:hAnsi="Times New Roman" w:eastAsia="仿宋_GB2312" w:cs="Times New Roman"/>
          <w:sz w:val="28"/>
          <w:lang w:val="en-US" w:eastAsia="zh-CN"/>
        </w:rPr>
      </w:pPr>
    </w:p>
    <w:p>
      <w:pPr>
        <w:ind w:firstLine="560" w:firstLineChars="200"/>
        <w:jc w:val="left"/>
        <w:outlineLvl w:val="1"/>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7</w:t>
      </w:r>
      <w:r>
        <w:rPr>
          <w:rFonts w:ascii="Times New Roman" w:hAnsi="Times New Roman" w:eastAsia="仿宋_GB2312" w:cs="Times New Roman"/>
          <w:sz w:val="28"/>
        </w:rPr>
        <w:t>.</w:t>
      </w:r>
      <w:r>
        <w:rPr>
          <w:rFonts w:hint="eastAsia" w:ascii="Times New Roman" w:hAnsi="Times New Roman" w:eastAsia="仿宋_GB2312" w:cs="Times New Roman"/>
          <w:sz w:val="28"/>
        </w:rPr>
        <w:t>大城县气象局业务用房及配套基础设施建设工程资金费</w:t>
      </w:r>
      <w:r>
        <w:rPr>
          <w:rFonts w:ascii="Times New Roman" w:hAnsi="Times New Roman" w:eastAsia="仿宋_GB2312" w:cs="Times New Roman"/>
          <w:sz w:val="28"/>
        </w:rPr>
        <w:t>绩效目标表</w:t>
      </w:r>
      <w:r>
        <w:rPr>
          <w:rFonts w:ascii="Times New Roman" w:hAnsi="Times New Roman" w:eastAsia="仿宋_GB2312" w:cs="Times New Roman"/>
          <w:vanish/>
          <w:sz w:val="28"/>
        </w:rPr>
        <w:t>{ TC 2、办公自动化（OA）和督查督办系统升级及推广费绩效目标表 \f C \l 1 }</w:t>
      </w:r>
    </w:p>
    <w:p>
      <w:pPr>
        <w:spacing w:line="14" w:lineRule="exact"/>
        <w:ind w:firstLine="420" w:firstLineChars="200"/>
        <w:jc w:val="center"/>
        <w:rPr>
          <w:rFonts w:ascii="Times New Roman" w:hAnsi="Times New Roman" w:eastAsia="仿宋_GB2312" w:cs="Times New Roman"/>
        </w:rPr>
      </w:pPr>
    </w:p>
    <w:tbl>
      <w:tblPr>
        <w:tblStyle w:val="8"/>
        <w:tblW w:w="1406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9"/>
        <w:gridCol w:w="2268"/>
        <w:gridCol w:w="1985"/>
        <w:gridCol w:w="3402"/>
        <w:gridCol w:w="2030"/>
        <w:gridCol w:w="19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绩效目标</w:t>
            </w:r>
          </w:p>
        </w:tc>
        <w:tc>
          <w:tcPr>
            <w:tcW w:w="11653" w:type="dxa"/>
            <w:gridSpan w:val="5"/>
            <w:shd w:val="clear" w:color="auto" w:fill="auto"/>
            <w:vAlign w:val="center"/>
          </w:tcPr>
          <w:p>
            <w:pPr>
              <w:spacing w:line="300" w:lineRule="exact"/>
              <w:rPr>
                <w:rFonts w:hint="eastAsia" w:ascii="仿宋_GB2312" w:hAnsi="仿宋_GB2312" w:eastAsia="仿宋_GB2312" w:cs="仿宋_GB2312"/>
                <w:b/>
                <w:sz w:val="21"/>
                <w:szCs w:val="21"/>
              </w:rPr>
            </w:pPr>
            <w:r>
              <w:rPr>
                <w:rFonts w:hint="eastAsia" w:ascii="仿宋_GB2312" w:hAnsi="仿宋_GB2312" w:eastAsia="仿宋_GB2312" w:cs="仿宋_GB2312"/>
                <w:color w:val="000000"/>
                <w:kern w:val="0"/>
                <w:sz w:val="21"/>
                <w:szCs w:val="21"/>
              </w:rPr>
              <w:t>通过项目的开展，2022年项目投入使用，解决气象探测环境保护要求与县城西部建设发展之间矛盾，提升县城西部基础设施建设和公共服务水平；有效改善基层气象台站工作环境，优化配套设施环境，气象局业务自动化、现代化程度得到明显提升，气象信息发布能力和气象服务能力得到明显提高。</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2409"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一级指标</w:t>
            </w:r>
          </w:p>
        </w:tc>
        <w:tc>
          <w:tcPr>
            <w:tcW w:w="22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二级指标</w:t>
            </w:r>
          </w:p>
        </w:tc>
        <w:tc>
          <w:tcPr>
            <w:tcW w:w="1985"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三级指标</w:t>
            </w:r>
          </w:p>
        </w:tc>
        <w:tc>
          <w:tcPr>
            <w:tcW w:w="3402"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绩效指标描述</w:t>
            </w:r>
          </w:p>
        </w:tc>
        <w:tc>
          <w:tcPr>
            <w:tcW w:w="2030"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w:t>
            </w:r>
          </w:p>
        </w:tc>
        <w:tc>
          <w:tcPr>
            <w:tcW w:w="1968" w:type="dxa"/>
            <w:shd w:val="clear" w:color="auto" w:fill="auto"/>
            <w:vAlign w:val="center"/>
          </w:tcPr>
          <w:p>
            <w:pPr>
              <w:spacing w:line="300" w:lineRule="exact"/>
              <w:jc w:val="center"/>
              <w:rPr>
                <w:rFonts w:hint="eastAsia" w:ascii="仿宋_GB2312" w:hAnsi="仿宋_GB2312" w:eastAsia="仿宋_GB2312" w:cs="仿宋_GB2312"/>
                <w:b/>
                <w:sz w:val="21"/>
                <w:szCs w:val="21"/>
              </w:rPr>
            </w:pPr>
            <w:r>
              <w:rPr>
                <w:rFonts w:hint="eastAsia" w:ascii="仿宋_GB2312" w:hAnsi="仿宋_GB2312" w:eastAsia="仿宋_GB2312" w:cs="仿宋_GB2312"/>
                <w:b/>
                <w:sz w:val="21"/>
                <w:szCs w:val="21"/>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产出指标</w:t>
            </w:r>
          </w:p>
        </w:tc>
        <w:tc>
          <w:tcPr>
            <w:tcW w:w="2268" w:type="dxa"/>
            <w:vMerge w:val="restart"/>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数量</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建设工程量</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基础设施建设的建筑面积</w:t>
            </w:r>
          </w:p>
        </w:tc>
        <w:tc>
          <w:tcPr>
            <w:tcW w:w="2030"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rPr>
              <w:t>=1199.47平方米</w:t>
            </w:r>
          </w:p>
        </w:tc>
        <w:tc>
          <w:tcPr>
            <w:tcW w:w="1968" w:type="dxa"/>
            <w:shd w:val="clear" w:color="auto" w:fill="auto"/>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可研报告批复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vMerge w:val="continue"/>
            <w:shd w:val="clear" w:color="auto" w:fill="auto"/>
            <w:vAlign w:val="center"/>
          </w:tcPr>
          <w:p>
            <w:pPr>
              <w:widowControl/>
              <w:jc w:val="center"/>
              <w:rPr>
                <w:rFonts w:hint="eastAsia" w:ascii="仿宋_GB2312" w:hAnsi="仿宋_GB2312" w:eastAsia="仿宋_GB2312" w:cs="仿宋_GB2312"/>
                <w:color w:val="000000"/>
                <w:kern w:val="0"/>
                <w:sz w:val="21"/>
                <w:szCs w:val="21"/>
              </w:rPr>
            </w:pP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rPr>
              <w:t>探测环境评分</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rPr>
              <w:t>气象探测环境综合评分</w:t>
            </w:r>
          </w:p>
        </w:tc>
        <w:tc>
          <w:tcPr>
            <w:tcW w:w="2030" w:type="dxa"/>
            <w:shd w:val="clear" w:color="auto" w:fill="auto"/>
            <w:vAlign w:val="center"/>
          </w:tcPr>
          <w:p>
            <w:pPr>
              <w:spacing w:line="300" w:lineRule="exact"/>
              <w:jc w:val="left"/>
              <w:rPr>
                <w:rFonts w:hint="eastAsia" w:ascii="仿宋_GB2312" w:hAnsi="仿宋_GB2312" w:eastAsia="仿宋_GB2312" w:cs="仿宋_GB2312"/>
                <w:color w:val="000000"/>
                <w:kern w:val="0"/>
                <w:sz w:val="21"/>
                <w:szCs w:val="21"/>
                <w:lang w:val="en-US"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95分</w:t>
            </w:r>
          </w:p>
        </w:tc>
        <w:tc>
          <w:tcPr>
            <w:tcW w:w="1968" w:type="dxa"/>
            <w:shd w:val="clear" w:color="auto" w:fill="auto"/>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探测环境评估报告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质量</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工程验收合格率</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通过验收的工程量占建设总量的比率</w:t>
            </w:r>
          </w:p>
        </w:tc>
        <w:tc>
          <w:tcPr>
            <w:tcW w:w="2030"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lang w:val="en-US" w:eastAsia="zh-CN"/>
              </w:rPr>
              <w:t>=100%</w:t>
            </w:r>
          </w:p>
        </w:tc>
        <w:tc>
          <w:tcPr>
            <w:tcW w:w="1968" w:type="dxa"/>
            <w:shd w:val="clear" w:color="auto" w:fill="auto"/>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工程验收报告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时效</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工程按期完成率</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按期完成的工程量占总工程量的比率</w:t>
            </w:r>
          </w:p>
        </w:tc>
        <w:tc>
          <w:tcPr>
            <w:tcW w:w="2030"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lang w:val="en-US" w:eastAsia="zh-CN"/>
              </w:rPr>
              <w:t>=100%</w:t>
            </w:r>
          </w:p>
        </w:tc>
        <w:tc>
          <w:tcPr>
            <w:tcW w:w="19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工程验收报告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成本</w:t>
            </w:r>
          </w:p>
        </w:tc>
        <w:tc>
          <w:tcPr>
            <w:tcW w:w="1985" w:type="dxa"/>
            <w:shd w:val="clear" w:color="auto" w:fill="auto"/>
            <w:vAlign w:val="center"/>
          </w:tcPr>
          <w:p>
            <w:pPr>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预算控制数</w:t>
            </w:r>
          </w:p>
        </w:tc>
        <w:tc>
          <w:tcPr>
            <w:tcW w:w="3402" w:type="dxa"/>
            <w:shd w:val="clear" w:color="auto" w:fill="auto"/>
            <w:vAlign w:val="center"/>
          </w:tcPr>
          <w:p>
            <w:pPr>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考察项目实施实际使用预算资金情况</w:t>
            </w:r>
          </w:p>
        </w:tc>
        <w:tc>
          <w:tcPr>
            <w:tcW w:w="2030"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100万元</w:t>
            </w:r>
          </w:p>
        </w:tc>
        <w:tc>
          <w:tcPr>
            <w:tcW w:w="19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预算批复文件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restart"/>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效果指标</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社会效益</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基础设施对业务支撑的满足度</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年度建设项目满足本单位气象业务开展所需基础设施需求程度的平均值</w:t>
            </w:r>
          </w:p>
        </w:tc>
        <w:tc>
          <w:tcPr>
            <w:tcW w:w="2030" w:type="dxa"/>
            <w:shd w:val="clear" w:color="auto" w:fill="auto"/>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95%</w:t>
            </w:r>
          </w:p>
        </w:tc>
        <w:tc>
          <w:tcPr>
            <w:tcW w:w="19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年终总结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社会效益</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综合利用率</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基础设施建成后的利用、使用情况</w:t>
            </w:r>
          </w:p>
        </w:tc>
        <w:tc>
          <w:tcPr>
            <w:tcW w:w="2030" w:type="dxa"/>
            <w:shd w:val="clear" w:color="auto" w:fill="auto"/>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95%</w:t>
            </w:r>
          </w:p>
        </w:tc>
        <w:tc>
          <w:tcPr>
            <w:tcW w:w="19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统计报表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vMerge w:val="continue"/>
            <w:shd w:val="clear" w:color="auto" w:fill="auto"/>
            <w:vAlign w:val="center"/>
          </w:tcPr>
          <w:p>
            <w:pPr>
              <w:rPr>
                <w:rFonts w:hint="eastAsia" w:ascii="仿宋_GB2312" w:hAnsi="仿宋_GB2312" w:eastAsia="仿宋_GB2312" w:cs="仿宋_GB2312"/>
                <w:sz w:val="21"/>
                <w:szCs w:val="21"/>
              </w:rPr>
            </w:pP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可持续影响</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气象服务能力提升情况</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相关业务、工作等开展的情况</w:t>
            </w:r>
          </w:p>
        </w:tc>
        <w:tc>
          <w:tcPr>
            <w:tcW w:w="2030" w:type="dxa"/>
            <w:shd w:val="clear" w:color="auto" w:fill="auto"/>
            <w:vAlign w:val="center"/>
          </w:tcPr>
          <w:p>
            <w:pPr>
              <w:spacing w:line="300" w:lineRule="exact"/>
              <w:jc w:val="left"/>
              <w:rPr>
                <w:rFonts w:hint="eastAsia" w:ascii="仿宋_GB2312" w:hAnsi="仿宋_GB2312" w:eastAsia="仿宋_GB2312" w:cs="仿宋_GB2312"/>
                <w:sz w:val="21"/>
                <w:szCs w:val="21"/>
                <w:lang w:eastAsia="zh-CN"/>
              </w:rPr>
            </w:pPr>
            <w:r>
              <w:rPr>
                <w:rFonts w:hint="eastAsia" w:ascii="仿宋_GB2312" w:hAnsi="仿宋_GB2312" w:eastAsia="仿宋_GB2312" w:cs="仿宋_GB2312"/>
                <w:sz w:val="21"/>
                <w:szCs w:val="21"/>
                <w:lang w:eastAsia="zh-CN"/>
              </w:rPr>
              <w:t>提升</w:t>
            </w:r>
          </w:p>
        </w:tc>
        <w:tc>
          <w:tcPr>
            <w:tcW w:w="19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年终总结</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2409" w:type="dxa"/>
            <w:shd w:val="clear" w:color="auto" w:fill="auto"/>
            <w:vAlign w:val="center"/>
          </w:tcPr>
          <w:p>
            <w:pPr>
              <w:spacing w:line="300" w:lineRule="exact"/>
              <w:jc w:val="cente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满意度指标</w:t>
            </w:r>
          </w:p>
        </w:tc>
        <w:tc>
          <w:tcPr>
            <w:tcW w:w="2268"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满意度</w:t>
            </w:r>
          </w:p>
        </w:tc>
        <w:tc>
          <w:tcPr>
            <w:tcW w:w="1985"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受益群体满意度</w:t>
            </w:r>
          </w:p>
        </w:tc>
        <w:tc>
          <w:tcPr>
            <w:tcW w:w="3402" w:type="dxa"/>
            <w:shd w:val="clear" w:color="auto" w:fill="auto"/>
            <w:vAlign w:val="center"/>
          </w:tcPr>
          <w:p>
            <w:pPr>
              <w:widowControl/>
              <w:jc w:val="center"/>
              <w:rPr>
                <w:rFonts w:hint="eastAsia" w:ascii="仿宋_GB2312" w:hAnsi="仿宋_GB2312" w:eastAsia="仿宋_GB2312" w:cs="仿宋_GB2312"/>
                <w:color w:val="000000"/>
                <w:kern w:val="0"/>
                <w:sz w:val="21"/>
                <w:szCs w:val="21"/>
                <w:lang w:val="en-US" w:eastAsia="zh-CN" w:bidi="ar-SA"/>
              </w:rPr>
            </w:pPr>
            <w:r>
              <w:rPr>
                <w:rFonts w:hint="eastAsia" w:ascii="仿宋_GB2312" w:hAnsi="仿宋_GB2312" w:eastAsia="仿宋_GB2312" w:cs="仿宋_GB2312"/>
                <w:color w:val="000000"/>
                <w:kern w:val="0"/>
                <w:sz w:val="21"/>
                <w:szCs w:val="21"/>
              </w:rPr>
              <w:t>本单位职工对项目投入使用的调查中，满意和较满意的人数占全部调查人数的比率</w:t>
            </w:r>
          </w:p>
        </w:tc>
        <w:tc>
          <w:tcPr>
            <w:tcW w:w="2030" w:type="dxa"/>
            <w:shd w:val="clear" w:color="auto" w:fill="auto"/>
            <w:vAlign w:val="center"/>
          </w:tcPr>
          <w:p>
            <w:pPr>
              <w:spacing w:line="300" w:lineRule="exact"/>
              <w:jc w:val="left"/>
              <w:rPr>
                <w:rFonts w:hint="eastAsia" w:ascii="仿宋_GB2312" w:hAnsi="仿宋_GB2312" w:eastAsia="仿宋_GB2312" w:cs="仿宋_GB2312"/>
                <w:sz w:val="21"/>
                <w:szCs w:val="21"/>
                <w:lang w:val="en-US" w:eastAsia="zh-CN"/>
              </w:rPr>
            </w:pPr>
            <w:r>
              <w:rPr>
                <w:rFonts w:hint="eastAsia" w:ascii="仿宋_GB2312" w:hAnsi="仿宋_GB2312" w:eastAsia="仿宋_GB2312" w:cs="仿宋_GB2312"/>
                <w:color w:val="000000"/>
                <w:kern w:val="0"/>
                <w:sz w:val="21"/>
                <w:szCs w:val="21"/>
              </w:rPr>
              <w:t>≥</w:t>
            </w:r>
            <w:r>
              <w:rPr>
                <w:rFonts w:hint="eastAsia" w:ascii="仿宋_GB2312" w:hAnsi="仿宋_GB2312" w:eastAsia="仿宋_GB2312" w:cs="仿宋_GB2312"/>
                <w:color w:val="000000"/>
                <w:kern w:val="0"/>
                <w:sz w:val="21"/>
                <w:szCs w:val="21"/>
                <w:lang w:val="en-US" w:eastAsia="zh-CN"/>
              </w:rPr>
              <w:t>96%</w:t>
            </w:r>
          </w:p>
        </w:tc>
        <w:tc>
          <w:tcPr>
            <w:tcW w:w="1968" w:type="dxa"/>
            <w:shd w:val="clear" w:color="auto" w:fill="auto"/>
            <w:vAlign w:val="center"/>
          </w:tcPr>
          <w:p>
            <w:pPr>
              <w:spacing w:line="300" w:lineRule="exact"/>
              <w:jc w:val="left"/>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问卷调查</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1"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21</w:t>
      </w:r>
      <w:r>
        <w:rPr>
          <w:rFonts w:ascii="Times New Roman" w:hAnsi="Times New Roman" w:eastAsia="仿宋_GB2312" w:cs="Times New Roman"/>
          <w:sz w:val="32"/>
          <w:szCs w:val="24"/>
        </w:rPr>
        <w:t>年，我部门安排政府采购预算</w:t>
      </w:r>
      <w:r>
        <w:rPr>
          <w:rFonts w:hint="eastAsia" w:ascii="Times New Roman" w:hAnsi="Times New Roman" w:eastAsia="仿宋_GB2312" w:cs="Times New Roman"/>
          <w:sz w:val="32"/>
          <w:szCs w:val="24"/>
          <w:lang w:val="en-US" w:eastAsia="zh-CN"/>
        </w:rPr>
        <w:t>65</w:t>
      </w:r>
      <w:r>
        <w:rPr>
          <w:rFonts w:ascii="Times New Roman" w:hAnsi="Times New Roman" w:eastAsia="仿宋_GB2312" w:cs="Times New Roman"/>
          <w:sz w:val="32"/>
          <w:szCs w:val="24"/>
        </w:rPr>
        <w:t>万元。具体内容见下表。</w:t>
      </w:r>
    </w:p>
    <w:bookmarkEnd w:id="1"/>
    <w:p>
      <w:pPr>
        <w:spacing w:line="584" w:lineRule="exact"/>
        <w:jc w:val="left"/>
        <w:outlineLvl w:val="0"/>
        <w:rPr>
          <w:rFonts w:ascii="Times New Roman" w:hAnsi="Times New Roman" w:eastAsia="仿宋_GB2312" w:cs="Times New Roman"/>
        </w:rPr>
      </w:pPr>
    </w:p>
    <w:p>
      <w:pPr>
        <w:jc w:val="center"/>
        <w:outlineLvl w:val="1"/>
        <w:rPr>
          <w:rFonts w:ascii="Times New Roman" w:hAnsi="Times New Roman" w:cs="Times New Roman"/>
          <w:sz w:val="32"/>
        </w:rPr>
      </w:pPr>
      <w:bookmarkStart w:id="2" w:name="_Toc64920910"/>
      <w:r>
        <w:rPr>
          <w:rFonts w:hint="eastAsia" w:ascii="方正小标宋_GBK" w:eastAsia="方正小标宋_GBK" w:cs="Times New Roman"/>
          <w:sz w:val="32"/>
        </w:rPr>
        <w:t>部门政府采购预算</w:t>
      </w:r>
      <w:bookmarkEnd w:id="2"/>
    </w:p>
    <w:tbl>
      <w:tblPr>
        <w:tblStyle w:val="8"/>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vAlign w:val="center"/>
          </w:tcPr>
          <w:p>
            <w:pPr>
              <w:spacing w:line="300" w:lineRule="exact"/>
              <w:jc w:val="left"/>
              <w:rPr>
                <w:rFonts w:hint="default" w:ascii="方正小标宋_GBK" w:eastAsia="方正小标宋_GBK" w:cs="Times New Roman"/>
                <w:sz w:val="24"/>
                <w:lang w:val="en-US" w:eastAsia="zh-CN"/>
              </w:rPr>
            </w:pPr>
            <w:r>
              <w:rPr>
                <w:rFonts w:hint="eastAsia" w:ascii="方正小标宋_GBK" w:eastAsia="方正小标宋_GBK" w:cs="Times New Roman"/>
                <w:sz w:val="24"/>
                <w:lang w:eastAsia="zh-CN"/>
              </w:rPr>
              <w:t>大城县</w:t>
            </w:r>
            <w:r>
              <w:rPr>
                <w:rFonts w:hint="eastAsia" w:ascii="方正小标宋_GBK" w:eastAsia="方正小标宋_GBK" w:cs="Times New Roman"/>
                <w:sz w:val="24"/>
                <w:lang w:val="en-US" w:eastAsia="zh-CN"/>
              </w:rPr>
              <w:t>气象局</w:t>
            </w:r>
          </w:p>
        </w:tc>
        <w:tc>
          <w:tcPr>
            <w:tcW w:w="6804" w:type="dxa"/>
            <w:gridSpan w:val="6"/>
            <w:tcBorders>
              <w:top w:val="single" w:color="FFFFFF" w:sz="6" w:space="0"/>
              <w:left w:val="single" w:color="FFFFFF" w:sz="6" w:space="0"/>
              <w:right w:val="single" w:color="FFFFFF" w:sz="6" w:space="0"/>
            </w:tcBorders>
            <w:shd w:val="clear" w:color="auto" w:fill="auto"/>
            <w:vAlign w:val="center"/>
          </w:tcPr>
          <w:p>
            <w:pPr>
              <w:spacing w:line="300" w:lineRule="exact"/>
              <w:jc w:val="right"/>
              <w:rPr>
                <w:rFonts w:ascii="方正书宋_GBK" w:eastAsia="方正书宋_GBK" w:cs="Times New Roman"/>
                <w:sz w:val="24"/>
              </w:rPr>
            </w:pPr>
            <w:r>
              <w:rPr>
                <w:rFonts w:ascii="方正书宋_GBK" w:eastAsia="方正书宋_GBK" w:cs="Times New Roman"/>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政府采购项目来源</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采购物品名称</w:t>
            </w:r>
          </w:p>
        </w:tc>
        <w:tc>
          <w:tcPr>
            <w:tcW w:w="1531"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政府采购目录序号</w:t>
            </w:r>
          </w:p>
        </w:tc>
        <w:tc>
          <w:tcPr>
            <w:tcW w:w="709"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计量  单位</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数量</w:t>
            </w:r>
          </w:p>
        </w:tc>
        <w:tc>
          <w:tcPr>
            <w:tcW w:w="907" w:type="dxa"/>
            <w:vMerge w:val="restart"/>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单价</w:t>
            </w:r>
          </w:p>
        </w:tc>
        <w:tc>
          <w:tcPr>
            <w:tcW w:w="6804" w:type="dxa"/>
            <w:gridSpan w:val="6"/>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项目名称</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预算资金</w:t>
            </w:r>
          </w:p>
        </w:tc>
        <w:tc>
          <w:tcPr>
            <w:tcW w:w="1531" w:type="dxa"/>
            <w:vMerge w:val="continue"/>
            <w:shd w:val="clear" w:color="auto" w:fill="auto"/>
            <w:vAlign w:val="center"/>
          </w:tcPr>
          <w:p/>
        </w:tc>
        <w:tc>
          <w:tcPr>
            <w:tcW w:w="1531" w:type="dxa"/>
            <w:vMerge w:val="continue"/>
            <w:shd w:val="clear" w:color="auto" w:fill="auto"/>
            <w:vAlign w:val="center"/>
          </w:tcPr>
          <w:p/>
        </w:tc>
        <w:tc>
          <w:tcPr>
            <w:tcW w:w="709" w:type="dxa"/>
            <w:vMerge w:val="continue"/>
            <w:shd w:val="clear" w:color="auto" w:fill="auto"/>
            <w:vAlign w:val="center"/>
          </w:tcPr>
          <w:p/>
        </w:tc>
        <w:tc>
          <w:tcPr>
            <w:tcW w:w="907" w:type="dxa"/>
            <w:vMerge w:val="continue"/>
            <w:shd w:val="clear" w:color="auto" w:fill="auto"/>
            <w:vAlign w:val="center"/>
          </w:tcPr>
          <w:p/>
        </w:tc>
        <w:tc>
          <w:tcPr>
            <w:tcW w:w="907" w:type="dxa"/>
            <w:vMerge w:val="continue"/>
            <w:shd w:val="clear" w:color="auto" w:fill="auto"/>
            <w:vAlign w:val="center"/>
          </w:tcP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合计</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一般公共预算拨款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基金预算拨款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国有资本经营预算拨款</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财政专户核拨</w:t>
            </w:r>
          </w:p>
        </w:tc>
        <w:tc>
          <w:tcPr>
            <w:tcW w:w="113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ascii="方正书宋_GBK" w:eastAsia="方正书宋_GBK" w:cs="Times New Roman"/>
                <w:b/>
              </w:rPr>
              <w:t>合  计</w:t>
            </w:r>
          </w:p>
        </w:tc>
        <w:tc>
          <w:tcPr>
            <w:tcW w:w="1134" w:type="dxa"/>
            <w:shd w:val="clear" w:color="auto" w:fill="auto"/>
            <w:vAlign w:val="center"/>
          </w:tcPr>
          <w:p>
            <w:pPr>
              <w:spacing w:line="300" w:lineRule="exact"/>
              <w:jc w:val="righ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1531" w:type="dxa"/>
            <w:shd w:val="clear" w:color="auto" w:fill="auto"/>
            <w:vAlign w:val="center"/>
          </w:tcPr>
          <w:p>
            <w:pPr>
              <w:spacing w:line="300" w:lineRule="exact"/>
              <w:jc w:val="left"/>
              <w:rPr>
                <w:rFonts w:ascii="方正书宋_GBK" w:eastAsia="方正书宋_GBK" w:cs="Times New Roman"/>
                <w:b/>
              </w:rPr>
            </w:pPr>
          </w:p>
        </w:tc>
        <w:tc>
          <w:tcPr>
            <w:tcW w:w="709" w:type="dxa"/>
            <w:shd w:val="clear" w:color="auto" w:fill="auto"/>
            <w:vAlign w:val="center"/>
          </w:tcPr>
          <w:p>
            <w:pPr>
              <w:spacing w:line="300" w:lineRule="exact"/>
              <w:jc w:val="center"/>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eastAsia="方正书宋_GBK" w:cs="Times New Roman"/>
                <w:b/>
              </w:rPr>
            </w:pP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65.00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65.00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vAlign w:val="center"/>
          </w:tcPr>
          <w:p>
            <w:pPr>
              <w:spacing w:line="300" w:lineRule="exact"/>
              <w:jc w:val="center"/>
              <w:rPr>
                <w:rFonts w:ascii="方正书宋_GBK" w:eastAsia="方正书宋_GBK" w:cs="Times New Roman"/>
                <w:b/>
              </w:rPr>
            </w:pPr>
            <w:r>
              <w:rPr>
                <w:rFonts w:hint="eastAsia" w:ascii="方正书宋_GBK" w:eastAsia="方正书宋_GBK"/>
              </w:rPr>
              <w:t>大城县气象局业务用房及配套基础设施建设工程项目资金</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100.00</w:t>
            </w:r>
          </w:p>
        </w:tc>
        <w:tc>
          <w:tcPr>
            <w:tcW w:w="15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hint="eastAsia" w:ascii="方正书宋_GBK" w:eastAsia="方正书宋_GBK"/>
              </w:rPr>
              <w:t>事业单位用房</w:t>
            </w:r>
          </w:p>
        </w:tc>
        <w:tc>
          <w:tcPr>
            <w:tcW w:w="1531" w:type="dxa"/>
            <w:shd w:val="clear" w:color="auto" w:fill="auto"/>
            <w:vAlign w:val="center"/>
          </w:tcPr>
          <w:p>
            <w:pPr>
              <w:spacing w:line="300" w:lineRule="exact"/>
              <w:jc w:val="left"/>
              <w:rPr>
                <w:rFonts w:ascii="方正书宋_GBK" w:hAnsi="Calibri" w:eastAsia="方正书宋_GBK" w:cs="Arial"/>
                <w:kern w:val="2"/>
                <w:sz w:val="21"/>
                <w:szCs w:val="22"/>
                <w:lang w:val="en-US" w:eastAsia="zh-CN" w:bidi="ar-SA"/>
              </w:rPr>
            </w:pPr>
            <w:r>
              <w:rPr>
                <w:rFonts w:ascii="方正书宋_GBK" w:eastAsia="方正书宋_GBK"/>
              </w:rPr>
              <w:t>A010206</w:t>
            </w:r>
          </w:p>
        </w:tc>
        <w:tc>
          <w:tcPr>
            <w:tcW w:w="709" w:type="dxa"/>
            <w:shd w:val="clear" w:color="auto" w:fill="auto"/>
            <w:vAlign w:val="center"/>
          </w:tcPr>
          <w:p>
            <w:pPr>
              <w:spacing w:line="300" w:lineRule="exact"/>
              <w:jc w:val="center"/>
              <w:rPr>
                <w:rFonts w:ascii="方正书宋_GBK" w:hAnsi="Calibri" w:eastAsia="方正书宋_GBK" w:cs="Arial"/>
                <w:kern w:val="2"/>
                <w:sz w:val="21"/>
                <w:szCs w:val="22"/>
                <w:lang w:val="en-US" w:eastAsia="zh-CN" w:bidi="ar-SA"/>
              </w:rPr>
            </w:pPr>
            <w:r>
              <w:rPr>
                <w:rFonts w:hint="eastAsia" w:ascii="方正书宋_GBK" w:eastAsia="方正书宋_GBK"/>
              </w:rPr>
              <w:t>平方米</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1</w:t>
            </w:r>
          </w:p>
        </w:tc>
        <w:tc>
          <w:tcPr>
            <w:tcW w:w="907"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65.00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65.00</w:t>
            </w:r>
          </w:p>
        </w:tc>
        <w:tc>
          <w:tcPr>
            <w:tcW w:w="1134" w:type="dxa"/>
            <w:shd w:val="clear" w:color="auto" w:fill="auto"/>
            <w:vAlign w:val="center"/>
          </w:tcPr>
          <w:p>
            <w:pPr>
              <w:spacing w:line="300" w:lineRule="exact"/>
              <w:jc w:val="right"/>
              <w:rPr>
                <w:rFonts w:ascii="方正书宋_GBK" w:hAnsi="Calibri" w:eastAsia="方正书宋_GBK" w:cs="Arial"/>
                <w:kern w:val="2"/>
                <w:sz w:val="21"/>
                <w:szCs w:val="22"/>
                <w:lang w:val="en-US" w:eastAsia="zh-CN" w:bidi="ar-SA"/>
              </w:rPr>
            </w:pPr>
            <w:r>
              <w:rPr>
                <w:rFonts w:ascii="方正书宋_GBK" w:eastAsia="方正书宋_GBK"/>
              </w:rPr>
              <w:t>65.00</w:t>
            </w: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c>
          <w:tcPr>
            <w:tcW w:w="1134" w:type="dxa"/>
            <w:shd w:val="clear" w:color="auto" w:fill="auto"/>
            <w:vAlign w:val="center"/>
          </w:tcPr>
          <w:p>
            <w:pPr>
              <w:spacing w:line="300" w:lineRule="exact"/>
              <w:jc w:val="right"/>
              <w:rPr>
                <w:rFonts w:ascii="方正书宋_GBK" w:eastAsia="方正书宋_GBK" w:cs="Times New Roman"/>
                <w:b/>
              </w:rPr>
            </w:pPr>
          </w:p>
        </w:tc>
      </w:tr>
    </w:tbl>
    <w:p>
      <w:pPr>
        <w:spacing w:line="584" w:lineRule="exact"/>
        <w:jc w:val="left"/>
        <w:outlineLvl w:val="0"/>
        <w:rPr>
          <w:rFonts w:ascii="Times New Roman" w:hAnsi="Times New Roman" w:eastAsia="仿宋_GB2312" w:cs="Times New Roman"/>
        </w:rPr>
        <w:sectPr>
          <w:footerReference r:id="rId3" w:type="default"/>
          <w:pgSz w:w="16839" w:h="11907" w:orient="landscape"/>
          <w:pgMar w:top="1361" w:right="1020" w:bottom="1361" w:left="1020" w:header="851" w:footer="992" w:gutter="0"/>
          <w:cols w:space="720"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hint="eastAsia" w:ascii="Times New Roman" w:hAnsi="Times New Roman" w:eastAsia="仿宋_GB2312" w:cs="Times New Roman"/>
          <w:sz w:val="32"/>
          <w:szCs w:val="32"/>
          <w:lang w:eastAsia="zh-CN"/>
        </w:rPr>
        <w:t>我局</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0.00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，本年度我部门拟购置固定资产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，已列入政府采购预算</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详见</w:t>
      </w:r>
      <w:r>
        <w:rPr>
          <w:rFonts w:hint="eastAsia" w:ascii="Times New Roman" w:hAnsi="Times New Roman" w:eastAsia="仿宋_GB2312" w:cs="Times New Roman"/>
          <w:sz w:val="32"/>
          <w:szCs w:val="32"/>
        </w:rPr>
        <w:t>政府采购</w:t>
      </w:r>
      <w:r>
        <w:rPr>
          <w:rFonts w:ascii="Times New Roman" w:hAnsi="Times New Roman" w:eastAsia="仿宋_GB2312" w:cs="Times New Roman"/>
          <w:sz w:val="32"/>
          <w:szCs w:val="32"/>
        </w:rPr>
        <w:t>预算表。</w:t>
      </w:r>
      <w:bookmarkStart w:id="3" w:name="_GoBack"/>
      <w:bookmarkEnd w:id="3"/>
    </w:p>
    <w:p>
      <w:pPr>
        <w:spacing w:line="584" w:lineRule="exact"/>
        <w:ind w:firstLine="640"/>
        <w:rPr>
          <w:rFonts w:ascii="Times New Roman" w:hAnsi="Times New Roman" w:eastAsia="仿宋_GB2312" w:cs="Times New Roman"/>
          <w:sz w:val="32"/>
          <w:szCs w:val="32"/>
        </w:rPr>
      </w:pPr>
    </w:p>
    <w:tbl>
      <w:tblPr>
        <w:tblStyle w:val="8"/>
        <w:tblW w:w="13325"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大城县部</w:t>
            </w:r>
            <w:r>
              <w:rPr>
                <w:rFonts w:ascii="Times New Roman" w:hAnsi="Times New Roman" w:eastAsia="仿宋_GB2312" w:cs="Times New Roman"/>
                <w:b/>
                <w:bCs/>
                <w:kern w:val="0"/>
                <w:sz w:val="32"/>
                <w:szCs w:val="32"/>
              </w:rPr>
              <w:t>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eastAsia="zh-CN"/>
              </w:rPr>
              <w:t>大城县气象局</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20</w:t>
            </w:r>
            <w:r>
              <w:rPr>
                <w:rFonts w:ascii="Times New Roman" w:hAnsi="Times New Roman" w:eastAsia="仿宋_GB2312" w:cs="Times New Roman"/>
                <w:kern w:val="0"/>
                <w:sz w:val="22"/>
              </w:rPr>
              <w:t xml:space="preserve">年12月31日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eastAsia" w:ascii="Times New Roman" w:hAnsi="Times New Roman" w:eastAsia="仿宋_GB2312" w:cs="Times New Roman"/>
                <w:sz w:val="22"/>
                <w:lang w:val="en-US" w:eastAsia="zh-CN"/>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p>
        </w:tc>
      </w:tr>
    </w:tbl>
    <w:p>
      <w:pPr>
        <w:ind w:firstLine="420" w:firstLineChars="200"/>
        <w:jc w:val="left"/>
        <w:rPr>
          <w:rFonts w:hint="eastAsia" w:ascii="黑体" w:hAnsi="黑体" w:eastAsia="黑体" w:cs="黑体"/>
        </w:rPr>
      </w:pPr>
      <w:r>
        <w:rPr>
          <w:rFonts w:hint="eastAsia" w:ascii="黑体" w:hAnsi="黑体" w:eastAsia="黑体" w:cs="黑体"/>
        </w:rPr>
        <w:t>注：无固定资产占用情况，空表列示。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指省级财政当年拨付的资金。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我部门无其他需要说明的事项。</w:t>
      </w:r>
    </w:p>
    <w:sectPr>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altName w:val="微软雅黑"/>
    <w:panose1 w:val="00000000000000000000"/>
    <w:charset w:val="86"/>
    <w:family w:val="script"/>
    <w:pitch w:val="default"/>
    <w:sig w:usb0="00000000" w:usb1="00000000" w:usb2="00000010" w:usb3="00000000" w:csb0="00040000" w:csb1="00000000"/>
  </w:font>
  <w:font w:name="方正小标宋_GBK">
    <w:altName w:val="Arial Unicode MS"/>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r>
      <w:rPr>
        <w:rFonts w:hint="eastAsia"/>
      </w:rPr>
      <w:t>-</w:t>
    </w:r>
    <w:r>
      <w:fldChar w:fldCharType="begin"/>
    </w:r>
    <w:r>
      <w:instrText xml:space="preserve">PAGE   \* MERGEFORMAT</w:instrText>
    </w:r>
    <w:r>
      <w:fldChar w:fldCharType="separate"/>
    </w:r>
    <w:r>
      <w:rPr>
        <w:lang w:val="zh-CN"/>
      </w:rPr>
      <w:t>4</w:t>
    </w:r>
    <w:r>
      <w:rPr>
        <w:lang w:val="zh-CN"/>
      </w:rPr>
      <w:fldChar w:fldCharType="end"/>
    </w:r>
    <w:r>
      <w:rPr>
        <w:rFonts w:hint="eastAsia"/>
      </w:rPr>
      <w:t>-</w: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2"/>
  </w:compat>
  <w:rsids>
    <w:rsidRoot w:val="00D347CC"/>
    <w:rsid w:val="004A54AA"/>
    <w:rsid w:val="00B80935"/>
    <w:rsid w:val="00D347CC"/>
    <w:rsid w:val="02732F88"/>
    <w:rsid w:val="09AC15F2"/>
    <w:rsid w:val="0D053C29"/>
    <w:rsid w:val="0F440082"/>
    <w:rsid w:val="23CF4B51"/>
    <w:rsid w:val="25D8219B"/>
    <w:rsid w:val="2B9221BF"/>
    <w:rsid w:val="33935DCF"/>
    <w:rsid w:val="348514B5"/>
    <w:rsid w:val="3C3F75D6"/>
    <w:rsid w:val="3F8A033F"/>
    <w:rsid w:val="406C62B7"/>
    <w:rsid w:val="46E71798"/>
    <w:rsid w:val="482E0BAA"/>
    <w:rsid w:val="4C846160"/>
    <w:rsid w:val="52BC20AC"/>
    <w:rsid w:val="55E73D2F"/>
    <w:rsid w:val="5A1E686B"/>
    <w:rsid w:val="5A8328D0"/>
    <w:rsid w:val="664304B8"/>
    <w:rsid w:val="6D0D4676"/>
    <w:rsid w:val="74F12D9F"/>
    <w:rsid w:val="7A411B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0"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Calibri" w:hAnsi="Calibri" w:eastAsia="宋体" w:cs="Arial"/>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qFormat/>
    <w:uiPriority w:val="0"/>
    <w:rPr>
      <w:sz w:val="18"/>
      <w:szCs w:val="18"/>
    </w:rPr>
  </w:style>
  <w:style w:type="paragraph" w:styleId="3">
    <w:name w:val="footer"/>
    <w:basedOn w:val="1"/>
    <w:qFormat/>
    <w:uiPriority w:val="0"/>
    <w:pPr>
      <w:tabs>
        <w:tab w:val="center" w:pos="4153"/>
        <w:tab w:val="right" w:pos="8306"/>
      </w:tabs>
      <w:snapToGrid w:val="0"/>
      <w:jc w:val="left"/>
    </w:pPr>
    <w:rPr>
      <w:rFonts w:ascii="Times New Roman" w:hAnsi="Times New Roman" w:cs="Times New Roman"/>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rFonts w:ascii="Times New Roman" w:hAnsi="Times New Roman" w:cs="Times New Roman"/>
      <w:sz w:val="18"/>
      <w:szCs w:val="18"/>
    </w:rPr>
  </w:style>
  <w:style w:type="paragraph" w:styleId="5">
    <w:name w:val="toc 1"/>
    <w:basedOn w:val="1"/>
    <w:next w:val="1"/>
    <w:qFormat/>
    <w:uiPriority w:val="0"/>
    <w:rPr>
      <w:rFonts w:ascii="Times New Roman" w:hAnsi="Times New Roman" w:cs="Times New Roman"/>
      <w:szCs w:val="24"/>
    </w:rPr>
  </w:style>
  <w:style w:type="paragraph" w:styleId="6">
    <w:name w:val="footnote text"/>
    <w:basedOn w:val="1"/>
    <w:qFormat/>
    <w:uiPriority w:val="0"/>
    <w:pPr>
      <w:snapToGrid w:val="0"/>
      <w:jc w:val="left"/>
    </w:pPr>
    <w:rPr>
      <w:rFonts w:cs="Times New Roman"/>
      <w:sz w:val="18"/>
      <w:szCs w:val="18"/>
    </w:rPr>
  </w:style>
  <w:style w:type="paragraph" w:styleId="7">
    <w:name w:val="toc 2"/>
    <w:basedOn w:val="1"/>
    <w:next w:val="1"/>
    <w:qFormat/>
    <w:uiPriority w:val="0"/>
    <w:pPr>
      <w:ind w:left="200" w:leftChars="200"/>
    </w:pPr>
    <w:rPr>
      <w:rFonts w:ascii="Times New Roman" w:hAnsi="Times New Roman" w:cs="Times New Roman"/>
      <w:szCs w:val="24"/>
    </w:rPr>
  </w:style>
  <w:style w:type="character" w:styleId="10">
    <w:name w:val="footnote reference"/>
    <w:qFormat/>
    <w:uiPriority w:val="0"/>
    <w:rPr>
      <w:vertAlign w:val="superscript"/>
    </w:rPr>
  </w:style>
  <w:style w:type="paragraph" w:customStyle="1" w:styleId="11">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Pages>
  <Words>492</Words>
  <Characters>2808</Characters>
  <Lines>23</Lines>
  <Paragraphs>6</Paragraphs>
  <TotalTime>76</TotalTime>
  <ScaleCrop>false</ScaleCrop>
  <LinksUpToDate>false</LinksUpToDate>
  <CharactersWithSpaces>3294</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Administrator</cp:lastModifiedBy>
  <cp:lastPrinted>2021-03-28T01:39:00Z</cp:lastPrinted>
  <dcterms:modified xsi:type="dcterms:W3CDTF">2021-03-30T08:26:02Z</dcterms:modified>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