
<file path=[Content_Types].xml><?xml version="1.0" encoding="utf-8"?>
<Types xmlns="http://schemas.openxmlformats.org/package/2006/content-types">
  <Default Extension="xml" ContentType="application/xml"/>
  <Default Extension="emf" ContentType="image/x-emf"/>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8480"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年十一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8480;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年十一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0528;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69504;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1552"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44928;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7456;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大城县文化广电和旅游局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lang w:eastAsia="zh-CN"/>
        </w:rPr>
        <w:t>大城县文化广电和旅游局</w:t>
      </w:r>
      <w:r>
        <w:rPr>
          <w:rFonts w:ascii="Times New Roman" w:hAnsi="Times New Roman" w:eastAsia="黑体" w:cs="Times New Roman"/>
          <w:sz w:val="32"/>
          <w:szCs w:val="32"/>
        </w:rPr>
        <w:t>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lang w:eastAsia="zh-CN"/>
        </w:rPr>
        <w:t>大城县文化广电和旅游局</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hint="eastAsia" w:ascii="Times New Roman" w:hAnsi="Times New Roman" w:eastAsia="黑体" w:cs="Times New Roman"/>
          <w:sz w:val="32"/>
          <w:szCs w:val="32"/>
          <w:lang w:eastAsia="zh-CN"/>
        </w:rPr>
        <w:t>大城县文化广电和旅游局</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7257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7257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focussize="0,0" r:id="rId28"/>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numPr>
          <w:ilvl w:val="0"/>
          <w:numId w:val="1"/>
        </w:numPr>
        <w:spacing w:before="0" w:after="0" w:line="580" w:lineRule="exact"/>
        <w:ind w:firstLine="640" w:firstLineChars="200"/>
        <w:jc w:val="left"/>
        <w:rPr>
          <w:rFonts w:hint="eastAsia" w:ascii="黑体" w:eastAsia="黑体" w:cs="黑体"/>
          <w:b w:val="0"/>
          <w:bCs w:val="0"/>
          <w:kern w:val="0"/>
          <w:sz w:val="32"/>
          <w:szCs w:val="32"/>
        </w:rPr>
      </w:pPr>
      <w:r>
        <w:rPr>
          <w:rFonts w:hint="eastAsia" w:ascii="黑体" w:eastAsia="黑体" w:cs="黑体"/>
          <w:b w:val="0"/>
          <w:bCs w:val="0"/>
          <w:kern w:val="0"/>
          <w:sz w:val="32"/>
          <w:szCs w:val="32"/>
        </w:rPr>
        <w:t>部门职责</w:t>
      </w:r>
    </w:p>
    <w:p>
      <w:pPr>
        <w:ind w:firstLine="420" w:firstLineChars="200"/>
        <w:rPr>
          <w:rFonts w:ascii="仿宋_GB2312" w:hAnsi="仿宋_GB2312" w:eastAsia="仿宋_GB2312" w:cs="仿宋_GB2312"/>
          <w:sz w:val="32"/>
          <w:szCs w:val="32"/>
        </w:rPr>
      </w:pPr>
      <w:r>
        <w:rPr>
          <w:rFonts w:hint="eastAsia"/>
          <w:lang w:eastAsia="zh-CN"/>
        </w:rPr>
        <w:tab/>
      </w:r>
      <w:r>
        <w:rPr>
          <w:rFonts w:hint="eastAsia" w:ascii="仿宋_GB2312" w:hAnsi="仿宋_GB2312" w:eastAsia="仿宋_GB2312" w:cs="仿宋_GB2312"/>
          <w:sz w:val="32"/>
          <w:szCs w:val="32"/>
        </w:rPr>
        <w:t>（一）贯彻执行党和国家关于文化、广电、新闻出版方针政策和有关法律法规，研究制定订全县的文化、文物、广电、新闻出版事业和产业发展规划及相关改革措施，并组织实施。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（二）研究、指导全县文化、文物、广电、新闻出版事业体制改革，加强文化广电新闻事业人才队伍的建设，推进系统内事业单位机构改革工作。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综合管理、指导全县戏剧、音乐、舞蹈、曲艺、杂技、美术、书法、摄影、文学、电影等艺术。重点抓好各门类艺术精品的创作、制作管理和文化广电新闻出版科技工作；组织、指导具有示范性的重大文化活动；负责专业艺术剧团和民间艺人的管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（四）综合管理、指导全县社会文化和广电、新闻出版事业，加强文化艺术中心、博物馆、剧院、图书馆建设；指导开展群众文化、少儿文化和民族文化工作，挖掘和整理民族民间文化遗产。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（五）统筹规划广播电视发展工作。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（六）研究制订全县文化产业发展战略及中长期发展规划；研究制定文化产业政策、协调文化产业发展。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（七）制订全县文化、广播电视、新闻出版事业基本建设规划，指导全县文化设施建设，指导局属单位搞好基建工程的管理工作。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（八）管理和指导本局直属事业单位；指导、检查、协调全县（各乡镇）文化工作；指导文化、文物、广电、新闻出版行业协会和业务活动。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负责全县文化、文物、广播电视、新闻出版市场的行政执法、管理和稽查；研究制订全县文化、文物、广播电视、新闻出版市场的政策和发展规划；加强全县文化、文物、广播电视、新闻出版市场管理和文化市场行政执法队伍建设，负责办理行政听证案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（十）承办县委、县政府和上级有关部门交办的其他事项。</w:t>
      </w:r>
    </w:p>
    <w:p>
      <w:pPr>
        <w:numPr>
          <w:ilvl w:val="0"/>
          <w:numId w:val="0"/>
        </w:numPr>
        <w:tabs>
          <w:tab w:val="left" w:pos="1310"/>
        </w:tabs>
        <w:rPr>
          <w:rFonts w:hint="eastAsia" w:eastAsiaTheme="minorEastAsia"/>
          <w:lang w:eastAsia="zh-CN"/>
        </w:r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从决算编报单位构成看，纳入2019 年度本部门决算汇编范围的独立核算单位（以下简称“单位”）共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 xml:space="preserve"> 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1"/>
                <w:szCs w:val="21"/>
                <w:lang w:eastAsia="zh-CN"/>
              </w:rPr>
              <w:t>大城县文化广电和旅游局</w:t>
            </w:r>
            <w:r>
              <w:rPr>
                <w:rFonts w:hint="eastAsia" w:ascii="仿宋_GB2312" w:hAnsi="Calibri" w:eastAsia="仿宋_GB2312" w:cs="ArialUnicodeMS"/>
                <w:kern w:val="0"/>
                <w:sz w:val="21"/>
                <w:szCs w:val="21"/>
              </w:rPr>
              <w:t>(本级)</w:t>
            </w:r>
          </w:p>
        </w:tc>
        <w:tc>
          <w:tcPr>
            <w:tcW w:w="244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1"/>
                <w:szCs w:val="21"/>
                <w:lang w:eastAsia="zh-CN"/>
              </w:rPr>
              <w:t>行政单位</w:t>
            </w:r>
          </w:p>
        </w:tc>
        <w:tc>
          <w:tcPr>
            <w:tcW w:w="266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eastAsia="仿宋_GB2312" w:cs="ArialUnicodeMS" w:hAnsiTheme="minorHAnsi"/>
                <w:kern w:val="0"/>
                <w:sz w:val="21"/>
                <w:szCs w:val="21"/>
              </w:rPr>
              <w:t>财政</w:t>
            </w:r>
            <w:r>
              <w:rPr>
                <w:rFonts w:hint="eastAsia" w:ascii="仿宋_GB2312" w:eastAsia="仿宋_GB2312" w:cs="ArialUnicodeMS"/>
                <w:kern w:val="0"/>
                <w:sz w:val="21"/>
                <w:szCs w:val="21"/>
                <w:lang w:eastAsia="zh-CN"/>
              </w:rPr>
              <w:t>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3485" w:type="dxa"/>
            <w:tcBorders>
              <w:bottom w:val="single" w:color="auto" w:sz="4" w:space="0"/>
            </w:tcBorders>
          </w:tcPr>
          <w:p>
            <w:pPr>
              <w:spacing w:line="560" w:lineRule="exact"/>
              <w:rPr>
                <w:rFonts w:ascii="仿宋_GB2312" w:hAnsi="Calibri" w:eastAsia="仿宋_GB2312" w:cs="ArialUnicodeMS"/>
                <w:kern w:val="0"/>
                <w:sz w:val="28"/>
                <w:szCs w:val="28"/>
              </w:rPr>
            </w:pPr>
          </w:p>
        </w:tc>
        <w:tc>
          <w:tcPr>
            <w:tcW w:w="244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266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736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736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77696"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77696;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hAnsi="Times New Roman" w:eastAsia="仿宋_GB2312" w:cs="DengXian-Regular"/>
          <w:sz w:val="32"/>
          <w:szCs w:val="32"/>
        </w:rPr>
        <w:t>本部门2019年度收</w:t>
      </w:r>
      <w:r>
        <w:rPr>
          <w:rFonts w:hint="eastAsia" w:ascii="仿宋_GB2312" w:hAnsi="Times New Roman" w:eastAsia="仿宋_GB2312" w:cs="DengXian-Regular"/>
          <w:sz w:val="32"/>
          <w:szCs w:val="32"/>
          <w:lang w:eastAsia="zh-CN"/>
        </w:rPr>
        <w:t>入</w:t>
      </w:r>
      <w:r>
        <w:rPr>
          <w:rFonts w:hint="eastAsia" w:ascii="仿宋_GB2312" w:hAnsi="Times New Roman" w:eastAsia="仿宋_GB2312" w:cs="DengXian-Regular"/>
          <w:sz w:val="32"/>
          <w:szCs w:val="32"/>
          <w:lang w:val="en-US" w:eastAsia="zh-CN"/>
        </w:rPr>
        <w:t>2117.09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，本年支出</w:t>
      </w:r>
      <w:r>
        <w:rPr>
          <w:rFonts w:hint="eastAsia" w:ascii="仿宋_GB2312" w:hAnsi="Times New Roman" w:eastAsia="仿宋_GB2312" w:cs="DengXian-Regular"/>
          <w:sz w:val="32"/>
          <w:szCs w:val="32"/>
          <w:lang w:val="en-US" w:eastAsia="zh-CN"/>
        </w:rPr>
        <w:t>2024.48万元，</w:t>
      </w:r>
      <w:r>
        <w:rPr>
          <w:rFonts w:hint="eastAsia" w:ascii="仿宋_GB2312" w:eastAsia="仿宋_GB2312" w:cs="DengXian-Regular"/>
          <w:sz w:val="32"/>
          <w:szCs w:val="32"/>
        </w:rPr>
        <w:t>年末结转和结余</w:t>
      </w:r>
      <w:r>
        <w:rPr>
          <w:rFonts w:hint="eastAsia" w:ascii="仿宋_GB2312" w:eastAsia="仿宋_GB2312" w:cs="DengXian-Regular"/>
          <w:sz w:val="32"/>
          <w:szCs w:val="32"/>
          <w:lang w:val="en-US" w:eastAsia="zh-CN"/>
        </w:rPr>
        <w:t>92.61</w:t>
      </w:r>
      <w:r>
        <w:rPr>
          <w:rFonts w:hint="eastAsia" w:ascii="仿宋_GB2312" w:eastAsia="仿宋_GB2312" w:cs="DengXian-Regular"/>
          <w:sz w:val="32"/>
          <w:szCs w:val="32"/>
        </w:rPr>
        <w:t>万元。</w:t>
      </w:r>
      <w:r>
        <w:rPr>
          <w:rFonts w:hint="eastAsia" w:ascii="仿宋_GB2312" w:hAnsi="Times New Roman" w:eastAsia="仿宋_GB2312" w:cs="DengXian-Regular"/>
          <w:sz w:val="32"/>
          <w:szCs w:val="32"/>
        </w:rPr>
        <w:t>与2018年度决算相比，</w:t>
      </w:r>
      <w:r>
        <w:rPr>
          <w:rFonts w:hint="eastAsia" w:ascii="仿宋_GB2312" w:hAnsi="Times New Roman" w:eastAsia="仿宋_GB2312" w:cs="DengXian-Regular"/>
          <w:sz w:val="32"/>
          <w:szCs w:val="32"/>
          <w:lang w:eastAsia="zh-CN"/>
        </w:rPr>
        <w:t>本年</w:t>
      </w:r>
      <w:r>
        <w:rPr>
          <w:rFonts w:hint="eastAsia" w:ascii="仿宋_GB2312" w:hAnsi="Times New Roman" w:eastAsia="仿宋_GB2312" w:cs="DengXian-Regular"/>
          <w:sz w:val="32"/>
          <w:szCs w:val="32"/>
        </w:rPr>
        <w:t>收</w:t>
      </w:r>
      <w:r>
        <w:rPr>
          <w:rFonts w:hint="eastAsia" w:ascii="仿宋_GB2312" w:hAnsi="Times New Roman" w:eastAsia="仿宋_GB2312" w:cs="DengXian-Regular"/>
          <w:sz w:val="32"/>
          <w:szCs w:val="32"/>
          <w:lang w:eastAsia="zh-CN"/>
        </w:rPr>
        <w:t>入</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333.32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18.69</w:t>
      </w:r>
      <w:r>
        <w:rPr>
          <w:rFonts w:hint="eastAsia" w:ascii="仿宋_GB2312" w:hAnsi="Times New Roman" w:eastAsia="仿宋_GB2312" w:cs="DengXian-Regular"/>
          <w:sz w:val="32"/>
          <w:szCs w:val="32"/>
        </w:rPr>
        <w:t>%，主要原因是</w:t>
      </w:r>
      <w:r>
        <w:rPr>
          <w:rFonts w:hint="eastAsia" w:ascii="仿宋_GB2312" w:eastAsia="仿宋_GB2312" w:cs="DengXian-Regular"/>
          <w:sz w:val="32"/>
          <w:szCs w:val="32"/>
        </w:rPr>
        <w:t>项目增加，收入增加</w:t>
      </w:r>
      <w:r>
        <w:rPr>
          <w:rFonts w:hint="eastAsia" w:ascii="仿宋_GB2312" w:eastAsia="仿宋_GB2312" w:cs="DengXian-Regular"/>
          <w:sz w:val="32"/>
          <w:szCs w:val="32"/>
          <w:lang w:eastAsia="zh-CN"/>
        </w:rPr>
        <w:t>；本年支出增加</w:t>
      </w:r>
      <w:r>
        <w:rPr>
          <w:rFonts w:hint="eastAsia" w:ascii="仿宋_GB2312" w:eastAsia="仿宋_GB2312" w:cs="DengXian-Regular"/>
          <w:sz w:val="32"/>
          <w:szCs w:val="32"/>
          <w:lang w:val="en-US" w:eastAsia="zh-CN"/>
        </w:rPr>
        <w:t>347.99万元，</w:t>
      </w:r>
      <w:r>
        <w:rPr>
          <w:rFonts w:hint="eastAsia" w:ascii="仿宋_GB2312" w:eastAsia="仿宋_GB2312" w:cs="DengXian-Regular"/>
          <w:sz w:val="32"/>
          <w:szCs w:val="32"/>
        </w:rPr>
        <w:t>主要是项目多支出多。</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2017.15</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1992.15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98.76</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25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1.24</w:t>
      </w:r>
      <w:r>
        <w:rPr>
          <w:rFonts w:hint="eastAsia" w:ascii="仿宋_GB2312" w:hAnsi="Times New Roman" w:eastAsia="仿宋_GB2312" w:cs="DengXian-Regular"/>
          <w:sz w:val="32"/>
          <w:szCs w:val="32"/>
        </w:rPr>
        <w:t>%。如图所示</w:t>
      </w:r>
      <w:r>
        <w:rPr>
          <w:rFonts w:hint="eastAsia" w:ascii="仿宋_GB2312" w:hAnsi="Times New Roman" w:eastAsia="仿宋_GB2312" w:cs="DengXian-Regular"/>
          <w:sz w:val="32"/>
          <w:szCs w:val="32"/>
          <w:lang w:eastAsia="zh-CN"/>
        </w:rPr>
        <w:t>：</w:t>
      </w:r>
    </w:p>
    <w:p>
      <w:pPr>
        <w:adjustRightInd w:val="0"/>
        <w:snapToGrid w:val="0"/>
        <w:spacing w:line="580" w:lineRule="exact"/>
        <w:ind w:firstLine="1920" w:firstLineChars="600"/>
        <w:rPr>
          <w:rFonts w:eastAsia="仿宋_GB2312"/>
          <w:sz w:val="32"/>
          <w:szCs w:val="32"/>
        </w:rPr>
      </w:pPr>
      <w:r>
        <w:rPr>
          <w:rFonts w:eastAsia="仿宋_GB2312"/>
          <w:sz w:val="32"/>
          <w:szCs w:val="32"/>
        </w:rPr>
        <w:t>图1：收入决算结构饼状图</w:t>
      </w:r>
    </w:p>
    <w:p>
      <w:r>
        <w:rPr>
          <w:sz w:val="21"/>
        </w:rPr>
        <mc:AlternateContent>
          <mc:Choice Requires="wps">
            <w:drawing>
              <wp:anchor distT="0" distB="0" distL="114300" distR="114300" simplePos="0" relativeHeight="251682816" behindDoc="0" locked="0" layoutInCell="1" allowOverlap="1">
                <wp:simplePos x="0" y="0"/>
                <wp:positionH relativeFrom="column">
                  <wp:posOffset>2023110</wp:posOffset>
                </wp:positionH>
                <wp:positionV relativeFrom="paragraph">
                  <wp:posOffset>249555</wp:posOffset>
                </wp:positionV>
                <wp:extent cx="809625" cy="276225"/>
                <wp:effectExtent l="6350" t="6350" r="22225" b="41275"/>
                <wp:wrapNone/>
                <wp:docPr id="42" name="圆角矩形标注 42"/>
                <wp:cNvGraphicFramePr/>
                <a:graphic xmlns:a="http://schemas.openxmlformats.org/drawingml/2006/main">
                  <a:graphicData uri="http://schemas.microsoft.com/office/word/2010/wordprocessingShape">
                    <wps:wsp>
                      <wps:cNvSpPr/>
                      <wps:spPr>
                        <a:xfrm>
                          <a:off x="3432810" y="1316355"/>
                          <a:ext cx="809625" cy="276225"/>
                        </a:xfrm>
                        <a:prstGeom prst="wedgeRoundRectCallout">
                          <a:avLst/>
                        </a:prstGeom>
                        <a:solidFill>
                          <a:srgbClr val="F3F4F4"/>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eastAsiaTheme="minorEastAsia"/>
                                <w:color w:val="FF0000"/>
                                <w:sz w:val="13"/>
                                <w:szCs w:val="13"/>
                                <w:lang w:val="en-US" w:eastAsia="zh-CN"/>
                              </w:rPr>
                            </w:pPr>
                            <w:r>
                              <w:rPr>
                                <w:rFonts w:hint="eastAsia"/>
                                <w:color w:val="FF0000"/>
                                <w:sz w:val="13"/>
                                <w:szCs w:val="13"/>
                                <w:lang w:val="en-US" w:eastAsia="zh-CN"/>
                              </w:rPr>
                              <w:t>其他收入1.24％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59.3pt;margin-top:19.65pt;height:21.75pt;width:63.75pt;z-index:251682816;v-text-anchor:middle;mso-width-relative:page;mso-height-relative:page;" fillcolor="#F3F4F4" filled="t" stroked="t" coordsize="21600,21600" o:gfxdata="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rWyHddgAAAAJAQAADwAAAAAAAAABACAA&#10;AAAiAAAAZHJzL2Rvd25yZXYueG1sUEsBAhQAFAAAAAgAh07iQNIP/224AgAASgUAAA4AAAAAAAAA&#10;AQAgAAAAJwEAAGRycy9lMm9Eb2MueG1sUEsFBgAAAAAGAAYAWQEAAFEGAAAAAA==&#10;" adj="6300,24300,14400">
                <v:fill on="t" focussize="0,0"/>
                <v:stroke weight="1pt" color="#2F528F [3204]" miterlimit="8" joinstyle="miter"/>
                <v:imagedata o:title=""/>
                <o:lock v:ext="edit" aspectratio="f"/>
                <v:textbox>
                  <w:txbxContent>
                    <w:p>
                      <w:pPr>
                        <w:jc w:val="both"/>
                        <w:rPr>
                          <w:rFonts w:hint="default" w:eastAsiaTheme="minorEastAsia"/>
                          <w:color w:val="FF0000"/>
                          <w:sz w:val="13"/>
                          <w:szCs w:val="13"/>
                          <w:lang w:val="en-US" w:eastAsia="zh-CN"/>
                        </w:rPr>
                      </w:pPr>
                      <w:r>
                        <w:rPr>
                          <w:rFonts w:hint="eastAsia"/>
                          <w:color w:val="FF0000"/>
                          <w:sz w:val="13"/>
                          <w:szCs w:val="13"/>
                          <w:lang w:val="en-US" w:eastAsia="zh-CN"/>
                        </w:rPr>
                        <w:t>其他收入1.24％</w:t>
                      </w:r>
                    </w:p>
                  </w:txbxContent>
                </v:textbox>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1890395</wp:posOffset>
                </wp:positionH>
                <wp:positionV relativeFrom="paragraph">
                  <wp:posOffset>1649095</wp:posOffset>
                </wp:positionV>
                <wp:extent cx="866140" cy="285750"/>
                <wp:effectExtent l="6350" t="6350" r="22860" b="50800"/>
                <wp:wrapNone/>
                <wp:docPr id="43" name="矩形标注 43"/>
                <wp:cNvGraphicFramePr/>
                <a:graphic xmlns:a="http://schemas.openxmlformats.org/drawingml/2006/main">
                  <a:graphicData uri="http://schemas.microsoft.com/office/word/2010/wordprocessingShape">
                    <wps:wsp>
                      <wps:cNvSpPr/>
                      <wps:spPr>
                        <a:xfrm>
                          <a:off x="3870960" y="2277745"/>
                          <a:ext cx="866140" cy="285750"/>
                        </a:xfrm>
                        <a:prstGeom prst="wedgeRectCallout">
                          <a:avLst/>
                        </a:prstGeom>
                        <a:solidFill>
                          <a:srgbClr val="9C9D94"/>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color w:val="FF0000"/>
                                <w:sz w:val="13"/>
                                <w:szCs w:val="13"/>
                                <w:lang w:val="en-US" w:eastAsia="zh-CN"/>
                              </w:rPr>
                            </w:pPr>
                            <w:r>
                              <w:rPr>
                                <w:rFonts w:hint="eastAsia"/>
                                <w:color w:val="FF0000"/>
                                <w:sz w:val="13"/>
                                <w:szCs w:val="13"/>
                                <w:lang w:eastAsia="zh-CN"/>
                              </w:rPr>
                              <w:t>财政收入</w:t>
                            </w:r>
                            <w:r>
                              <w:rPr>
                                <w:rFonts w:hint="eastAsia"/>
                                <w:color w:val="FF0000"/>
                                <w:sz w:val="13"/>
                                <w:szCs w:val="13"/>
                                <w:lang w:val="en-US" w:eastAsia="zh-CN"/>
                              </w:rPr>
                              <w:t>98.76％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48.85pt;margin-top:129.85pt;height:22.5pt;width:68.2pt;z-index:251681792;v-text-anchor:middle;mso-width-relative:page;mso-height-relative:page;" fillcolor="#9C9D94" filled="t" stroked="t" coordsize="21600,21600" o:gfxdata="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SYjOj3AAAAAsBAAAPAAAAAAAAAAEAIAAAACIAAABk&#10;cnMvZG93bnJldi54bWxQSwECFAAUAAAACACHTuJAgNOnU60CAAA/BQAADgAAAAAAAAABACAAAAAr&#10;AQAAZHJzL2Uyb0RvYy54bWxQSwUGAAAAAAYABgBZAQAASgYAAAAA&#10;" adj="6300,24300">
                <v:fill on="t" focussize="0,0"/>
                <v:stroke weight="1pt" color="#2F528F [3204]" miterlimit="8" joinstyle="miter"/>
                <v:imagedata o:title=""/>
                <o:lock v:ext="edit" aspectratio="f"/>
                <v:textbox>
                  <w:txbxContent>
                    <w:p>
                      <w:pPr>
                        <w:jc w:val="center"/>
                        <w:rPr>
                          <w:rFonts w:hint="default" w:eastAsiaTheme="minorEastAsia"/>
                          <w:color w:val="FF0000"/>
                          <w:sz w:val="13"/>
                          <w:szCs w:val="13"/>
                          <w:lang w:val="en-US" w:eastAsia="zh-CN"/>
                        </w:rPr>
                      </w:pPr>
                      <w:r>
                        <w:rPr>
                          <w:rFonts w:hint="eastAsia"/>
                          <w:color w:val="FF0000"/>
                          <w:sz w:val="13"/>
                          <w:szCs w:val="13"/>
                          <w:lang w:eastAsia="zh-CN"/>
                        </w:rPr>
                        <w:t>财政收入</w:t>
                      </w:r>
                      <w:r>
                        <w:rPr>
                          <w:rFonts w:hint="eastAsia"/>
                          <w:color w:val="FF0000"/>
                          <w:sz w:val="13"/>
                          <w:szCs w:val="13"/>
                          <w:lang w:val="en-US" w:eastAsia="zh-CN"/>
                        </w:rPr>
                        <w:t>98.76％</w:t>
                      </w:r>
                    </w:p>
                  </w:txbxContent>
                </v:textbox>
              </v:shape>
            </w:pict>
          </mc:Fallback>
        </mc:AlternateContent>
      </w:r>
      <w:r>
        <w:drawing>
          <wp:inline distT="0" distB="0" distL="114300" distR="114300">
            <wp:extent cx="4572000" cy="2743200"/>
            <wp:effectExtent l="4445" t="4445" r="14605" b="14605"/>
            <wp:docPr id="4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keepNext/>
        <w:keepLines/>
        <w:snapToGrid w:val="0"/>
        <w:spacing w:line="580" w:lineRule="exact"/>
        <w:outlineLvl w:val="1"/>
        <w:rPr>
          <w:rFonts w:ascii="黑体" w:hAnsi="Calibri" w:eastAsia="黑体" w:cs="Times New Roman"/>
          <w:b/>
          <w:bCs/>
          <w:sz w:val="32"/>
          <w:szCs w:val="32"/>
        </w:rPr>
      </w:pPr>
      <w:r>
        <w:rPr>
          <w:sz w:val="32"/>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760345" cy="490220"/>
                <wp:effectExtent l="0" t="0" r="0" b="0"/>
                <wp:wrapNone/>
                <wp:docPr id="155" name="文本框 32"/>
                <wp:cNvGraphicFramePr/>
                <a:graphic xmlns:a="http://schemas.openxmlformats.org/drawingml/2006/main">
                  <a:graphicData uri="http://schemas.microsoft.com/office/word/2010/wordprocessingShape">
                    <wps:wsp>
                      <wps:cNvSpPr txBox="1"/>
                      <wps:spPr>
                        <a:xfrm>
                          <a:off x="2498725" y="7536180"/>
                          <a:ext cx="2760345" cy="490220"/>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after="160" w:line="560" w:lineRule="exact"/>
                              <w:jc w:val="both"/>
                              <w:rPr>
                                <w:rFonts w:ascii="仿宋_GB2312" w:hAnsi="Times New Roman" w:eastAsia="仿宋_GB2312" w:cs="DengXian-Regular"/>
                                <w:sz w:val="28"/>
                                <w:szCs w:val="28"/>
                              </w:rPr>
                            </w:pPr>
                          </w:p>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2" o:spid="_x0000_s1026" o:spt="202" type="#_x0000_t202" style="position:absolute;left:0pt;margin-left:0pt;margin-top:0pt;height:38.6pt;width:217.35pt;z-index:251676672;mso-width-relative:page;mso-height-relative:page;" fillcolor="#FFFFFF" filled="t" stroked="f" coordsize="21600,21600" o:gfxdata="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Cji0nSAAAABAEAAA8AAAAAAAAAAQAgAAAAIgAAAGRycy9kb3ducmV2LnhtbFBLAQIUABQAAAAI&#10;AIdO4kAp0/e6ZQIAAKwEAAAOAAAAAAAAAAEAIAAAACEBAABkcnMvZTJvRG9jLnhtbFBLBQYAAAAA&#10;BgAGAFkBAAD4BQAAAAA=&#10;">
                <v:fill on="t" focussize="0,0"/>
                <v:stroke on="f" weight="0.5pt"/>
                <v:imagedata o:title=""/>
                <o:lock v:ext="edit" aspectratio="f"/>
                <v:textbox>
                  <w:txbxContent>
                    <w:p>
                      <w:pPr>
                        <w:adjustRightInd w:val="0"/>
                        <w:snapToGrid w:val="0"/>
                        <w:spacing w:after="160" w:line="560" w:lineRule="exact"/>
                        <w:jc w:val="both"/>
                        <w:rPr>
                          <w:rFonts w:ascii="仿宋_GB2312" w:hAnsi="Times New Roman" w:eastAsia="仿宋_GB2312" w:cs="DengXian-Regular"/>
                          <w:sz w:val="28"/>
                          <w:szCs w:val="28"/>
                        </w:rPr>
                      </w:pPr>
                    </w:p>
                    <w:p>
                      <w:pPr>
                        <w:spacing w:after="160" w:line="480" w:lineRule="auto"/>
                        <w:rPr>
                          <w:rFonts w:ascii="Times New Roman" w:hAnsi="Times New Roman" w:eastAsia="宋体" w:cs="Times New Roman"/>
                          <w:sz w:val="20"/>
                        </w:rPr>
                      </w:pPr>
                    </w:p>
                  </w:txbxContent>
                </v:textbox>
              </v:shape>
            </w:pict>
          </mc:Fallback>
        </mc:AlternateConten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2024.48</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596.04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29.44</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1428.44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70.56</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%。如图所示：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图2：支出决算结构饼状图</w:t>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keepNext w:val="0"/>
        <w:keepLines w:val="0"/>
        <w:widowControl w:val="0"/>
        <w:suppressLineNumbers w:val="0"/>
        <w:spacing w:before="0" w:beforeAutospacing="0" w:after="0" w:afterAutospacing="0"/>
        <w:ind w:left="0" w:right="0"/>
        <w:jc w:val="both"/>
      </w:pPr>
      <w:r>
        <w:rPr>
          <w:rFonts w:hint="default" w:ascii="等线" w:hAnsi="等线" w:eastAsia="宋体" w:cs="Times New Roman"/>
          <w:kern w:val="2"/>
          <w:sz w:val="21"/>
          <w:szCs w:val="21"/>
          <w:lang w:val="en-US" w:eastAsia="zh-CN" w:bidi="ar"/>
        </w:rPr>
        <w:drawing>
          <wp:inline distT="0" distB="0" distL="114300" distR="114300">
            <wp:extent cx="5295900" cy="3086100"/>
            <wp:effectExtent l="0" t="0" r="0" b="0"/>
            <wp:docPr id="71" name="图表 1"/>
            <wp:cNvGraphicFramePr/>
            <a:graphic xmlns:a="http://schemas.openxmlformats.org/drawingml/2006/main">
              <a:graphicData uri="http://schemas.openxmlformats.org/drawingml/2006/picture">
                <pic:pic xmlns:pic="http://schemas.openxmlformats.org/drawingml/2006/picture">
                  <pic:nvPicPr>
                    <pic:cNvPr id="71" name="图表 1"/>
                    <pic:cNvPicPr/>
                  </pic:nvPicPr>
                  <pic:blipFill>
                    <a:blip r:embed="rId30"/>
                    <a:stretch>
                      <a:fillRect/>
                    </a:stretch>
                  </pic:blipFill>
                  <pic:spPr>
                    <a:xfrm>
                      <a:off x="0" y="0"/>
                      <a:ext cx="5295900" cy="3086100"/>
                    </a:xfrm>
                    <a:prstGeom prst="rect">
                      <a:avLst/>
                    </a:prstGeom>
                    <a:noFill/>
                    <a:ln>
                      <a:noFill/>
                    </a:ln>
                  </pic:spPr>
                </pic:pic>
              </a:graphicData>
            </a:graphic>
          </wp:inline>
        </w:drawing>
      </w:r>
    </w:p>
    <w:p>
      <w:pPr>
        <w:keepNext/>
        <w:keepLines/>
        <w:snapToGrid w:val="0"/>
        <w:spacing w:line="580" w:lineRule="exact"/>
        <w:ind w:firstLine="960" w:firstLineChars="3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1992.15</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294.47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17.35</w:t>
      </w:r>
      <w:r>
        <w:rPr>
          <w:rFonts w:hint="eastAsia" w:ascii="仿宋_GB2312" w:hAnsi="Times New Roman" w:eastAsia="仿宋_GB2312" w:cs="DengXian-Regular"/>
          <w:sz w:val="32"/>
          <w:szCs w:val="32"/>
        </w:rPr>
        <w:t>%，主要是</w:t>
      </w:r>
      <w:r>
        <w:rPr>
          <w:rFonts w:hint="eastAsia" w:ascii="仿宋" w:hAnsi="仿宋" w:eastAsia="仿宋" w:cs="DengXian-Regular"/>
          <w:sz w:val="32"/>
          <w:szCs w:val="32"/>
        </w:rPr>
        <w:t>项目增加，收入增加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2010.09</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344.82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20.71</w:t>
      </w:r>
      <w:r>
        <w:rPr>
          <w:rFonts w:hint="eastAsia" w:ascii="仿宋_GB2312" w:hAnsi="Times New Roman" w:eastAsia="仿宋_GB2312" w:cs="DengXian-Regular"/>
          <w:sz w:val="32"/>
          <w:szCs w:val="32"/>
        </w:rPr>
        <w:t>%，主要是</w:t>
      </w:r>
      <w:r>
        <w:rPr>
          <w:rFonts w:hint="eastAsia" w:ascii="仿宋" w:hAnsi="仿宋" w:eastAsia="仿宋" w:cs="DengXian-Regular"/>
          <w:sz w:val="32"/>
          <w:szCs w:val="32"/>
        </w:rPr>
        <w:t>项目增加，支出增加</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w:t>
      </w:r>
      <w:r>
        <w:rPr>
          <w:rFonts w:hint="eastAsia" w:ascii="仿宋_GB2312" w:hAnsi="Times New Roman" w:eastAsia="仿宋_GB2312" w:cs="DengXian-Regular"/>
          <w:sz w:val="32"/>
          <w:szCs w:val="32"/>
          <w:lang w:val="en-US" w:eastAsia="zh-CN"/>
        </w:rPr>
        <w:t>1927.73</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728.48</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 w:hAnsi="仿宋" w:eastAsia="仿宋" w:cs="DengXian-Regular"/>
          <w:sz w:val="32"/>
          <w:szCs w:val="32"/>
        </w:rPr>
        <w:t>增长</w:t>
      </w:r>
      <w:r>
        <w:rPr>
          <w:rFonts w:hint="eastAsia" w:ascii="仿宋" w:hAnsi="仿宋" w:eastAsia="仿宋" w:cs="DengXian-Regular"/>
          <w:sz w:val="32"/>
          <w:szCs w:val="32"/>
          <w:lang w:val="en-US" w:eastAsia="zh-CN"/>
        </w:rPr>
        <w:t>60.74</w:t>
      </w:r>
      <w:r>
        <w:rPr>
          <w:rFonts w:hint="eastAsia" w:ascii="仿宋" w:hAnsi="仿宋" w:eastAsia="仿宋" w:cs="DengXian-Regular"/>
          <w:sz w:val="32"/>
          <w:szCs w:val="32"/>
        </w:rPr>
        <w:t>%，主要是项目增加，收入增加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1935.9</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768.29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65.8</w:t>
      </w:r>
      <w:r>
        <w:rPr>
          <w:rFonts w:hint="eastAsia" w:ascii="仿宋_GB2312" w:hAnsi="Times New Roman" w:eastAsia="仿宋_GB2312" w:cs="DengXian-Regular"/>
          <w:sz w:val="32"/>
          <w:szCs w:val="32"/>
        </w:rPr>
        <w:t>%，主要是</w:t>
      </w:r>
      <w:r>
        <w:rPr>
          <w:rFonts w:hint="eastAsia" w:ascii="仿宋" w:hAnsi="仿宋" w:eastAsia="仿宋" w:cs="DengXian-Regular"/>
          <w:sz w:val="32"/>
          <w:szCs w:val="32"/>
        </w:rPr>
        <w:t>项目多支出多</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w:t>
      </w:r>
      <w:r>
        <w:rPr>
          <w:rFonts w:hint="eastAsia" w:ascii="仿宋_GB2312" w:hAnsi="Times New Roman" w:eastAsia="仿宋_GB2312" w:cs="DengXian-Regular"/>
          <w:sz w:val="32"/>
          <w:szCs w:val="32"/>
          <w:lang w:val="en-US" w:eastAsia="zh-CN"/>
        </w:rPr>
        <w:t>64.42</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434.01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87.08</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项目减少，收入减少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74.18</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423.47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85.09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项目减少，支出减少</w:t>
      </w:r>
      <w:r>
        <w:rPr>
          <w:rFonts w:hint="eastAsia" w:ascii="仿宋_GB2312" w:hAnsi="Times New Roman" w:eastAsia="仿宋_GB2312" w:cs="DengXian-Regular"/>
          <w:sz w:val="32"/>
          <w:szCs w:val="32"/>
        </w:rPr>
        <w:t>。</w:t>
      </w:r>
    </w:p>
    <w:p>
      <w:pPr>
        <w:adjustRightInd w:val="0"/>
        <w:snapToGrid w:val="0"/>
        <w:spacing w:after="0" w:line="580" w:lineRule="exact"/>
        <w:jc w:val="center"/>
        <w:rPr>
          <w:rFonts w:ascii="仿宋" w:hAnsi="仿宋" w:eastAsia="仿宋" w:cs="DengXian-Regular"/>
          <w:sz w:val="32"/>
          <w:szCs w:val="32"/>
        </w:rPr>
      </w:pPr>
      <w:r>
        <w:rPr>
          <w:rFonts w:hint="eastAsia" w:ascii="仿宋" w:hAnsi="仿宋" w:eastAsia="仿宋"/>
          <w:sz w:val="32"/>
          <w:szCs w:val="32"/>
        </w:rPr>
        <w:t>图3：财政拨款收支情况</w:t>
      </w:r>
    </w:p>
    <w:p>
      <w:pPr>
        <w:numPr>
          <w:ilvl w:val="0"/>
          <w:numId w:val="0"/>
        </w:numPr>
        <w:adjustRightInd w:val="0"/>
        <w:snapToGrid w:val="0"/>
        <w:spacing w:line="580" w:lineRule="exact"/>
        <w:rPr>
          <w:rFonts w:ascii="仿宋_GB2312" w:hAnsi="Times New Roman" w:eastAsia="仿宋_GB2312" w:cs="DengXian-Regular"/>
          <w:sz w:val="32"/>
          <w:szCs w:val="32"/>
        </w:rPr>
      </w:pPr>
    </w:p>
    <w:p/>
    <w:p>
      <w:r>
        <w:rPr>
          <w:sz w:val="21"/>
        </w:rPr>
        <mc:AlternateContent>
          <mc:Choice Requires="wps">
            <w:drawing>
              <wp:anchor distT="0" distB="0" distL="114300" distR="114300" simplePos="0" relativeHeight="251700224" behindDoc="0" locked="0" layoutInCell="1" allowOverlap="1">
                <wp:simplePos x="0" y="0"/>
                <wp:positionH relativeFrom="column">
                  <wp:posOffset>546735</wp:posOffset>
                </wp:positionH>
                <wp:positionV relativeFrom="paragraph">
                  <wp:posOffset>839470</wp:posOffset>
                </wp:positionV>
                <wp:extent cx="447040" cy="257175"/>
                <wp:effectExtent l="6350" t="6350" r="22860" b="22225"/>
                <wp:wrapNone/>
                <wp:docPr id="57" name="流程图: 过程 57"/>
                <wp:cNvGraphicFramePr/>
                <a:graphic xmlns:a="http://schemas.openxmlformats.org/drawingml/2006/main">
                  <a:graphicData uri="http://schemas.microsoft.com/office/word/2010/wordprocessingShape">
                    <wps:wsp>
                      <wps:cNvSpPr/>
                      <wps:spPr>
                        <a:xfrm>
                          <a:off x="0" y="0"/>
                          <a:ext cx="447040" cy="25717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eastAsiaTheme="minorEastAsia"/>
                                <w:lang w:val="en-US" w:eastAsia="zh-CN"/>
                              </w:rPr>
                            </w:pPr>
                            <w:r>
                              <w:rPr>
                                <w:rFonts w:hint="eastAsia"/>
                                <w:sz w:val="13"/>
                                <w:szCs w:val="13"/>
                                <w:lang w:val="en-US" w:eastAsia="zh-CN"/>
                              </w:rPr>
                              <w:t>.</w:t>
                            </w:r>
                            <w:r>
                              <w:rPr>
                                <w:rFonts w:hint="eastAsia"/>
                                <w:color w:val="0D0D0D" w:themeColor="text1" w:themeTint="F2"/>
                                <w:sz w:val="13"/>
                                <w:szCs w:val="13"/>
                                <w:lang w:val="en-US" w:eastAsia="zh-CN"/>
                                <w14:textFill>
                                  <w14:solidFill>
                                    <w14:schemeClr w14:val="tx1">
                                      <w14:lumMod w14:val="95000"/>
                                      <w14:lumOff w14:val="5000"/>
                                    </w14:schemeClr>
                                  </w14:solidFill>
                                </w14:textFill>
                              </w:rPr>
                              <w:t>60.75%</w:t>
                            </w:r>
                            <w:r>
                              <w:rPr>
                                <w:rFonts w:hint="eastAsia"/>
                                <w:lang w:val="en-US"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3.05pt;margin-top:66.1pt;height:20.25pt;width:35.2pt;z-index:251700224;v-text-anchor:middle;mso-width-relative:page;mso-height-relative:page;" fillcolor="#FFFFFF [3212]" filled="t" stroked="t" coordsize="21600,21600" o:gfxdata="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ZvGt1tgAAAAKAQAADwAAAAAAAAABACAAAAAiAAAAZHJzL2Rvd25yZXYueG1sUEsBAhQA&#10;FAAAAAgAh07iQLAlzXidAgAAOAUAAA4AAAAAAAAAAQAgAAAAJwEAAGRycy9lMm9Eb2MueG1sUEsF&#10;BgAAAAAGAAYAWQEAADYGAAAAAA==&#10;">
                <v:fill on="t" focussize="0,0"/>
                <v:stroke weight="1pt" color="#2F528F [3204]" miterlimit="8" joinstyle="miter"/>
                <v:imagedata o:title=""/>
                <o:lock v:ext="edit" aspectratio="f"/>
                <v:textbox>
                  <w:txbxContent>
                    <w:p>
                      <w:pPr>
                        <w:jc w:val="both"/>
                        <w:rPr>
                          <w:rFonts w:hint="default" w:eastAsiaTheme="minorEastAsia"/>
                          <w:lang w:val="en-US" w:eastAsia="zh-CN"/>
                        </w:rPr>
                      </w:pPr>
                      <w:r>
                        <w:rPr>
                          <w:rFonts w:hint="eastAsia"/>
                          <w:sz w:val="13"/>
                          <w:szCs w:val="13"/>
                          <w:lang w:val="en-US" w:eastAsia="zh-CN"/>
                        </w:rPr>
                        <w:t>.</w:t>
                      </w:r>
                      <w:r>
                        <w:rPr>
                          <w:rFonts w:hint="eastAsia"/>
                          <w:color w:val="0D0D0D" w:themeColor="text1" w:themeTint="F2"/>
                          <w:sz w:val="13"/>
                          <w:szCs w:val="13"/>
                          <w:lang w:val="en-US" w:eastAsia="zh-CN"/>
                          <w14:textFill>
                            <w14:solidFill>
                              <w14:schemeClr w14:val="tx1">
                                <w14:lumMod w14:val="95000"/>
                                <w14:lumOff w14:val="5000"/>
                              </w14:schemeClr>
                            </w14:solidFill>
                          </w14:textFill>
                        </w:rPr>
                        <w:t>60.75%</w:t>
                      </w:r>
                      <w:r>
                        <w:rPr>
                          <w:rFonts w:hint="eastAsia"/>
                          <w:lang w:val="en-US" w:eastAsia="zh-CN"/>
                        </w:rPr>
                        <w:t>%%</w:t>
                      </w:r>
                    </w:p>
                  </w:txbxContent>
                </v:textbox>
              </v:shap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2613660</wp:posOffset>
                </wp:positionH>
                <wp:positionV relativeFrom="paragraph">
                  <wp:posOffset>848995</wp:posOffset>
                </wp:positionV>
                <wp:extent cx="474980" cy="276225"/>
                <wp:effectExtent l="6350" t="6350" r="13970" b="22225"/>
                <wp:wrapNone/>
                <wp:docPr id="58" name="流程图: 过程 58"/>
                <wp:cNvGraphicFramePr/>
                <a:graphic xmlns:a="http://schemas.openxmlformats.org/drawingml/2006/main">
                  <a:graphicData uri="http://schemas.microsoft.com/office/word/2010/wordprocessingShape">
                    <wps:wsp>
                      <wps:cNvSpPr/>
                      <wps:spPr>
                        <a:xfrm>
                          <a:off x="1937385" y="7859395"/>
                          <a:ext cx="474980" cy="27622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eastAsiaTheme="minorEastAsia"/>
                                <w:color w:val="0D0D0D" w:themeColor="text1" w:themeTint="F2"/>
                                <w:lang w:val="en-US" w:eastAsia="zh-CN"/>
                                <w14:textFill>
                                  <w14:solidFill>
                                    <w14:schemeClr w14:val="tx1">
                                      <w14:lumMod w14:val="95000"/>
                                      <w14:lumOff w14:val="5000"/>
                                    </w14:schemeClr>
                                  </w14:solidFill>
                                </w14:textFill>
                              </w:rPr>
                            </w:pPr>
                            <w:r>
                              <w:rPr>
                                <w:rFonts w:hint="eastAsia"/>
                                <w:color w:val="0D0D0D" w:themeColor="text1" w:themeTint="F2"/>
                                <w:sz w:val="15"/>
                                <w:szCs w:val="15"/>
                                <w:lang w:val="en-US" w:eastAsia="zh-CN"/>
                                <w14:textFill>
                                  <w14:solidFill>
                                    <w14:schemeClr w14:val="tx1">
                                      <w14:lumMod w14:val="95000"/>
                                      <w14:lumOff w14:val="5000"/>
                                    </w14:schemeClr>
                                  </w14:solidFill>
                                </w14:textFill>
                              </w:rPr>
                              <w:t>65.8%</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05.8pt;margin-top:66.85pt;height:21.75pt;width:37.4pt;z-index:251688960;v-text-anchor:middle;mso-width-relative:page;mso-height-relative:page;" fillcolor="#FFFFFF [3212]" filled="t" stroked="t" coordsize="21600,21600" o:gfxdata="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VZqpW2QAAAAsBAAAPAAAAAAAAAAEAIAAAACIAAABkcnMv&#10;ZG93bnJldi54bWxQSwECFAAUAAAACACHTuJADzo55q0CAABEBQAADgAAAAAAAAABACAAAAAoAQAA&#10;ZHJzL2Uyb0RvYy54bWxQSwUGAAAAAAYABgBZAQAARwYAAAAA&#10;">
                <v:fill on="t" focussize="0,0"/>
                <v:stroke weight="1pt" color="#2F528F [3204]" miterlimit="8" joinstyle="miter"/>
                <v:imagedata o:title=""/>
                <o:lock v:ext="edit" aspectratio="f"/>
                <v:textbox>
                  <w:txbxContent>
                    <w:p>
                      <w:pPr>
                        <w:jc w:val="both"/>
                        <w:rPr>
                          <w:rFonts w:hint="default" w:eastAsiaTheme="minorEastAsia"/>
                          <w:color w:val="0D0D0D" w:themeColor="text1" w:themeTint="F2"/>
                          <w:lang w:val="en-US" w:eastAsia="zh-CN"/>
                          <w14:textFill>
                            <w14:solidFill>
                              <w14:schemeClr w14:val="tx1">
                                <w14:lumMod w14:val="95000"/>
                                <w14:lumOff w14:val="5000"/>
                              </w14:schemeClr>
                            </w14:solidFill>
                          </w14:textFill>
                        </w:rPr>
                      </w:pPr>
                      <w:r>
                        <w:rPr>
                          <w:rFonts w:hint="eastAsia"/>
                          <w:color w:val="0D0D0D" w:themeColor="text1" w:themeTint="F2"/>
                          <w:sz w:val="15"/>
                          <w:szCs w:val="15"/>
                          <w:lang w:val="en-US" w:eastAsia="zh-CN"/>
                          <w14:textFill>
                            <w14:solidFill>
                              <w14:schemeClr w14:val="tx1">
                                <w14:lumMod w14:val="95000"/>
                                <w14:lumOff w14:val="5000"/>
                              </w14:schemeClr>
                            </w14:solidFill>
                          </w14:textFill>
                        </w:rPr>
                        <w:t>65.8%</w:t>
                      </w:r>
                    </w:p>
                  </w:txbxContent>
                </v:textbox>
              </v:shap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2961640</wp:posOffset>
                </wp:positionH>
                <wp:positionV relativeFrom="paragraph">
                  <wp:posOffset>449580</wp:posOffset>
                </wp:positionV>
                <wp:extent cx="572770" cy="300990"/>
                <wp:effectExtent l="0" t="88265" r="0" b="125095"/>
                <wp:wrapNone/>
                <wp:docPr id="59" name="燕尾形箭头 59"/>
                <wp:cNvGraphicFramePr/>
                <a:graphic xmlns:a="http://schemas.openxmlformats.org/drawingml/2006/main">
                  <a:graphicData uri="http://schemas.microsoft.com/office/word/2010/wordprocessingShape">
                    <wps:wsp>
                      <wps:cNvSpPr/>
                      <wps:spPr>
                        <a:xfrm rot="19080000">
                          <a:off x="0" y="0"/>
                          <a:ext cx="572770" cy="300990"/>
                        </a:xfrm>
                        <a:prstGeom prst="notchedRightArrow">
                          <a:avLst>
                            <a:gd name="adj1" fmla="val 50000"/>
                            <a:gd name="adj2" fmla="val 36974"/>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33.2pt;margin-top:35.4pt;height:23.7pt;width:45.1pt;rotation:-2752512f;z-index:251694080;v-text-anchor:middle;mso-width-relative:page;mso-height-relative:page;" fillcolor="#FF0000" filled="t" stroked="t" coordsize="21600,21600" o:gfxdata="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CU&#10;gkYf2AAAAAoBAAAPAAAAAAAAAAEAIAAAACIAAABkcnMvZG93bnJldi54bWxQSwECFAAUAAAACACH&#10;TuJA5oCozc8CAACXBQAADgAAAAAAAAABACAAAAAnAQAAZHJzL2Uyb0RvYy54bWxQSwUGAAAAAAYA&#10;BgBZAQAAaAYAAAAA&#10;" adj="17404,5400">
                <v:fill on="t" focussize="0,0"/>
                <v:stroke weight="1pt" color="#2F528F [3204]" miterlimit="8" joinstyle="miter"/>
                <v:imagedata o:title=""/>
                <o:lock v:ext="edit" aspectratio="f"/>
                <v:textbox>
                  <w:txbxContent>
                    <w:p>
                      <w:pPr>
                        <w:jc w:val="center"/>
                      </w:pPr>
                    </w:p>
                  </w:txbxContent>
                </v:textbox>
              </v:shape>
            </w:pict>
          </mc:Fallback>
        </mc:AlternateContent>
      </w:r>
      <w:r>
        <w:drawing>
          <wp:inline distT="0" distB="0" distL="114300" distR="114300">
            <wp:extent cx="4572000" cy="2743200"/>
            <wp:effectExtent l="4445" t="4445" r="14605" b="14605"/>
            <wp:docPr id="6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sz w:val="21"/>
        </w:rPr>
        <mc:AlternateContent>
          <mc:Choice Requires="wps">
            <w:drawing>
              <wp:anchor distT="0" distB="0" distL="114300" distR="114300" simplePos="0" relativeHeight="251687936" behindDoc="0" locked="0" layoutInCell="1" allowOverlap="1">
                <wp:simplePos x="0" y="0"/>
                <wp:positionH relativeFrom="column">
                  <wp:posOffset>941070</wp:posOffset>
                </wp:positionH>
                <wp:positionV relativeFrom="paragraph">
                  <wp:posOffset>520065</wp:posOffset>
                </wp:positionV>
                <wp:extent cx="572770" cy="269875"/>
                <wp:effectExtent l="0" t="100330" r="0" b="125095"/>
                <wp:wrapNone/>
                <wp:docPr id="61" name="燕尾形箭头 61"/>
                <wp:cNvGraphicFramePr/>
                <a:graphic xmlns:a="http://schemas.openxmlformats.org/drawingml/2006/main">
                  <a:graphicData uri="http://schemas.microsoft.com/office/word/2010/wordprocessingShape">
                    <wps:wsp>
                      <wps:cNvSpPr/>
                      <wps:spPr>
                        <a:xfrm rot="19080000">
                          <a:off x="1994535" y="7811770"/>
                          <a:ext cx="572770" cy="269875"/>
                        </a:xfrm>
                        <a:prstGeom prst="notchedRightArrow">
                          <a:avLst>
                            <a:gd name="adj1" fmla="val 50000"/>
                            <a:gd name="adj2" fmla="val 36974"/>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74.1pt;margin-top:40.95pt;height:21.25pt;width:45.1pt;rotation:-2752512f;z-index:251687936;v-text-anchor:middle;mso-width-relative:page;mso-height-relative:page;" fillcolor="#FF0000" filled="t" stroked="t" coordsize="21600,21600" o:gfxdata="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hcaikNUAAAAKAQAADwAAAAAAAAABACAAAAAiAAAAZHJzL2Rvd25yZXYueG1sUEsBAhQA&#10;FAAAAAgAh07iQB38yjDZAgAAowUAAA4AAAAAAAAAAQAgAAAAJAEAAGRycy9lMm9Eb2MueG1sUEsF&#10;BgAAAAAGAAYAWQEAAG8GAAAAAA==&#10;" adj="17838,5400">
                <v:fill on="t" focussize="0,0"/>
                <v:stroke weight="1pt" color="#2F528F [3204]" miterlimit="8" joinstyle="miter"/>
                <v:imagedata o:title=""/>
                <o:lock v:ext="edit" aspectratio="f"/>
                <v:textbox>
                  <w:txbxContent>
                    <w:p>
                      <w:pPr>
                        <w:jc w:val="center"/>
                      </w:pPr>
                    </w:p>
                  </w:txbxContent>
                </v:textbox>
              </v:shape>
            </w:pict>
          </mc:Fallback>
        </mc:AlternateContent>
      </w: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1992.15</w:t>
      </w:r>
      <w:r>
        <w:rPr>
          <w:rFonts w:hint="eastAsia" w:ascii="仿宋_GB2312" w:hAnsi="Times New Roman" w:eastAsia="仿宋_GB2312" w:cs="DengXian-Regular"/>
          <w:sz w:val="32"/>
          <w:szCs w:val="32"/>
        </w:rPr>
        <w:t>元，完成年初预算的</w:t>
      </w:r>
      <w:r>
        <w:rPr>
          <w:rFonts w:hint="eastAsia" w:ascii="仿宋_GB2312" w:hAnsi="Times New Roman" w:eastAsia="仿宋_GB2312" w:cs="DengXian-Regular"/>
          <w:sz w:val="32"/>
          <w:szCs w:val="32"/>
          <w:lang w:val="en-US" w:eastAsia="zh-CN"/>
        </w:rPr>
        <w:t>104.29</w:t>
      </w:r>
      <w:r>
        <w:rPr>
          <w:rFonts w:hint="eastAsia" w:ascii="仿宋_GB2312" w:hAnsi="Times New Roman" w:eastAsia="仿宋_GB2312" w:cs="DengXian-Regular"/>
          <w:sz w:val="32"/>
          <w:szCs w:val="32"/>
        </w:rPr>
        <w:t>%（如图4）,比年初预算增加</w:t>
      </w:r>
      <w:r>
        <w:rPr>
          <w:rFonts w:hint="eastAsia" w:ascii="仿宋_GB2312" w:hAnsi="Times New Roman" w:eastAsia="仿宋_GB2312" w:cs="DengXian-Regular"/>
          <w:sz w:val="32"/>
          <w:szCs w:val="32"/>
          <w:lang w:val="en-US" w:eastAsia="zh-CN"/>
        </w:rPr>
        <w:t>81.97</w:t>
      </w:r>
      <w:r>
        <w:rPr>
          <w:rFonts w:hint="eastAsia" w:ascii="仿宋_GB2312" w:hAnsi="Times New Roman" w:eastAsia="仿宋_GB2312" w:cs="DengXian-Regular"/>
          <w:sz w:val="32"/>
          <w:szCs w:val="32"/>
        </w:rPr>
        <w:t>万元，决算数大于预算数主要原因是</w:t>
      </w:r>
      <w:r>
        <w:rPr>
          <w:rFonts w:hint="eastAsia" w:ascii="仿宋_GB2312" w:eastAsia="仿宋_GB2312" w:cs="DengXian-Regular"/>
          <w:sz w:val="32"/>
          <w:szCs w:val="32"/>
        </w:rPr>
        <w:t>年中上级奖励资金年初未列入预算</w:t>
      </w:r>
      <w:r>
        <w:rPr>
          <w:rFonts w:hint="eastAsia" w:ascii="仿宋_GB2312" w:eastAsia="仿宋_GB2312" w:cs="DengXian-Regular"/>
          <w:sz w:val="32"/>
          <w:szCs w:val="32"/>
          <w:lang w:eastAsia="zh-CN"/>
        </w:rPr>
        <w:t>，第一届文化旅游发展大会资金年初未列入预算</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2010.09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105.23</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99.91</w:t>
      </w:r>
      <w:r>
        <w:rPr>
          <w:rFonts w:hint="eastAsia" w:ascii="仿宋_GB2312" w:hAnsi="Times New Roman" w:eastAsia="仿宋_GB2312" w:cs="DengXian-Regular"/>
          <w:sz w:val="32"/>
          <w:szCs w:val="32"/>
        </w:rPr>
        <w:t>万元，决算数大于预算数主要原因是主要是</w:t>
      </w:r>
      <w:r>
        <w:rPr>
          <w:rFonts w:hint="eastAsia" w:ascii="仿宋_GB2312" w:eastAsia="仿宋_GB2312" w:cs="DengXian-Regular"/>
          <w:sz w:val="32"/>
          <w:szCs w:val="32"/>
        </w:rPr>
        <w:t>项目增加，支出增加</w:t>
      </w:r>
      <w:r>
        <w:rPr>
          <w:rFonts w:hint="eastAsia" w:ascii="仿宋_GB2312" w:hAnsi="Times New Roman" w:eastAsia="仿宋_GB2312" w:cs="DengXian-Regular"/>
          <w:sz w:val="32"/>
          <w:szCs w:val="32"/>
        </w:rPr>
        <w:t>。具体情况如下：</w:t>
      </w:r>
    </w:p>
    <w:p>
      <w:pPr>
        <w:numPr>
          <w:ilvl w:val="0"/>
          <w:numId w:val="3"/>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w:t>
      </w:r>
      <w:r>
        <w:rPr>
          <w:rFonts w:hint="eastAsia" w:ascii="仿宋_GB2312" w:hAnsi="Times New Roman" w:eastAsia="仿宋_GB2312" w:cs="DengXian-Regular"/>
          <w:sz w:val="32"/>
          <w:szCs w:val="32"/>
          <w:lang w:val="en-US" w:eastAsia="zh-CN"/>
        </w:rPr>
        <w:t>136.53</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515.82</w:t>
      </w:r>
      <w:r>
        <w:rPr>
          <w:rFonts w:hint="eastAsia" w:ascii="仿宋_GB2312" w:hAnsi="Times New Roman" w:eastAsia="仿宋_GB2312" w:cs="DengXian-Regular"/>
          <w:sz w:val="32"/>
          <w:szCs w:val="32"/>
        </w:rPr>
        <w:t>万元，主要是</w:t>
      </w:r>
      <w:r>
        <w:rPr>
          <w:rFonts w:hint="eastAsia" w:ascii="仿宋_GB2312" w:eastAsia="仿宋_GB2312" w:cs="DengXian-Regular"/>
          <w:sz w:val="32"/>
          <w:szCs w:val="32"/>
        </w:rPr>
        <w:t>年中上级奖励资金年初未列入预算</w:t>
      </w:r>
      <w:r>
        <w:rPr>
          <w:rFonts w:hint="eastAsia" w:ascii="仿宋_GB2312" w:eastAsia="仿宋_GB2312" w:cs="DengXian-Regular"/>
          <w:sz w:val="32"/>
          <w:szCs w:val="32"/>
          <w:lang w:eastAsia="zh-CN"/>
        </w:rPr>
        <w:t>，第一届文化旅游发展大会资金年初未列入预算</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101.35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25.72</w:t>
      </w:r>
      <w:r>
        <w:rPr>
          <w:rFonts w:hint="eastAsia" w:ascii="仿宋_GB2312" w:hAnsi="Times New Roman" w:eastAsia="仿宋_GB2312" w:cs="DengXian-Regular"/>
          <w:sz w:val="32"/>
          <w:szCs w:val="32"/>
        </w:rPr>
        <w:t>万元，主要是</w:t>
      </w:r>
      <w:r>
        <w:rPr>
          <w:rFonts w:hint="eastAsia" w:ascii="仿宋_GB2312" w:eastAsia="仿宋_GB2312" w:cs="DengXian-Regular"/>
          <w:sz w:val="32"/>
          <w:szCs w:val="32"/>
        </w:rPr>
        <w:t>项目增加，支出增加</w:t>
      </w:r>
      <w:r>
        <w:rPr>
          <w:rFonts w:hint="eastAsia" w:ascii="仿宋_GB2312" w:hAnsi="Times New Roman" w:eastAsia="仿宋_GB2312" w:cs="DengXian-Regular"/>
          <w:sz w:val="32"/>
          <w:szCs w:val="32"/>
        </w:rPr>
        <w:t>。</w:t>
      </w:r>
    </w:p>
    <w:p>
      <w:pPr>
        <w:adjustRightInd w:val="0"/>
        <w:snapToGrid w:val="0"/>
        <w:spacing w:after="0" w:line="580" w:lineRule="exact"/>
        <w:jc w:val="center"/>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政府性基金预算财政拨款本年收入完成年初预算</w:t>
      </w:r>
      <w:r>
        <w:rPr>
          <w:rFonts w:hint="eastAsia" w:ascii="仿宋_GB2312" w:hAnsi="Times New Roman" w:eastAsia="仿宋_GB2312" w:cs="DengXian-Regular"/>
          <w:sz w:val="32"/>
          <w:szCs w:val="32"/>
          <w:lang w:val="en-US" w:eastAsia="zh-CN"/>
        </w:rPr>
        <w:t>12.93</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433.84</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政府性基金短收，一些项目转为一般预算列支</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14.89</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424.08</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政府性基金短收，一些项目转为一般列支</w:t>
      </w:r>
      <w:r>
        <w:rPr>
          <w:rFonts w:hint="eastAsia" w:ascii="仿宋_GB2312" w:hAnsi="Times New Roman" w:eastAsia="仿宋_GB2312" w:cs="DengXian-Regular"/>
          <w:sz w:val="32"/>
          <w:szCs w:val="32"/>
        </w:rPr>
        <w:t>。</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keepNext w:val="0"/>
        <w:keepLines w:val="0"/>
        <w:widowControl w:val="0"/>
        <w:suppressLineNumbers w:val="0"/>
        <w:spacing w:before="0" w:beforeAutospacing="0" w:after="0" w:afterAutospacing="0"/>
        <w:ind w:left="0" w:right="0"/>
        <w:jc w:val="both"/>
      </w:pPr>
      <w:r>
        <w:rPr>
          <w:rFonts w:hint="default" w:ascii="等线" w:hAnsi="等线" w:eastAsia="宋体" w:cs="Times New Roman"/>
          <w:kern w:val="2"/>
          <w:sz w:val="21"/>
          <w:szCs w:val="21"/>
          <w:lang w:val="en-US" w:eastAsia="zh-CN" w:bidi="ar"/>
        </w:rPr>
        <w:drawing>
          <wp:inline distT="0" distB="0" distL="114300" distR="114300">
            <wp:extent cx="5295900" cy="3086100"/>
            <wp:effectExtent l="0" t="0" r="0" b="0"/>
            <wp:docPr id="34" name="图表 1"/>
            <wp:cNvGraphicFramePr/>
            <a:graphic xmlns:a="http://schemas.openxmlformats.org/drawingml/2006/main">
              <a:graphicData uri="http://schemas.openxmlformats.org/drawingml/2006/picture">
                <pic:pic xmlns:pic="http://schemas.openxmlformats.org/drawingml/2006/picture">
                  <pic:nvPicPr>
                    <pic:cNvPr id="34" name="图表 1"/>
                    <pic:cNvPicPr/>
                  </pic:nvPicPr>
                  <pic:blipFill>
                    <a:blip r:embed="rId32"/>
                    <a:stretch>
                      <a:fillRect/>
                    </a:stretch>
                  </pic:blipFill>
                  <pic:spPr>
                    <a:xfrm>
                      <a:off x="0" y="0"/>
                      <a:ext cx="5295900" cy="3086100"/>
                    </a:xfrm>
                    <a:prstGeom prst="rect">
                      <a:avLst/>
                    </a:prstGeom>
                    <a:noFill/>
                    <a:ln>
                      <a:noFill/>
                    </a:ln>
                  </pic:spPr>
                </pic:pic>
              </a:graphicData>
            </a:graphic>
          </wp:inline>
        </w:drawing>
      </w:r>
    </w:p>
    <w:p>
      <w:pPr>
        <w:adjustRightInd w:val="0"/>
        <w:snapToGrid w:val="0"/>
        <w:spacing w:line="580" w:lineRule="exact"/>
        <w:rPr>
          <w:rFonts w:ascii="仿宋_GB2312" w:hAnsi="Times New Roman" w:eastAsia="仿宋_GB2312" w:cs="DengXian-Regular"/>
          <w:sz w:val="32"/>
          <w:szCs w:val="32"/>
          <w:highlight w:val="yellow"/>
        </w:rPr>
      </w:pPr>
    </w:p>
    <w:p>
      <w:pPr>
        <w:numPr>
          <w:ilvl w:val="0"/>
          <w:numId w:val="4"/>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2010.09</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eastAsia="仿宋_GB2312" w:cs="DengXian-Regular"/>
          <w:sz w:val="32"/>
          <w:szCs w:val="32"/>
        </w:rPr>
        <w:t>文化体育与传媒支出</w:t>
      </w:r>
      <w:r>
        <w:rPr>
          <w:rFonts w:hint="eastAsia" w:ascii="仿宋_GB2312" w:eastAsia="仿宋_GB2312" w:cs="DengXian-Regular"/>
          <w:sz w:val="32"/>
          <w:szCs w:val="32"/>
          <w:lang w:val="en-US" w:eastAsia="zh-CN"/>
        </w:rPr>
        <w:t>1923.92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95.71</w:t>
      </w:r>
      <w:r>
        <w:rPr>
          <w:rFonts w:hint="eastAsia" w:ascii="仿宋_GB2312" w:eastAsia="仿宋_GB2312" w:cs="DengXian-Regular"/>
          <w:sz w:val="32"/>
          <w:szCs w:val="32"/>
        </w:rPr>
        <w:t>%；</w:t>
      </w:r>
      <w:r>
        <w:rPr>
          <w:rFonts w:hint="eastAsia" w:ascii="仿宋_GB2312" w:eastAsia="仿宋_GB2312" w:cs="DengXian-Regular"/>
          <w:sz w:val="32"/>
          <w:szCs w:val="32"/>
          <w:lang w:eastAsia="zh-CN"/>
        </w:rPr>
        <w:t>农林水支出</w:t>
      </w:r>
      <w:r>
        <w:rPr>
          <w:rFonts w:hint="eastAsia" w:ascii="仿宋_GB2312" w:eastAsia="仿宋_GB2312" w:cs="DengXian-Regular"/>
          <w:sz w:val="32"/>
          <w:szCs w:val="32"/>
          <w:lang w:val="en-US" w:eastAsia="zh-CN"/>
        </w:rPr>
        <w:t>5.6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0.27</w:t>
      </w:r>
      <w:r>
        <w:rPr>
          <w:rFonts w:hint="eastAsia" w:ascii="仿宋_GB2312" w:eastAsia="仿宋_GB2312" w:cs="DengXian-Regular"/>
          <w:sz w:val="32"/>
          <w:szCs w:val="32"/>
        </w:rPr>
        <w:t>%；</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1.82</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0.09</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灾害防治及应急管理支出</w:t>
      </w:r>
      <w:r>
        <w:rPr>
          <w:rFonts w:hint="eastAsia" w:ascii="仿宋_GB2312" w:hAnsi="Times New Roman" w:eastAsia="仿宋_GB2312" w:cs="DengXian-Regular"/>
          <w:sz w:val="32"/>
          <w:szCs w:val="32"/>
          <w:lang w:val="en-US" w:eastAsia="zh-CN"/>
        </w:rPr>
        <w:t>4.56万元，占0.23%，</w:t>
      </w:r>
      <w:r>
        <w:rPr>
          <w:rFonts w:hint="eastAsia" w:ascii="仿宋_GB2312" w:eastAsia="仿宋_GB2312" w:cs="DengXian-Regular"/>
          <w:sz w:val="32"/>
          <w:szCs w:val="32"/>
        </w:rPr>
        <w:t>其他支出</w:t>
      </w:r>
      <w:r>
        <w:rPr>
          <w:rFonts w:hint="eastAsia" w:ascii="仿宋_GB2312" w:eastAsia="仿宋_GB2312" w:cs="DengXian-Regular"/>
          <w:sz w:val="32"/>
          <w:szCs w:val="32"/>
          <w:lang w:val="en-US" w:eastAsia="zh-CN"/>
        </w:rPr>
        <w:t>74.18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3.7</w:t>
      </w:r>
      <w:r>
        <w:rPr>
          <w:rFonts w:hint="eastAsia" w:ascii="仿宋_GB2312" w:eastAsia="仿宋_GB2312" w:cs="DengXian-Regular"/>
          <w:sz w:val="32"/>
          <w:szCs w:val="32"/>
        </w:rPr>
        <w:t>%。</w:t>
      </w:r>
    </w:p>
    <w:p>
      <w:pPr>
        <w:keepNext w:val="0"/>
        <w:keepLines w:val="0"/>
        <w:widowControl w:val="0"/>
        <w:suppressLineNumbers w:val="0"/>
        <w:spacing w:before="0" w:beforeAutospacing="0" w:after="0" w:afterAutospacing="0"/>
        <w:ind w:left="0" w:right="0"/>
        <w:jc w:val="both"/>
      </w:pPr>
      <w:r>
        <w:rPr>
          <w:rFonts w:hint="default" w:ascii="等线" w:hAnsi="等线" w:eastAsia="宋体" w:cs="Times New Roman"/>
          <w:kern w:val="2"/>
          <w:sz w:val="21"/>
          <w:szCs w:val="21"/>
          <w:lang w:val="en-US" w:eastAsia="zh-CN" w:bidi="ar"/>
        </w:rPr>
        <w:drawing>
          <wp:inline distT="0" distB="0" distL="114300" distR="114300">
            <wp:extent cx="5295900" cy="3086100"/>
            <wp:effectExtent l="0" t="0" r="0" b="0"/>
            <wp:docPr id="32" name="图表 2"/>
            <wp:cNvGraphicFramePr/>
            <a:graphic xmlns:a="http://schemas.openxmlformats.org/drawingml/2006/main">
              <a:graphicData uri="http://schemas.openxmlformats.org/drawingml/2006/picture">
                <pic:pic xmlns:pic="http://schemas.openxmlformats.org/drawingml/2006/picture">
                  <pic:nvPicPr>
                    <pic:cNvPr id="32" name="图表 2"/>
                    <pic:cNvPicPr/>
                  </pic:nvPicPr>
                  <pic:blipFill>
                    <a:blip r:embed="rId33"/>
                    <a:stretch>
                      <a:fillRect/>
                    </a:stretch>
                  </pic:blipFill>
                  <pic:spPr>
                    <a:xfrm>
                      <a:off x="0" y="0"/>
                      <a:ext cx="5295900" cy="3086100"/>
                    </a:xfrm>
                    <a:prstGeom prst="rect">
                      <a:avLst/>
                    </a:prstGeom>
                    <a:noFill/>
                    <a:ln>
                      <a:noFill/>
                    </a:ln>
                  </pic:spPr>
                </pic:pic>
              </a:graphicData>
            </a:graphic>
          </wp:inline>
        </w:drawing>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596.04</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543.06</w:t>
      </w:r>
      <w:r>
        <w:rPr>
          <w:rFonts w:hint="eastAsia" w:ascii="仿宋_GB2312" w:hAnsi="Times New Roman" w:eastAsia="仿宋_GB2312" w:cs="DengXian-Regular"/>
          <w:sz w:val="32"/>
          <w:szCs w:val="32"/>
        </w:rPr>
        <w:t xml:space="preserve">万元，主要包括基本工资、津贴补贴、奖金、绩效工资、机关事业单位基本养老保险缴费、职业年金缴费、职工基本医疗保险缴费、住房公积金、其他社会保障缴费、抚恤金；公用经费 </w:t>
      </w:r>
      <w:r>
        <w:rPr>
          <w:rFonts w:hint="eastAsia" w:ascii="仿宋_GB2312" w:hAnsi="Times New Roman" w:eastAsia="仿宋_GB2312" w:cs="DengXian-Regular"/>
          <w:sz w:val="32"/>
          <w:szCs w:val="32"/>
          <w:lang w:val="en-US" w:eastAsia="zh-CN"/>
        </w:rPr>
        <w:t>52.98</w:t>
      </w:r>
      <w:r>
        <w:rPr>
          <w:rFonts w:hint="eastAsia" w:ascii="仿宋_GB2312" w:hAnsi="Times New Roman" w:eastAsia="仿宋_GB2312" w:cs="DengXian-Regular"/>
          <w:sz w:val="32"/>
          <w:szCs w:val="32"/>
        </w:rPr>
        <w:t>万元，主要包括办公费、水费、电费、邮电费、取暖费、差旅费、维修（护）费、租赁费、专用材料费、工会经费、公务用车运行维护费、其他交通费用、其他商品和服务支出、办公设备购置。</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11.78</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66.74</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5.87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33.26</w:t>
      </w:r>
      <w:r>
        <w:rPr>
          <w:rFonts w:hint="eastAsia" w:ascii="仿宋_GB2312" w:hAnsi="Times New Roman" w:eastAsia="仿宋_GB2312" w:cs="DengXian-Regular"/>
          <w:sz w:val="32"/>
          <w:szCs w:val="32"/>
        </w:rPr>
        <w:t>%，主要是</w:t>
      </w:r>
      <w:r>
        <w:rPr>
          <w:rFonts w:hint="eastAsia" w:ascii="仿宋" w:hAnsi="仿宋" w:eastAsia="仿宋" w:cs="宋体"/>
          <w:sz w:val="32"/>
          <w:szCs w:val="32"/>
        </w:rPr>
        <w:t>公务接待有所减少</w:t>
      </w:r>
      <w:r>
        <w:rPr>
          <w:rFonts w:hint="eastAsia" w:ascii="仿宋" w:hAnsi="仿宋" w:eastAsia="仿宋" w:cs="宋体"/>
          <w:sz w:val="32"/>
          <w:szCs w:val="32"/>
          <w:lang w:eastAsia="zh-CN"/>
        </w:rPr>
        <w:t>，培训费有所减少</w:t>
      </w:r>
      <w:r>
        <w:rPr>
          <w:rFonts w:hint="eastAsia" w:ascii="仿宋_GB2312" w:hAnsi="Times New Roman" w:eastAsia="仿宋_GB2312" w:cs="DengXian-Regular"/>
          <w:sz w:val="32"/>
          <w:szCs w:val="32"/>
        </w:rPr>
        <w:t>；较2018年度减少</w:t>
      </w:r>
      <w:r>
        <w:rPr>
          <w:rFonts w:hint="eastAsia" w:ascii="仿宋_GB2312" w:hAnsi="Times New Roman" w:eastAsia="仿宋_GB2312" w:cs="DengXian-Regular"/>
          <w:sz w:val="32"/>
          <w:szCs w:val="32"/>
          <w:lang w:val="en-US" w:eastAsia="zh-CN"/>
        </w:rPr>
        <w:t>15.65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57.05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减少了公车购置费。</w:t>
      </w:r>
      <w:r>
        <w:rPr>
          <w:rFonts w:hint="eastAsia" w:ascii="仿宋_GB2312" w:hAnsi="Times New Roman" w:eastAsia="仿宋_GB2312" w:cs="DengXian-Regular"/>
          <w:sz w:val="32"/>
          <w:szCs w:val="32"/>
        </w:rPr>
        <w:t>具体情况如下：</w:t>
      </w:r>
    </w:p>
    <w:p>
      <w:pPr>
        <w:adjustRightInd w:val="0"/>
        <w:snapToGrid w:val="0"/>
        <w:spacing w:line="584" w:lineRule="exact"/>
        <w:ind w:firstLine="643" w:firstLineChars="200"/>
        <w:rPr>
          <w:rFonts w:ascii="仿宋" w:hAnsi="仿宋" w:eastAsia="仿宋"/>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楷体_GB2312" w:hAnsi="Times New Roman" w:eastAsia="楷体_GB2312" w:cs="DengXian-Bold"/>
          <w:b/>
          <w:bCs/>
          <w:sz w:val="32"/>
          <w:szCs w:val="32"/>
          <w:lang w:eastAsia="zh-CN"/>
        </w:rPr>
        <w:t>。</w:t>
      </w:r>
      <w:r>
        <w:rPr>
          <w:rFonts w:ascii="仿宋" w:hAnsi="仿宋" w:eastAsia="仿宋"/>
          <w:sz w:val="32"/>
          <w:szCs w:val="32"/>
        </w:rPr>
        <w:t>本部门201</w:t>
      </w:r>
      <w:r>
        <w:rPr>
          <w:rFonts w:hint="eastAsia" w:ascii="仿宋" w:hAnsi="仿宋" w:eastAsia="仿宋"/>
          <w:sz w:val="32"/>
          <w:szCs w:val="32"/>
          <w:lang w:val="en-US" w:eastAsia="zh-CN"/>
        </w:rPr>
        <w:t>9</w:t>
      </w:r>
      <w:r>
        <w:rPr>
          <w:rFonts w:ascii="仿宋" w:hAnsi="仿宋" w:eastAsia="仿宋"/>
          <w:sz w:val="32"/>
          <w:szCs w:val="32"/>
        </w:rPr>
        <w:t>年度</w:t>
      </w:r>
      <w:r>
        <w:rPr>
          <w:rFonts w:hint="eastAsia" w:ascii="仿宋" w:hAnsi="仿宋" w:eastAsia="仿宋" w:cs="DengXian-Regular"/>
          <w:sz w:val="32"/>
          <w:szCs w:val="32"/>
        </w:rPr>
        <w:t>无本单位组织的出国（境）团组。</w:t>
      </w:r>
      <w:r>
        <w:rPr>
          <w:rFonts w:ascii="仿宋" w:hAnsi="仿宋" w:eastAsia="仿宋"/>
          <w:sz w:val="32"/>
          <w:szCs w:val="32"/>
        </w:rPr>
        <w:t>因公出国（境）费支出</w:t>
      </w:r>
      <w:r>
        <w:rPr>
          <w:rFonts w:hint="eastAsia" w:ascii="仿宋" w:hAnsi="仿宋" w:eastAsia="仿宋"/>
          <w:sz w:val="32"/>
          <w:szCs w:val="32"/>
        </w:rPr>
        <w:t>较</w:t>
      </w:r>
      <w:r>
        <w:rPr>
          <w:rFonts w:ascii="仿宋" w:hAnsi="仿宋" w:eastAsia="仿宋"/>
          <w:sz w:val="32"/>
          <w:szCs w:val="32"/>
        </w:rPr>
        <w:t>年初预算</w:t>
      </w:r>
      <w:r>
        <w:rPr>
          <w:rFonts w:hint="eastAsia" w:ascii="仿宋" w:hAnsi="仿宋" w:eastAsia="仿宋"/>
          <w:sz w:val="32"/>
          <w:szCs w:val="32"/>
        </w:rPr>
        <w:t>无</w:t>
      </w:r>
      <w:r>
        <w:rPr>
          <w:rFonts w:ascii="仿宋" w:hAnsi="仿宋" w:eastAsia="仿宋"/>
          <w:sz w:val="32"/>
          <w:szCs w:val="32"/>
        </w:rPr>
        <w:t>增减</w:t>
      </w:r>
      <w:r>
        <w:rPr>
          <w:rFonts w:hint="eastAsia" w:ascii="仿宋" w:hAnsi="仿宋" w:eastAsia="仿宋" w:cs="宋体"/>
          <w:sz w:val="32"/>
          <w:szCs w:val="32"/>
        </w:rPr>
        <w:t>变化。</w:t>
      </w:r>
      <w:r>
        <w:rPr>
          <w:rFonts w:hint="eastAsia" w:ascii="仿宋" w:hAnsi="仿宋" w:eastAsia="仿宋"/>
          <w:sz w:val="32"/>
          <w:szCs w:val="32"/>
        </w:rPr>
        <w:t>较</w:t>
      </w:r>
      <w:r>
        <w:rPr>
          <w:rFonts w:ascii="仿宋" w:hAnsi="仿宋" w:eastAsia="仿宋"/>
          <w:sz w:val="32"/>
          <w:szCs w:val="32"/>
        </w:rPr>
        <w:t>201</w:t>
      </w:r>
      <w:r>
        <w:rPr>
          <w:rFonts w:hint="eastAsia" w:ascii="仿宋" w:hAnsi="仿宋" w:eastAsia="仿宋"/>
          <w:sz w:val="32"/>
          <w:szCs w:val="32"/>
          <w:lang w:val="en-US" w:eastAsia="zh-CN"/>
        </w:rPr>
        <w:t>8</w:t>
      </w:r>
      <w:r>
        <w:rPr>
          <w:rFonts w:ascii="仿宋" w:hAnsi="仿宋" w:eastAsia="仿宋"/>
          <w:sz w:val="32"/>
          <w:szCs w:val="32"/>
        </w:rPr>
        <w:t>年度决算</w:t>
      </w:r>
      <w:r>
        <w:rPr>
          <w:rFonts w:hint="eastAsia" w:ascii="仿宋" w:hAnsi="仿宋" w:eastAsia="仿宋"/>
          <w:sz w:val="32"/>
          <w:szCs w:val="32"/>
        </w:rPr>
        <w:t>无</w:t>
      </w:r>
      <w:r>
        <w:rPr>
          <w:rFonts w:ascii="仿宋" w:hAnsi="仿宋" w:eastAsia="仿宋"/>
          <w:sz w:val="32"/>
          <w:szCs w:val="32"/>
        </w:rPr>
        <w:t>增减</w:t>
      </w:r>
      <w:r>
        <w:rPr>
          <w:rFonts w:hint="eastAsia" w:ascii="仿宋" w:hAnsi="仿宋" w:eastAsia="仿宋"/>
          <w:sz w:val="32"/>
          <w:szCs w:val="32"/>
        </w:rPr>
        <w:t>变化</w:t>
      </w:r>
      <w:bookmarkStart w:id="0" w:name="_GoBack"/>
      <w:bookmarkEnd w:id="0"/>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11.78</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0.72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5.76</w:t>
      </w:r>
      <w:r>
        <w:rPr>
          <w:rFonts w:hint="eastAsia" w:ascii="仿宋_GB2312" w:hAnsi="Times New Roman" w:eastAsia="仿宋_GB2312" w:cs="DengXian-Regular"/>
          <w:sz w:val="32"/>
          <w:szCs w:val="32"/>
        </w:rPr>
        <w:t>%,主要是</w:t>
      </w:r>
      <w:r>
        <w:rPr>
          <w:rFonts w:hint="eastAsia" w:ascii="仿宋" w:hAnsi="仿宋" w:eastAsia="仿宋" w:cs="DengXian-Regular"/>
          <w:sz w:val="32"/>
          <w:szCs w:val="32"/>
        </w:rPr>
        <w:t>公车运行维护费有所减少</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15.62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减少了公车购置费</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w:t>
      </w:r>
      <w:r>
        <w:rPr>
          <w:rFonts w:hint="eastAsia" w:ascii="仿宋_GB2312" w:hAnsi="Times New Roman" w:eastAsia="仿宋_GB2312" w:cs="DengXian-Regular"/>
          <w:color w:val="000000"/>
          <w:sz w:val="32"/>
          <w:szCs w:val="32"/>
          <w:highlight w:val="none"/>
        </w:rPr>
        <w:t>未发生“公务用车购置”经费支出</w:t>
      </w:r>
      <w:r>
        <w:rPr>
          <w:rFonts w:hint="eastAsia" w:ascii="仿宋_GB2312" w:hAnsi="Times New Roman" w:eastAsia="仿宋_GB2312" w:cs="DengXian-Regular"/>
          <w:color w:val="000000"/>
          <w:sz w:val="32"/>
          <w:szCs w:val="32"/>
          <w:highlight w:val="none"/>
          <w:lang w:eastAsia="zh-CN"/>
        </w:rPr>
        <w:t>。</w:t>
      </w:r>
      <w:r>
        <w:rPr>
          <w:rFonts w:hint="eastAsia" w:ascii="仿宋_GB2312" w:hAnsi="Times New Roman" w:eastAsia="仿宋_GB2312" w:cs="DengXian-Regular"/>
          <w:sz w:val="32"/>
          <w:szCs w:val="32"/>
        </w:rPr>
        <w:t>公务用车购置费支出</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18</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减少公车购置一辆。</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b/>
          <w:sz w:val="32"/>
          <w:szCs w:val="32"/>
          <w:lang w:val="en-US" w:eastAsia="zh-CN"/>
        </w:rPr>
        <w:t>11.78万元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辆。公车运行维护费支出较预算增加减少</w:t>
      </w:r>
      <w:r>
        <w:rPr>
          <w:rFonts w:hint="eastAsia" w:ascii="仿宋_GB2312" w:hAnsi="Times New Roman" w:eastAsia="仿宋_GB2312" w:cs="DengXian-Regular"/>
          <w:sz w:val="32"/>
          <w:szCs w:val="32"/>
          <w:lang w:val="en-US" w:eastAsia="zh-CN"/>
        </w:rPr>
        <w:t>0.72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5.76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公车的保险费有所减少</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2.38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25.31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公车维修增加</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公务接</w:t>
      </w:r>
      <w:r>
        <w:rPr>
          <w:rFonts w:hint="eastAsia" w:ascii="仿宋_GB2312" w:hAnsi="Times New Roman" w:eastAsia="仿宋_GB2312" w:cs="DengXian-Regular"/>
          <w:sz w:val="32"/>
          <w:szCs w:val="32"/>
          <w:lang w:eastAsia="zh-CN"/>
        </w:rPr>
        <w:t>费用</w:t>
      </w:r>
      <w:r>
        <w:rPr>
          <w:rFonts w:hint="eastAsia" w:ascii="仿宋_GB2312" w:hAnsi="Times New Roman" w:eastAsia="仿宋_GB2312" w:cs="DengXian-Regular"/>
          <w:sz w:val="32"/>
          <w:szCs w:val="32"/>
        </w:rPr>
        <w:t>。公务接待费支出较预算减少</w:t>
      </w:r>
      <w:r>
        <w:rPr>
          <w:rFonts w:hint="eastAsia" w:ascii="仿宋_GB2312" w:hAnsi="Times New Roman" w:eastAsia="仿宋_GB2312" w:cs="DengXian-Regular"/>
          <w:sz w:val="32"/>
          <w:szCs w:val="32"/>
          <w:lang w:val="en-US" w:eastAsia="zh-CN"/>
        </w:rPr>
        <w:t>0.15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上级检查减少</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0.03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上级检查减少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根据预算绩效管理要求，本部门组织对2019年度一般公共预算项目支出全面开展绩效自评，其中，项目</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1339.86</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。组织对2019年度</w:t>
      </w:r>
      <w:r>
        <w:rPr>
          <w:rFonts w:hint="eastAsia" w:ascii="仿宋_GB2312" w:hAnsi="仿宋_GB2312" w:eastAsia="仿宋_GB2312" w:cs="仿宋_GB2312"/>
          <w:sz w:val="32"/>
          <w:szCs w:val="32"/>
          <w:lang w:eastAsia="zh-CN"/>
        </w:rPr>
        <w:t>文体广场建设</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80.88%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部门自行</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大城县首届文化旅游发展大会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综合文体广场建设</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931.74</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万元。从评价情况来看，</w:t>
      </w:r>
      <w:r>
        <w:rPr>
          <w:rFonts w:hint="eastAsia" w:ascii="仿宋_GB2312" w:hAnsi="仿宋_GB2312" w:eastAsia="仿宋_GB2312" w:cs="仿宋_GB2312"/>
          <w:sz w:val="32"/>
          <w:szCs w:val="32"/>
          <w:lang w:eastAsia="zh-CN"/>
        </w:rPr>
        <w:t>项目整体性及延续性得到认可，</w:t>
      </w:r>
      <w:r>
        <w:rPr>
          <w:rFonts w:hint="eastAsia" w:ascii="仿宋_GB2312" w:eastAsia="仿宋_GB2312"/>
          <w:sz w:val="32"/>
          <w:szCs w:val="32"/>
        </w:rPr>
        <w:t>绩效目标设定</w:t>
      </w:r>
      <w:r>
        <w:rPr>
          <w:rFonts w:hint="eastAsia" w:ascii="仿宋_GB2312" w:eastAsia="仿宋_GB2312"/>
          <w:sz w:val="32"/>
          <w:szCs w:val="32"/>
          <w:lang w:eastAsia="zh-CN"/>
        </w:rPr>
        <w:t>较为</w:t>
      </w:r>
      <w:r>
        <w:rPr>
          <w:rFonts w:hint="eastAsia" w:ascii="仿宋_GB2312" w:eastAsia="仿宋_GB2312"/>
          <w:sz w:val="32"/>
          <w:szCs w:val="32"/>
        </w:rPr>
        <w:t>清晰准确，绩效指标</w:t>
      </w:r>
      <w:r>
        <w:rPr>
          <w:rFonts w:hint="eastAsia" w:ascii="仿宋_GB2312" w:eastAsia="仿宋_GB2312"/>
          <w:sz w:val="32"/>
          <w:szCs w:val="32"/>
          <w:lang w:eastAsia="zh-CN"/>
        </w:rPr>
        <w:t>较为</w:t>
      </w:r>
      <w:r>
        <w:rPr>
          <w:rFonts w:hint="eastAsia" w:ascii="仿宋_GB2312" w:eastAsia="仿宋_GB2312"/>
          <w:sz w:val="32"/>
          <w:szCs w:val="32"/>
        </w:rPr>
        <w:t>全面完整、科学合理</w:t>
      </w:r>
      <w:r>
        <w:rPr>
          <w:rFonts w:hint="eastAsia" w:ascii="仿宋_GB2312" w:eastAsia="仿宋_GB2312"/>
          <w:sz w:val="32"/>
          <w:szCs w:val="32"/>
          <w:lang w:eastAsia="zh-CN"/>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eastAsia="zh-CN"/>
        </w:rPr>
        <w:t>综合文体广场</w:t>
      </w:r>
      <w:r>
        <w:rPr>
          <w:rFonts w:hint="eastAsia" w:ascii="仿宋_GB2312" w:hAnsi="仿宋_GB2312" w:eastAsia="仿宋_GB2312" w:cs="仿宋_GB2312"/>
          <w:sz w:val="32"/>
          <w:szCs w:val="32"/>
        </w:rPr>
        <w:t>项目及</w:t>
      </w:r>
      <w:r>
        <w:rPr>
          <w:rFonts w:hint="eastAsia" w:ascii="仿宋_GB2312" w:hAnsi="仿宋_GB2312" w:eastAsia="仿宋_GB2312" w:cs="仿宋_GB2312"/>
          <w:sz w:val="32"/>
          <w:szCs w:val="32"/>
          <w:lang w:eastAsia="zh-CN"/>
        </w:rPr>
        <w:t>公共文化服务体系建设</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个项目绩效自评结果。</w:t>
      </w:r>
    </w:p>
    <w:p>
      <w:pPr>
        <w:numPr>
          <w:ilvl w:val="0"/>
          <w:numId w:val="5"/>
        </w:num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综合文体广场</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综合文体广场</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建设完成</w:t>
      </w:r>
      <w:r>
        <w:rPr>
          <w:rFonts w:hint="eastAsia" w:ascii="仿宋_GB2312" w:hAnsi="仿宋_GB2312" w:eastAsia="仿宋_GB2312" w:cs="仿宋_GB2312"/>
          <w:sz w:val="32"/>
          <w:szCs w:val="32"/>
          <w:lang w:val="en-US" w:eastAsia="zh-CN"/>
        </w:rPr>
        <w:t>14个文体广场</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完成率百分百</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资金短缺，达不到</w:t>
      </w:r>
      <w:r>
        <w:rPr>
          <w:rFonts w:hint="eastAsia" w:ascii="仿宋_GB2312" w:hAnsi="仿宋_GB2312" w:eastAsia="仿宋_GB2312" w:cs="仿宋_GB2312"/>
          <w:sz w:val="32"/>
          <w:szCs w:val="32"/>
          <w:lang w:val="en-US" w:eastAsia="zh-CN"/>
        </w:rPr>
        <w:t>394个村街全覆盖，不能满足群众的需求。</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争取更多的资金，多建设几个文体广场。</w:t>
      </w:r>
    </w:p>
    <w:tbl>
      <w:tblPr>
        <w:tblStyle w:val="6"/>
        <w:tblpPr w:leftFromText="180" w:rightFromText="180" w:vertAnchor="text" w:horzAnchor="page" w:tblpX="1732" w:tblpY="229"/>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文体广场建设资金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大城县文广旅游局</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大城县文广旅游局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年初</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210</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60</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60</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eastAsia="zh-CN"/>
              </w:rPr>
              <w:t>全年为</w:t>
            </w:r>
            <w:r>
              <w:rPr>
                <w:rFonts w:hint="eastAsia" w:ascii="仿宋" w:eastAsia="仿宋"/>
                <w:kern w:val="0"/>
                <w:sz w:val="20"/>
                <w:szCs w:val="20"/>
                <w:lang w:val="en-US" w:eastAsia="zh-CN"/>
              </w:rPr>
              <w:t>14个村街建设文体广场</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eastAsia="zh-CN"/>
              </w:rPr>
              <w:t>建设完成</w:t>
            </w:r>
            <w:r>
              <w:rPr>
                <w:rFonts w:hint="eastAsia" w:ascii="仿宋" w:eastAsia="仿宋"/>
                <w:kern w:val="0"/>
                <w:sz w:val="20"/>
                <w:szCs w:val="20"/>
                <w:lang w:val="en-US" w:eastAsia="zh-CN"/>
              </w:rPr>
              <w:t>14个文体广场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文体广场数量</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14</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14</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文体广场完成率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效益指标</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经济效益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社会效益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受益人群</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30000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30000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生态效益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可持续影响</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满意度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群众满意度</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nil"/>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bl>
    <w:p>
      <w:pPr>
        <w:numPr>
          <w:ilvl w:val="0"/>
          <w:numId w:val="5"/>
        </w:num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公共文化服务体系建设</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eastAsia="zh-CN"/>
        </w:rPr>
        <w:t>公共文化服务体系建设</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203.82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166.76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为村街配备文艺器材</w:t>
      </w:r>
      <w:r>
        <w:rPr>
          <w:rFonts w:hint="eastAsia" w:ascii="仿宋_GB2312" w:hAnsi="仿宋_GB2312" w:eastAsia="仿宋_GB2312" w:cs="仿宋_GB2312"/>
          <w:sz w:val="32"/>
          <w:szCs w:val="32"/>
          <w:lang w:val="en-US" w:eastAsia="zh-CN"/>
        </w:rPr>
        <w:t>8472件套</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文化惠民活动</w:t>
      </w:r>
      <w:r>
        <w:rPr>
          <w:rFonts w:hint="eastAsia" w:ascii="仿宋_GB2312" w:hAnsi="仿宋_GB2312" w:eastAsia="仿宋_GB2312" w:cs="仿宋_GB2312"/>
          <w:sz w:val="32"/>
          <w:szCs w:val="32"/>
          <w:lang w:val="en-US" w:eastAsia="zh-CN"/>
        </w:rPr>
        <w:t>162场；三是开展电影下乡4756场。</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文化惠民活动内容比较单一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鼓励文化团体多自创节目，丰富群众的文化生活。</w:t>
      </w:r>
    </w:p>
    <w:tbl>
      <w:tblPr>
        <w:tblStyle w:val="6"/>
        <w:tblW w:w="884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1"/>
        <w:gridCol w:w="619"/>
        <w:gridCol w:w="69"/>
        <w:gridCol w:w="959"/>
        <w:gridCol w:w="875"/>
        <w:gridCol w:w="310"/>
        <w:gridCol w:w="816"/>
        <w:gridCol w:w="1453"/>
        <w:gridCol w:w="618"/>
        <w:gridCol w:w="194"/>
        <w:gridCol w:w="331"/>
        <w:gridCol w:w="431"/>
        <w:gridCol w:w="107"/>
        <w:gridCol w:w="782"/>
        <w:gridCol w:w="665"/>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92" w:hRule="atLeast"/>
        </w:trPr>
        <w:tc>
          <w:tcPr>
            <w:tcW w:w="8810" w:type="dxa"/>
            <w:gridSpan w:val="15"/>
            <w:tcBorders>
              <w:top w:val="nil"/>
              <w:left w:val="nil"/>
              <w:bottom w:val="nil"/>
              <w:right w:val="nil"/>
              <w:tl2br w:val="nil"/>
              <w:tr2bl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atLeast"/>
        </w:trPr>
        <w:tc>
          <w:tcPr>
            <w:tcW w:w="8840" w:type="dxa"/>
            <w:gridSpan w:val="16"/>
            <w:tcBorders>
              <w:top w:val="nil"/>
              <w:left w:val="nil"/>
              <w:bottom w:val="nil"/>
              <w:right w:val="nil"/>
              <w:tl2br w:val="nil"/>
              <w:tr2bl w:val="nil"/>
            </w:tcBorders>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rPr>
            </w:pPr>
            <w:r>
              <w:rPr>
                <w:rFonts w:hint="eastAsia" w:ascii="仿宋" w:eastAsia="仿宋"/>
                <w:kern w:val="0"/>
                <w:sz w:val="20"/>
                <w:szCs w:val="20"/>
              </w:rPr>
              <w:t>（</w:t>
            </w:r>
            <w:r>
              <w:rPr>
                <w:rFonts w:hint="eastAsia" w:ascii="仿宋" w:eastAsia="仿宋"/>
                <w:kern w:val="0"/>
                <w:sz w:val="20"/>
                <w:szCs w:val="20"/>
                <w:lang w:val="en-US" w:eastAsia="zh-CN"/>
              </w:rPr>
              <w:t>2019</w:t>
            </w:r>
            <w:r>
              <w:rPr>
                <w:rFonts w:hint="eastAsia" w:ascii="仿宋" w:eastAsia="仿宋"/>
                <w:kern w:val="0"/>
                <w:sz w:val="20"/>
                <w:szCs w:val="20"/>
              </w:rPr>
              <w:t>年度）</w:t>
            </w:r>
          </w:p>
          <w:p>
            <w:pPr>
              <w:keepNext w:val="0"/>
              <w:keepLines w:val="0"/>
              <w:widowControl/>
              <w:suppressLineNumbers w:val="0"/>
              <w:spacing w:before="0" w:beforeAutospacing="0" w:after="0" w:afterAutospacing="0" w:line="240" w:lineRule="exact"/>
              <w:ind w:left="0" w:right="0"/>
              <w:jc w:val="right"/>
              <w:rPr>
                <w:rFonts w:hint="eastAsia" w:ascii="仿宋" w:eastAsia="仿宋"/>
                <w:kern w:val="0"/>
                <w:sz w:val="20"/>
                <w:szCs w:val="20"/>
                <w:lang w:eastAsia="zh-CN"/>
              </w:rPr>
            </w:pPr>
            <w:r>
              <w:rPr>
                <w:rFonts w:hint="eastAsia" w:ascii="仿宋" w:eastAsia="仿宋"/>
                <w:kern w:val="0"/>
                <w:sz w:val="20"/>
                <w:szCs w:val="20"/>
                <w:lang w:eastAsia="zh-CN"/>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1269"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项目名称</w:t>
            </w:r>
          </w:p>
        </w:tc>
        <w:tc>
          <w:tcPr>
            <w:tcW w:w="7571"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eastAsia="仿宋_GB2312"/>
                <w:color w:val="000000"/>
                <w:kern w:val="0"/>
                <w:szCs w:val="21"/>
              </w:rPr>
              <w:t>大城县</w:t>
            </w:r>
            <w:r>
              <w:rPr>
                <w:rFonts w:hint="eastAsia" w:eastAsia="仿宋_GB2312"/>
                <w:color w:val="000000"/>
                <w:kern w:val="0"/>
                <w:szCs w:val="21"/>
                <w:lang w:eastAsia="zh-CN"/>
              </w:rPr>
              <w:t>公共文化服务体系建设项目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269"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主管部门</w:t>
            </w:r>
          </w:p>
        </w:tc>
        <w:tc>
          <w:tcPr>
            <w:tcW w:w="4413" w:type="dxa"/>
            <w:gridSpan w:val="5"/>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大城县文化广电和旅游局</w:t>
            </w:r>
          </w:p>
        </w:tc>
        <w:tc>
          <w:tcPr>
            <w:tcW w:w="81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实施单位</w:t>
            </w:r>
          </w:p>
        </w:tc>
        <w:tc>
          <w:tcPr>
            <w:tcW w:w="2346" w:type="dxa"/>
            <w:gridSpan w:val="6"/>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eastAsia="zh-CN"/>
              </w:rPr>
              <w:t>大城县文化广电和旅游局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1" w:hRule="atLeast"/>
        </w:trPr>
        <w:tc>
          <w:tcPr>
            <w:tcW w:w="1269"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34"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年初</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453"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81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执行数</w:t>
            </w:r>
          </w:p>
        </w:tc>
        <w:tc>
          <w:tcPr>
            <w:tcW w:w="76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889"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执行率</w:t>
            </w:r>
          </w:p>
        </w:tc>
        <w:tc>
          <w:tcPr>
            <w:tcW w:w="695"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269"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34"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rPr>
                <w:rFonts w:ascii="仿宋" w:eastAsia="仿宋"/>
                <w:kern w:val="0"/>
                <w:sz w:val="20"/>
                <w:szCs w:val="20"/>
              </w:rPr>
            </w:pPr>
            <w:r>
              <w:rPr>
                <w:rFonts w:hint="eastAsia" w:ascii="仿宋" w:eastAsia="仿宋"/>
                <w:kern w:val="0"/>
                <w:sz w:val="20"/>
                <w:szCs w:val="20"/>
              </w:rPr>
              <w:t>年度资金总额</w:t>
            </w:r>
          </w:p>
        </w:tc>
        <w:tc>
          <w:tcPr>
            <w:tcW w:w="112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16"/>
                <w:szCs w:val="16"/>
                <w:lang w:val="en-US" w:eastAsia="zh-CN"/>
              </w:rPr>
            </w:pPr>
            <w:r>
              <w:rPr>
                <w:rFonts w:hint="eastAsia" w:ascii="仿宋" w:eastAsia="仿宋"/>
                <w:kern w:val="0"/>
                <w:sz w:val="16"/>
                <w:szCs w:val="16"/>
                <w:lang w:val="en-US" w:eastAsia="zh-CN"/>
              </w:rPr>
              <w:t>2038200</w:t>
            </w:r>
          </w:p>
        </w:tc>
        <w:tc>
          <w:tcPr>
            <w:tcW w:w="1453"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16"/>
                <w:szCs w:val="16"/>
                <w:lang w:val="en-US" w:eastAsia="zh-CN"/>
              </w:rPr>
            </w:pPr>
            <w:r>
              <w:rPr>
                <w:rFonts w:hint="eastAsia" w:ascii="仿宋" w:eastAsia="仿宋"/>
                <w:kern w:val="0"/>
                <w:sz w:val="16"/>
                <w:szCs w:val="16"/>
                <w:lang w:val="en-US" w:eastAsia="zh-CN"/>
              </w:rPr>
              <w:t>2038200</w:t>
            </w:r>
          </w:p>
        </w:tc>
        <w:tc>
          <w:tcPr>
            <w:tcW w:w="81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16"/>
                <w:szCs w:val="16"/>
                <w:lang w:val="en-US" w:eastAsia="zh-CN"/>
              </w:rPr>
            </w:pPr>
            <w:r>
              <w:rPr>
                <w:rFonts w:hint="eastAsia" w:ascii="仿宋" w:eastAsia="仿宋"/>
                <w:kern w:val="0"/>
                <w:sz w:val="16"/>
                <w:szCs w:val="16"/>
                <w:lang w:val="en-US" w:eastAsia="zh-CN"/>
              </w:rPr>
              <w:t>1667578</w:t>
            </w:r>
          </w:p>
        </w:tc>
        <w:tc>
          <w:tcPr>
            <w:tcW w:w="76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10</w:t>
            </w:r>
          </w:p>
        </w:tc>
        <w:tc>
          <w:tcPr>
            <w:tcW w:w="889"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82%</w:t>
            </w:r>
          </w:p>
        </w:tc>
        <w:tc>
          <w:tcPr>
            <w:tcW w:w="695"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1269"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34"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其中：当年财政拨款</w:t>
            </w:r>
          </w:p>
        </w:tc>
        <w:tc>
          <w:tcPr>
            <w:tcW w:w="112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hAnsi="Times New Roman" w:eastAsia="仿宋" w:cs="Times New Roman"/>
                <w:kern w:val="0"/>
                <w:sz w:val="16"/>
                <w:szCs w:val="16"/>
                <w:lang w:val="en-US" w:eastAsia="zh-CN" w:bidi="ar-SA"/>
              </w:rPr>
            </w:pPr>
            <w:r>
              <w:rPr>
                <w:rFonts w:hint="eastAsia" w:ascii="仿宋" w:eastAsia="仿宋"/>
                <w:kern w:val="0"/>
                <w:sz w:val="16"/>
                <w:szCs w:val="16"/>
                <w:lang w:val="en-US" w:eastAsia="zh-CN"/>
              </w:rPr>
              <w:t>2038200</w:t>
            </w:r>
          </w:p>
        </w:tc>
        <w:tc>
          <w:tcPr>
            <w:tcW w:w="1453"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hAnsi="Times New Roman" w:eastAsia="仿宋" w:cs="Times New Roman"/>
                <w:kern w:val="0"/>
                <w:sz w:val="16"/>
                <w:szCs w:val="16"/>
                <w:lang w:val="en-US" w:eastAsia="zh-CN" w:bidi="ar-SA"/>
              </w:rPr>
            </w:pPr>
            <w:r>
              <w:rPr>
                <w:rFonts w:hint="eastAsia" w:ascii="仿宋" w:eastAsia="仿宋"/>
                <w:kern w:val="0"/>
                <w:sz w:val="16"/>
                <w:szCs w:val="16"/>
                <w:lang w:val="en-US" w:eastAsia="zh-CN"/>
              </w:rPr>
              <w:t>2038200</w:t>
            </w:r>
          </w:p>
        </w:tc>
        <w:tc>
          <w:tcPr>
            <w:tcW w:w="81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16"/>
                <w:szCs w:val="16"/>
              </w:rPr>
            </w:pPr>
            <w:r>
              <w:rPr>
                <w:rFonts w:hint="eastAsia" w:ascii="仿宋" w:eastAsia="仿宋"/>
                <w:kern w:val="0"/>
                <w:sz w:val="16"/>
                <w:szCs w:val="16"/>
                <w:lang w:val="en-US" w:eastAsia="zh-CN"/>
              </w:rPr>
              <w:t>1667578</w:t>
            </w:r>
          </w:p>
        </w:tc>
        <w:tc>
          <w:tcPr>
            <w:tcW w:w="76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89"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95"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1269"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34"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 xml:space="preserve">      上年结转资金</w:t>
            </w:r>
          </w:p>
        </w:tc>
        <w:tc>
          <w:tcPr>
            <w:tcW w:w="112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16"/>
                <w:szCs w:val="16"/>
                <w:lang w:val="en-US" w:eastAsia="zh-CN"/>
              </w:rPr>
            </w:pPr>
          </w:p>
        </w:tc>
        <w:tc>
          <w:tcPr>
            <w:tcW w:w="1453"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16"/>
                <w:szCs w:val="16"/>
                <w:lang w:val="en-US" w:eastAsia="zh-CN"/>
              </w:rPr>
            </w:pPr>
            <w:r>
              <w:rPr>
                <w:rFonts w:hint="eastAsia" w:ascii="仿宋" w:eastAsia="仿宋"/>
                <w:kern w:val="0"/>
                <w:sz w:val="16"/>
                <w:szCs w:val="16"/>
                <w:lang w:val="en-US" w:eastAsia="zh-CN"/>
              </w:rPr>
              <w:t>536609.57</w:t>
            </w:r>
          </w:p>
        </w:tc>
        <w:tc>
          <w:tcPr>
            <w:tcW w:w="81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16"/>
                <w:szCs w:val="16"/>
                <w:lang w:val="en-US" w:eastAsia="zh-CN"/>
              </w:rPr>
            </w:pPr>
            <w:r>
              <w:rPr>
                <w:rFonts w:hint="eastAsia" w:ascii="仿宋" w:eastAsia="仿宋"/>
                <w:kern w:val="0"/>
                <w:sz w:val="16"/>
                <w:szCs w:val="16"/>
                <w:lang w:val="en-US" w:eastAsia="zh-CN"/>
              </w:rPr>
              <w:t>536609.57</w:t>
            </w:r>
          </w:p>
        </w:tc>
        <w:tc>
          <w:tcPr>
            <w:tcW w:w="76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89"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95"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1269"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34"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 xml:space="preserve">  其他资金</w:t>
            </w:r>
          </w:p>
        </w:tc>
        <w:tc>
          <w:tcPr>
            <w:tcW w:w="112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val="en-US" w:eastAsia="zh-CN"/>
              </w:rPr>
            </w:pPr>
          </w:p>
        </w:tc>
        <w:tc>
          <w:tcPr>
            <w:tcW w:w="1453"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val="en-US" w:eastAsia="zh-CN"/>
              </w:rPr>
            </w:pPr>
          </w:p>
        </w:tc>
        <w:tc>
          <w:tcPr>
            <w:tcW w:w="81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val="en-US" w:eastAsia="zh-CN"/>
              </w:rPr>
            </w:pPr>
          </w:p>
        </w:tc>
        <w:tc>
          <w:tcPr>
            <w:tcW w:w="76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89"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95"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581"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年度总体目标</w:t>
            </w:r>
          </w:p>
        </w:tc>
        <w:tc>
          <w:tcPr>
            <w:tcW w:w="5101"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预期目标</w:t>
            </w:r>
          </w:p>
        </w:tc>
        <w:tc>
          <w:tcPr>
            <w:tcW w:w="3158"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8"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5101"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仿宋" w:eastAsia="仿宋"/>
                <w:kern w:val="0"/>
                <w:sz w:val="18"/>
                <w:szCs w:val="18"/>
                <w:lang w:val="en-US" w:eastAsia="zh-CN"/>
              </w:rPr>
            </w:pPr>
            <w:r>
              <w:rPr>
                <w:rFonts w:hint="eastAsia" w:ascii="仿宋" w:hAnsi="仿宋" w:eastAsia="仿宋" w:cs="仿宋"/>
                <w:sz w:val="18"/>
                <w:szCs w:val="18"/>
                <w:lang w:val="en-US" w:eastAsia="zh-CN"/>
              </w:rPr>
              <w:t>1.</w:t>
            </w:r>
            <w:r>
              <w:rPr>
                <w:rFonts w:hint="eastAsia" w:ascii="仿宋" w:hAnsi="仿宋" w:eastAsia="仿宋" w:cs="仿宋"/>
                <w:sz w:val="18"/>
                <w:szCs w:val="18"/>
                <w:lang w:eastAsia="zh-CN"/>
              </w:rPr>
              <w:t>配备文娱器材。</w:t>
            </w:r>
            <w:r>
              <w:rPr>
                <w:rFonts w:hint="eastAsia" w:ascii="仿宋" w:hAnsi="仿宋" w:eastAsia="仿宋" w:cs="仿宋"/>
                <w:sz w:val="18"/>
                <w:szCs w:val="18"/>
                <w:lang w:val="en-US" w:eastAsia="zh-CN"/>
              </w:rPr>
              <w:t>2.</w:t>
            </w:r>
            <w:r>
              <w:rPr>
                <w:rFonts w:hint="eastAsia" w:ascii="仿宋" w:hAnsi="仿宋" w:eastAsia="仿宋" w:cs="仿宋"/>
                <w:sz w:val="18"/>
                <w:szCs w:val="18"/>
                <w:lang w:eastAsia="zh-CN"/>
              </w:rPr>
              <w:t>建设文化广场。</w:t>
            </w:r>
            <w:r>
              <w:rPr>
                <w:rFonts w:hint="eastAsia" w:ascii="仿宋" w:hAnsi="仿宋" w:eastAsia="仿宋" w:cs="仿宋"/>
                <w:sz w:val="18"/>
                <w:szCs w:val="18"/>
                <w:lang w:val="en-US" w:eastAsia="zh-CN"/>
              </w:rPr>
              <w:t>3.</w:t>
            </w:r>
            <w:r>
              <w:rPr>
                <w:rFonts w:hint="eastAsia" w:ascii="仿宋" w:hAnsi="仿宋" w:eastAsia="仿宋" w:cs="仿宋"/>
                <w:sz w:val="18"/>
                <w:szCs w:val="18"/>
                <w:lang w:eastAsia="zh-CN"/>
              </w:rPr>
              <w:t>开展文化惠民活动。</w:t>
            </w:r>
            <w:r>
              <w:rPr>
                <w:rFonts w:hint="eastAsia" w:ascii="仿宋" w:hAnsi="仿宋" w:eastAsia="仿宋" w:cs="仿宋"/>
                <w:sz w:val="18"/>
                <w:szCs w:val="18"/>
                <w:lang w:val="en-US" w:eastAsia="zh-CN"/>
              </w:rPr>
              <w:t>4.</w:t>
            </w:r>
            <w:r>
              <w:rPr>
                <w:rFonts w:hint="eastAsia" w:ascii="仿宋" w:hAnsi="仿宋" w:eastAsia="仿宋" w:cs="仿宋"/>
                <w:sz w:val="18"/>
                <w:szCs w:val="18"/>
                <w:lang w:eastAsia="zh-CN"/>
              </w:rPr>
              <w:t>开展电影下乡活动。</w:t>
            </w:r>
          </w:p>
        </w:tc>
        <w:tc>
          <w:tcPr>
            <w:tcW w:w="3158"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仿宋" w:eastAsia="仿宋"/>
                <w:kern w:val="0"/>
                <w:sz w:val="15"/>
                <w:szCs w:val="15"/>
                <w:lang w:val="en-US"/>
              </w:rPr>
            </w:pPr>
            <w:r>
              <w:rPr>
                <w:rFonts w:hint="eastAsia" w:ascii="仿宋" w:hAnsi="仿宋" w:eastAsia="仿宋" w:cs="仿宋"/>
                <w:sz w:val="18"/>
                <w:szCs w:val="18"/>
                <w:lang w:val="en-US" w:eastAsia="zh-CN"/>
              </w:rPr>
              <w:t>1.</w:t>
            </w:r>
            <w:r>
              <w:rPr>
                <w:rFonts w:hint="eastAsia" w:ascii="仿宋" w:hAnsi="仿宋" w:eastAsia="仿宋" w:cs="仿宋"/>
                <w:sz w:val="18"/>
                <w:szCs w:val="18"/>
                <w:lang w:eastAsia="zh-CN"/>
              </w:rPr>
              <w:t>配备文娱器材</w:t>
            </w:r>
            <w:r>
              <w:rPr>
                <w:rFonts w:hint="eastAsia" w:ascii="仿宋" w:hAnsi="仿宋" w:eastAsia="仿宋" w:cs="仿宋"/>
                <w:sz w:val="18"/>
                <w:szCs w:val="18"/>
                <w:lang w:val="en-US" w:eastAsia="zh-CN"/>
              </w:rPr>
              <w:t>8472件套</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2.</w:t>
            </w:r>
            <w:r>
              <w:rPr>
                <w:rFonts w:hint="eastAsia" w:ascii="仿宋" w:hAnsi="仿宋" w:eastAsia="仿宋" w:cs="仿宋"/>
                <w:sz w:val="18"/>
                <w:szCs w:val="18"/>
                <w:lang w:eastAsia="zh-CN"/>
              </w:rPr>
              <w:t>建设文化广场</w:t>
            </w:r>
            <w:r>
              <w:rPr>
                <w:rFonts w:hint="eastAsia" w:ascii="仿宋" w:hAnsi="仿宋" w:eastAsia="仿宋" w:cs="仿宋"/>
                <w:sz w:val="18"/>
                <w:szCs w:val="18"/>
                <w:lang w:val="en-US" w:eastAsia="zh-CN"/>
              </w:rPr>
              <w:t>16</w:t>
            </w:r>
            <w:r>
              <w:rPr>
                <w:rFonts w:hint="eastAsia" w:ascii="仿宋" w:hAnsi="仿宋" w:eastAsia="仿宋" w:cs="仿宋"/>
                <w:sz w:val="18"/>
                <w:szCs w:val="18"/>
                <w:lang w:eastAsia="zh-CN"/>
              </w:rPr>
              <w:t>处。</w:t>
            </w:r>
            <w:r>
              <w:rPr>
                <w:rFonts w:hint="eastAsia" w:ascii="仿宋" w:hAnsi="仿宋" w:eastAsia="仿宋" w:cs="仿宋"/>
                <w:sz w:val="18"/>
                <w:szCs w:val="18"/>
                <w:lang w:val="en-US" w:eastAsia="zh-CN"/>
              </w:rPr>
              <w:t>3.</w:t>
            </w:r>
            <w:r>
              <w:rPr>
                <w:rFonts w:hint="eastAsia" w:ascii="仿宋" w:hAnsi="仿宋" w:eastAsia="仿宋" w:cs="仿宋"/>
                <w:sz w:val="18"/>
                <w:szCs w:val="18"/>
                <w:lang w:eastAsia="zh-CN"/>
              </w:rPr>
              <w:t>开展文化惠民活动</w:t>
            </w:r>
            <w:r>
              <w:rPr>
                <w:rFonts w:hint="eastAsia" w:ascii="仿宋" w:hAnsi="仿宋" w:eastAsia="仿宋" w:cs="仿宋"/>
                <w:sz w:val="18"/>
                <w:szCs w:val="18"/>
                <w:lang w:val="en-US" w:eastAsia="zh-CN"/>
              </w:rPr>
              <w:t>162场次</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4.</w:t>
            </w:r>
            <w:r>
              <w:rPr>
                <w:rFonts w:hint="eastAsia" w:ascii="仿宋" w:hAnsi="仿宋" w:eastAsia="仿宋" w:cs="仿宋"/>
                <w:sz w:val="18"/>
                <w:szCs w:val="18"/>
                <w:lang w:eastAsia="zh-CN"/>
              </w:rPr>
              <w:t>开展电影下乡活动</w:t>
            </w:r>
            <w:r>
              <w:rPr>
                <w:rFonts w:hint="eastAsia" w:ascii="仿宋" w:hAnsi="仿宋" w:eastAsia="仿宋" w:cs="仿宋"/>
                <w:sz w:val="18"/>
                <w:szCs w:val="18"/>
                <w:lang w:val="en-US" w:eastAsia="zh-CN"/>
              </w:rPr>
              <w:t>4756场次</w:t>
            </w:r>
            <w:r>
              <w:rPr>
                <w:rFonts w:hint="eastAsia" w:ascii="仿宋" w:hAnsi="仿宋" w:eastAsia="仿宋" w:cs="仿宋"/>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trPr>
        <w:tc>
          <w:tcPr>
            <w:tcW w:w="581"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19"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一级指标</w:t>
            </w:r>
          </w:p>
        </w:tc>
        <w:tc>
          <w:tcPr>
            <w:tcW w:w="1028"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二级指标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三级指标</w:t>
            </w:r>
          </w:p>
        </w:tc>
        <w:tc>
          <w:tcPr>
            <w:tcW w:w="2269"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指标值</w:t>
            </w:r>
          </w:p>
        </w:tc>
        <w:tc>
          <w:tcPr>
            <w:tcW w:w="618"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完成值</w:t>
            </w:r>
          </w:p>
        </w:tc>
        <w:tc>
          <w:tcPr>
            <w:tcW w:w="525"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538"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19"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产出指标</w:t>
            </w:r>
          </w:p>
        </w:tc>
        <w:tc>
          <w:tcPr>
            <w:tcW w:w="1028" w:type="dxa"/>
            <w:gridSpan w:val="2"/>
            <w:vMerge w:val="restart"/>
            <w:tcBorders>
              <w:top w:val="nil"/>
              <w:left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数量指标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ascii="Times New Roman" w:hAnsi="Times New Roman" w:eastAsia="仿宋_GB2312" w:cs="Times New Roman"/>
                <w:color w:val="000000"/>
                <w:kern w:val="0"/>
                <w:sz w:val="15"/>
                <w:szCs w:val="15"/>
                <w:lang w:val="en-US" w:eastAsia="zh-CN"/>
              </w:rPr>
            </w:pPr>
            <w:r>
              <w:rPr>
                <w:rFonts w:hint="eastAsia" w:ascii="Times New Roman" w:hAnsi="Times New Roman" w:eastAsia="仿宋_GB2312" w:cs="Times New Roman"/>
                <w:color w:val="000000"/>
                <w:kern w:val="0"/>
                <w:sz w:val="15"/>
                <w:szCs w:val="15"/>
                <w:lang w:val="en-US" w:eastAsia="zh-CN"/>
              </w:rPr>
              <w:t>文娱器材</w:t>
            </w:r>
          </w:p>
        </w:tc>
        <w:tc>
          <w:tcPr>
            <w:tcW w:w="2269"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ascii="Times New Roman" w:hAnsi="Times New Roman" w:eastAsia="仿宋_GB2312" w:cs="Times New Roman"/>
                <w:color w:val="000000"/>
                <w:kern w:val="0"/>
                <w:sz w:val="15"/>
                <w:szCs w:val="15"/>
                <w:lang w:val="en-US" w:eastAsia="zh-CN"/>
              </w:rPr>
            </w:pPr>
            <w:r>
              <w:rPr>
                <w:rFonts w:hint="eastAsia" w:ascii="仿宋" w:hAnsi="仿宋" w:eastAsia="仿宋" w:cs="仿宋"/>
                <w:color w:val="000000"/>
                <w:kern w:val="0"/>
                <w:sz w:val="15"/>
                <w:szCs w:val="15"/>
                <w:lang w:val="en-US" w:eastAsia="zh-CN"/>
              </w:rPr>
              <w:t>≥</w:t>
            </w:r>
            <w:r>
              <w:rPr>
                <w:rFonts w:hint="eastAsia" w:ascii="Times New Roman" w:hAnsi="Times New Roman" w:eastAsia="仿宋_GB2312" w:cs="Times New Roman"/>
                <w:color w:val="000000"/>
                <w:kern w:val="0"/>
                <w:sz w:val="15"/>
                <w:szCs w:val="15"/>
                <w:lang w:val="en-US" w:eastAsia="zh-CN"/>
              </w:rPr>
              <w:t>7000件套</w:t>
            </w:r>
          </w:p>
        </w:tc>
        <w:tc>
          <w:tcPr>
            <w:tcW w:w="618" w:type="dxa"/>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8472</w:t>
            </w:r>
          </w:p>
        </w:tc>
        <w:tc>
          <w:tcPr>
            <w:tcW w:w="525"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10</w:t>
            </w:r>
          </w:p>
        </w:tc>
        <w:tc>
          <w:tcPr>
            <w:tcW w:w="538"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19" w:type="dxa"/>
            <w:vMerge w:val="continue"/>
            <w:tcBorders>
              <w:left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rPr>
            </w:pPr>
          </w:p>
        </w:tc>
        <w:tc>
          <w:tcPr>
            <w:tcW w:w="1028" w:type="dxa"/>
            <w:gridSpan w:val="2"/>
            <w:vMerge w:val="continue"/>
            <w:tcBorders>
              <w:left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rPr>
            </w:pP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ascii="Times New Roman" w:hAnsi="Times New Roman" w:eastAsia="仿宋_GB2312" w:cs="Times New Roman"/>
                <w:color w:val="000000"/>
                <w:kern w:val="0"/>
                <w:sz w:val="15"/>
                <w:szCs w:val="15"/>
                <w:lang w:val="en-US" w:eastAsia="zh-CN"/>
              </w:rPr>
            </w:pPr>
            <w:r>
              <w:rPr>
                <w:rFonts w:hint="eastAsia" w:ascii="Times New Roman" w:hAnsi="Times New Roman" w:eastAsia="仿宋_GB2312" w:cs="Times New Roman"/>
                <w:color w:val="000000"/>
                <w:kern w:val="0"/>
                <w:sz w:val="15"/>
                <w:szCs w:val="15"/>
                <w:lang w:val="en-US" w:eastAsia="zh-CN"/>
              </w:rPr>
              <w:t>文化广场</w:t>
            </w:r>
          </w:p>
        </w:tc>
        <w:tc>
          <w:tcPr>
            <w:tcW w:w="2269"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ascii="Times New Roman" w:hAnsi="Times New Roman" w:eastAsia="仿宋_GB2312" w:cs="Times New Roman"/>
                <w:color w:val="000000"/>
                <w:kern w:val="0"/>
                <w:sz w:val="15"/>
                <w:szCs w:val="15"/>
                <w:lang w:val="en-US" w:eastAsia="zh-CN"/>
              </w:rPr>
            </w:pPr>
            <w:r>
              <w:rPr>
                <w:rFonts w:hint="eastAsia" w:ascii="仿宋" w:hAnsi="仿宋" w:eastAsia="仿宋" w:cs="仿宋"/>
                <w:color w:val="000000"/>
                <w:kern w:val="0"/>
                <w:sz w:val="15"/>
                <w:szCs w:val="15"/>
                <w:lang w:val="en-US" w:eastAsia="zh-CN"/>
              </w:rPr>
              <w:t>≥</w:t>
            </w:r>
            <w:r>
              <w:rPr>
                <w:rFonts w:hint="eastAsia" w:ascii="Times New Roman" w:hAnsi="Times New Roman" w:eastAsia="仿宋_GB2312" w:cs="Times New Roman"/>
                <w:color w:val="000000"/>
                <w:kern w:val="0"/>
                <w:sz w:val="15"/>
                <w:szCs w:val="15"/>
                <w:lang w:val="en-US" w:eastAsia="zh-CN"/>
              </w:rPr>
              <w:t>5处</w:t>
            </w:r>
          </w:p>
        </w:tc>
        <w:tc>
          <w:tcPr>
            <w:tcW w:w="618" w:type="dxa"/>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16</w:t>
            </w:r>
          </w:p>
        </w:tc>
        <w:tc>
          <w:tcPr>
            <w:tcW w:w="525"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10</w:t>
            </w:r>
          </w:p>
        </w:tc>
        <w:tc>
          <w:tcPr>
            <w:tcW w:w="538"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19" w:type="dxa"/>
            <w:vMerge w:val="continue"/>
            <w:tcBorders>
              <w:left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rPr>
            </w:pPr>
          </w:p>
        </w:tc>
        <w:tc>
          <w:tcPr>
            <w:tcW w:w="1028" w:type="dxa"/>
            <w:gridSpan w:val="2"/>
            <w:vMerge w:val="continue"/>
            <w:tcBorders>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rPr>
            </w:pP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ascii="Times New Roman" w:hAnsi="Times New Roman" w:eastAsia="仿宋_GB2312" w:cs="Times New Roman"/>
                <w:color w:val="000000"/>
                <w:kern w:val="0"/>
                <w:sz w:val="15"/>
                <w:szCs w:val="15"/>
                <w:lang w:val="en-US" w:eastAsia="zh-CN"/>
              </w:rPr>
            </w:pPr>
            <w:r>
              <w:rPr>
                <w:rFonts w:hint="eastAsia" w:ascii="Times New Roman" w:hAnsi="Times New Roman" w:eastAsia="仿宋_GB2312" w:cs="Times New Roman"/>
                <w:color w:val="000000"/>
                <w:kern w:val="0"/>
                <w:sz w:val="15"/>
                <w:szCs w:val="15"/>
                <w:lang w:val="en-US" w:eastAsia="zh-CN"/>
              </w:rPr>
              <w:t>电影下乡</w:t>
            </w:r>
          </w:p>
        </w:tc>
        <w:tc>
          <w:tcPr>
            <w:tcW w:w="2269"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ascii="Times New Roman" w:hAnsi="Times New Roman" w:eastAsia="仿宋_GB2312" w:cs="Times New Roman"/>
                <w:color w:val="000000"/>
                <w:kern w:val="0"/>
                <w:sz w:val="15"/>
                <w:szCs w:val="15"/>
                <w:lang w:val="en-US" w:eastAsia="zh-CN"/>
              </w:rPr>
            </w:pPr>
            <w:r>
              <w:rPr>
                <w:rFonts w:hint="eastAsia" w:ascii="Times New Roman" w:hAnsi="Times New Roman" w:eastAsia="仿宋_GB2312" w:cs="Times New Roman"/>
                <w:color w:val="000000"/>
                <w:kern w:val="0"/>
                <w:sz w:val="15"/>
                <w:szCs w:val="15"/>
                <w:lang w:val="en-US" w:eastAsia="zh-CN"/>
              </w:rPr>
              <w:t>每村每月1场</w:t>
            </w:r>
          </w:p>
        </w:tc>
        <w:tc>
          <w:tcPr>
            <w:tcW w:w="618" w:type="dxa"/>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4756</w:t>
            </w:r>
          </w:p>
        </w:tc>
        <w:tc>
          <w:tcPr>
            <w:tcW w:w="525"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10</w:t>
            </w:r>
          </w:p>
        </w:tc>
        <w:tc>
          <w:tcPr>
            <w:tcW w:w="538"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19" w:type="dxa"/>
            <w:vMerge w:val="continue"/>
            <w:tcBorders>
              <w:left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rPr>
            </w:pPr>
          </w:p>
        </w:tc>
        <w:tc>
          <w:tcPr>
            <w:tcW w:w="1028" w:type="dxa"/>
            <w:gridSpan w:val="2"/>
            <w:vMerge w:val="continue"/>
            <w:tcBorders>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rPr>
            </w:pP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ascii="Times New Roman" w:hAnsi="Times New Roman" w:eastAsia="仿宋_GB2312" w:cs="Times New Roman"/>
                <w:color w:val="000000"/>
                <w:kern w:val="0"/>
                <w:sz w:val="15"/>
                <w:szCs w:val="15"/>
                <w:lang w:val="en-US" w:eastAsia="zh-CN"/>
              </w:rPr>
            </w:pPr>
            <w:r>
              <w:rPr>
                <w:rFonts w:hint="eastAsia" w:ascii="Times New Roman" w:hAnsi="Times New Roman" w:eastAsia="仿宋_GB2312" w:cs="Times New Roman"/>
                <w:color w:val="000000"/>
                <w:kern w:val="0"/>
                <w:sz w:val="15"/>
                <w:szCs w:val="15"/>
                <w:lang w:val="en-US" w:eastAsia="zh-CN"/>
              </w:rPr>
              <w:t>文化活动</w:t>
            </w:r>
          </w:p>
        </w:tc>
        <w:tc>
          <w:tcPr>
            <w:tcW w:w="2269"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ascii="Times New Roman" w:hAnsi="Times New Roman" w:eastAsia="仿宋_GB2312" w:cs="Times New Roman"/>
                <w:color w:val="000000"/>
                <w:kern w:val="0"/>
                <w:sz w:val="15"/>
                <w:szCs w:val="15"/>
                <w:lang w:val="en-US" w:eastAsia="zh-CN"/>
              </w:rPr>
            </w:pPr>
            <w:r>
              <w:rPr>
                <w:rFonts w:hint="eastAsia" w:ascii="仿宋" w:hAnsi="仿宋" w:eastAsia="仿宋" w:cs="仿宋"/>
                <w:color w:val="000000"/>
                <w:kern w:val="0"/>
                <w:sz w:val="15"/>
                <w:szCs w:val="15"/>
                <w:lang w:val="en-US" w:eastAsia="zh-CN"/>
              </w:rPr>
              <w:t>≥</w:t>
            </w:r>
            <w:r>
              <w:rPr>
                <w:rFonts w:hint="eastAsia" w:ascii="Times New Roman" w:hAnsi="Times New Roman" w:eastAsia="仿宋_GB2312" w:cs="Times New Roman"/>
                <w:color w:val="000000"/>
                <w:kern w:val="0"/>
                <w:sz w:val="15"/>
                <w:szCs w:val="15"/>
                <w:lang w:val="en-US" w:eastAsia="zh-CN"/>
              </w:rPr>
              <w:t>150场次</w:t>
            </w:r>
          </w:p>
        </w:tc>
        <w:tc>
          <w:tcPr>
            <w:tcW w:w="618" w:type="dxa"/>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162</w:t>
            </w:r>
          </w:p>
        </w:tc>
        <w:tc>
          <w:tcPr>
            <w:tcW w:w="525"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10</w:t>
            </w:r>
          </w:p>
        </w:tc>
        <w:tc>
          <w:tcPr>
            <w:tcW w:w="538"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1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028"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质量指标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ascii="Times New Roman" w:hAnsi="Times New Roman" w:eastAsia="仿宋_GB2312" w:cs="Times New Roman"/>
                <w:color w:val="000000"/>
                <w:kern w:val="0"/>
                <w:sz w:val="15"/>
                <w:szCs w:val="15"/>
                <w:lang w:val="en-US" w:eastAsia="zh-CN"/>
              </w:rPr>
            </w:pPr>
            <w:r>
              <w:rPr>
                <w:rFonts w:hint="eastAsia" w:ascii="Times New Roman" w:hAnsi="Times New Roman" w:eastAsia="仿宋_GB2312" w:cs="Times New Roman"/>
                <w:color w:val="000000"/>
                <w:kern w:val="0"/>
                <w:sz w:val="15"/>
                <w:szCs w:val="15"/>
                <w:lang w:val="en-US" w:eastAsia="zh-CN"/>
              </w:rPr>
              <w:t>合格率</w:t>
            </w:r>
          </w:p>
        </w:tc>
        <w:tc>
          <w:tcPr>
            <w:tcW w:w="2269"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ascii="Times New Roman" w:hAnsi="Times New Roman" w:eastAsia="仿宋_GB2312" w:cs="Times New Roman"/>
                <w:color w:val="000000"/>
                <w:kern w:val="0"/>
                <w:sz w:val="15"/>
                <w:szCs w:val="15"/>
                <w:lang w:val="en-US" w:eastAsia="zh-CN"/>
              </w:rPr>
            </w:pPr>
            <w:r>
              <w:rPr>
                <w:rFonts w:hint="eastAsia" w:ascii="仿宋" w:hAnsi="仿宋" w:eastAsia="仿宋" w:cs="仿宋"/>
                <w:color w:val="000000"/>
                <w:kern w:val="0"/>
                <w:sz w:val="15"/>
                <w:szCs w:val="15"/>
                <w:lang w:val="en-US" w:eastAsia="zh-CN"/>
              </w:rPr>
              <w:t>100</w:t>
            </w:r>
            <w:r>
              <w:rPr>
                <w:rFonts w:hint="eastAsia" w:ascii="Times New Roman" w:hAnsi="Times New Roman" w:eastAsia="仿宋_GB2312" w:cs="Times New Roman"/>
                <w:color w:val="000000"/>
                <w:kern w:val="0"/>
                <w:sz w:val="15"/>
                <w:szCs w:val="15"/>
                <w:lang w:val="en-US" w:eastAsia="zh-CN"/>
              </w:rPr>
              <w:t>%</w:t>
            </w:r>
          </w:p>
        </w:tc>
        <w:tc>
          <w:tcPr>
            <w:tcW w:w="618" w:type="dxa"/>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100%</w:t>
            </w:r>
          </w:p>
        </w:tc>
        <w:tc>
          <w:tcPr>
            <w:tcW w:w="525"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10</w:t>
            </w:r>
          </w:p>
        </w:tc>
        <w:tc>
          <w:tcPr>
            <w:tcW w:w="538"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1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028" w:type="dxa"/>
            <w:gridSpan w:val="2"/>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时效指标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ascii="Times New Roman" w:hAnsi="Times New Roman" w:eastAsia="仿宋_GB2312" w:cs="Times New Roman"/>
                <w:color w:val="000000"/>
                <w:kern w:val="0"/>
                <w:sz w:val="15"/>
                <w:szCs w:val="15"/>
                <w:lang w:val="en-US" w:eastAsia="zh-CN"/>
              </w:rPr>
            </w:pPr>
            <w:r>
              <w:rPr>
                <w:rFonts w:hint="eastAsia" w:eastAsia="仿宋_GB2312" w:cs="Times New Roman"/>
                <w:color w:val="000000"/>
                <w:kern w:val="0"/>
                <w:sz w:val="15"/>
                <w:szCs w:val="15"/>
                <w:lang w:val="en-US" w:eastAsia="zh-CN"/>
              </w:rPr>
              <w:t>配送</w:t>
            </w:r>
            <w:r>
              <w:rPr>
                <w:rFonts w:hint="eastAsia" w:ascii="Times New Roman" w:hAnsi="Times New Roman" w:eastAsia="仿宋_GB2312" w:cs="Times New Roman"/>
                <w:color w:val="000000"/>
                <w:kern w:val="0"/>
                <w:sz w:val="15"/>
                <w:szCs w:val="15"/>
                <w:lang w:val="en-US" w:eastAsia="zh-CN"/>
              </w:rPr>
              <w:t>期限</w:t>
            </w:r>
          </w:p>
        </w:tc>
        <w:tc>
          <w:tcPr>
            <w:tcW w:w="2269"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ascii="Times New Roman" w:hAnsi="Times New Roman" w:eastAsia="仿宋_GB2312" w:cs="Times New Roman"/>
                <w:color w:val="000000"/>
                <w:kern w:val="0"/>
                <w:sz w:val="15"/>
                <w:szCs w:val="15"/>
                <w:lang w:val="en-US" w:eastAsia="zh-CN"/>
              </w:rPr>
            </w:pPr>
            <w:r>
              <w:rPr>
                <w:rFonts w:hint="eastAsia" w:ascii="Times New Roman" w:hAnsi="Times New Roman" w:eastAsia="仿宋_GB2312" w:cs="Times New Roman"/>
                <w:color w:val="000000"/>
                <w:kern w:val="0"/>
                <w:sz w:val="15"/>
                <w:szCs w:val="15"/>
                <w:lang w:val="en-US" w:eastAsia="zh-CN"/>
              </w:rPr>
              <w:t>按时完成</w:t>
            </w:r>
            <w:r>
              <w:rPr>
                <w:rFonts w:hint="eastAsia" w:ascii="仿宋" w:hAnsi="仿宋" w:eastAsia="仿宋" w:cs="仿宋"/>
                <w:color w:val="000000"/>
                <w:kern w:val="0"/>
                <w:sz w:val="15"/>
                <w:szCs w:val="15"/>
                <w:lang w:val="en-US" w:eastAsia="zh-CN"/>
              </w:rPr>
              <w:t>≥</w:t>
            </w:r>
            <w:r>
              <w:rPr>
                <w:rFonts w:hint="eastAsia" w:eastAsia="仿宋_GB2312" w:cs="Times New Roman"/>
                <w:color w:val="000000"/>
                <w:kern w:val="0"/>
                <w:sz w:val="15"/>
                <w:szCs w:val="15"/>
                <w:lang w:val="en-US" w:eastAsia="zh-CN"/>
              </w:rPr>
              <w:t>80%</w:t>
            </w:r>
          </w:p>
        </w:tc>
        <w:tc>
          <w:tcPr>
            <w:tcW w:w="618"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100%</w:t>
            </w:r>
          </w:p>
        </w:tc>
        <w:tc>
          <w:tcPr>
            <w:tcW w:w="525"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10</w:t>
            </w:r>
          </w:p>
        </w:tc>
        <w:tc>
          <w:tcPr>
            <w:tcW w:w="538"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1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028" w:type="dxa"/>
            <w:gridSpan w:val="2"/>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成本指标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ascii="Times New Roman" w:hAnsi="Times New Roman" w:eastAsia="仿宋_GB2312" w:cs="Times New Roman"/>
                <w:color w:val="000000"/>
                <w:kern w:val="0"/>
                <w:sz w:val="15"/>
                <w:szCs w:val="15"/>
                <w:lang w:val="en-US" w:eastAsia="zh-CN"/>
              </w:rPr>
            </w:pPr>
            <w:r>
              <w:rPr>
                <w:rFonts w:hint="eastAsia" w:ascii="Times New Roman" w:hAnsi="Times New Roman" w:eastAsia="仿宋_GB2312" w:cs="Times New Roman"/>
                <w:color w:val="000000"/>
                <w:kern w:val="0"/>
                <w:sz w:val="15"/>
                <w:szCs w:val="15"/>
                <w:lang w:val="en-US" w:eastAsia="zh-CN"/>
              </w:rPr>
              <w:t>总成本</w:t>
            </w:r>
          </w:p>
        </w:tc>
        <w:tc>
          <w:tcPr>
            <w:tcW w:w="2269"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ascii="Times New Roman" w:hAnsi="Times New Roman" w:eastAsia="仿宋_GB2312" w:cs="Times New Roman"/>
                <w:color w:val="000000"/>
                <w:kern w:val="0"/>
                <w:sz w:val="15"/>
                <w:szCs w:val="15"/>
                <w:lang w:val="en-US" w:eastAsia="zh-CN"/>
              </w:rPr>
            </w:pPr>
            <w:r>
              <w:rPr>
                <w:rFonts w:hint="eastAsia" w:ascii="Times New Roman" w:hAnsi="Times New Roman" w:eastAsia="仿宋_GB2312" w:cs="Times New Roman"/>
                <w:color w:val="000000"/>
                <w:kern w:val="0"/>
                <w:sz w:val="15"/>
                <w:szCs w:val="15"/>
                <w:lang w:val="en-US" w:eastAsia="zh-CN"/>
              </w:rPr>
              <w:t>不超过年度预算</w:t>
            </w:r>
          </w:p>
        </w:tc>
        <w:tc>
          <w:tcPr>
            <w:tcW w:w="618" w:type="dxa"/>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eastAsia="仿宋_GB2312"/>
                <w:color w:val="000000"/>
                <w:kern w:val="0"/>
                <w:sz w:val="15"/>
                <w:szCs w:val="15"/>
                <w:lang w:val="en-US" w:eastAsia="zh-CN"/>
              </w:rPr>
            </w:pPr>
            <w:r>
              <w:rPr>
                <w:rFonts w:hint="eastAsia" w:eastAsia="仿宋_GB2312"/>
                <w:color w:val="000000"/>
                <w:kern w:val="0"/>
                <w:sz w:val="15"/>
                <w:szCs w:val="15"/>
                <w:lang w:val="en-US" w:eastAsia="zh-CN"/>
              </w:rPr>
              <w:t>100%</w:t>
            </w:r>
          </w:p>
        </w:tc>
        <w:tc>
          <w:tcPr>
            <w:tcW w:w="525"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eastAsia="仿宋_GB2312"/>
                <w:color w:val="000000"/>
                <w:kern w:val="0"/>
                <w:sz w:val="15"/>
                <w:szCs w:val="15"/>
                <w:lang w:val="en-US" w:eastAsia="zh-CN"/>
              </w:rPr>
            </w:pPr>
            <w:r>
              <w:rPr>
                <w:rFonts w:hint="eastAsia" w:eastAsia="仿宋_GB2312"/>
                <w:color w:val="000000"/>
                <w:kern w:val="0"/>
                <w:sz w:val="15"/>
                <w:szCs w:val="15"/>
                <w:lang w:val="en-US" w:eastAsia="zh-CN"/>
              </w:rPr>
              <w:t>10</w:t>
            </w:r>
          </w:p>
        </w:tc>
        <w:tc>
          <w:tcPr>
            <w:tcW w:w="538"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eastAsia="仿宋_GB2312"/>
                <w:color w:val="000000"/>
                <w:kern w:val="0"/>
                <w:sz w:val="15"/>
                <w:szCs w:val="15"/>
                <w:lang w:val="en-US" w:eastAsia="zh-CN"/>
              </w:rPr>
            </w:pPr>
            <w:r>
              <w:rPr>
                <w:rFonts w:hint="eastAsia" w:eastAsia="仿宋_GB2312"/>
                <w:color w:val="000000"/>
                <w:kern w:val="0"/>
                <w:sz w:val="15"/>
                <w:szCs w:val="15"/>
                <w:lang w:val="en-US" w:eastAsia="zh-CN"/>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19"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效益指标</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028" w:type="dxa"/>
            <w:gridSpan w:val="2"/>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经济效益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ascii="Times New Roman" w:hAnsi="Times New Roman" w:eastAsia="仿宋_GB2312" w:cs="Times New Roman"/>
                <w:color w:val="000000"/>
                <w:kern w:val="0"/>
                <w:sz w:val="15"/>
                <w:szCs w:val="15"/>
                <w:lang w:val="en-US" w:eastAsia="zh-CN"/>
              </w:rPr>
            </w:pPr>
          </w:p>
        </w:tc>
        <w:tc>
          <w:tcPr>
            <w:tcW w:w="2269"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ascii="Times New Roman" w:hAnsi="Times New Roman" w:eastAsia="仿宋_GB2312" w:cs="Times New Roman"/>
                <w:color w:val="000000"/>
                <w:kern w:val="0"/>
                <w:sz w:val="15"/>
                <w:szCs w:val="15"/>
                <w:lang w:val="en-US" w:eastAsia="zh-CN"/>
              </w:rPr>
            </w:pPr>
          </w:p>
        </w:tc>
        <w:tc>
          <w:tcPr>
            <w:tcW w:w="618" w:type="dxa"/>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p>
        </w:tc>
        <w:tc>
          <w:tcPr>
            <w:tcW w:w="525"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eastAsia="仿宋_GB2312"/>
                <w:color w:val="000000"/>
                <w:kern w:val="0"/>
                <w:sz w:val="15"/>
                <w:szCs w:val="15"/>
                <w:lang w:val="en-US" w:eastAsia="zh-CN"/>
              </w:rPr>
            </w:pPr>
          </w:p>
        </w:tc>
        <w:tc>
          <w:tcPr>
            <w:tcW w:w="538"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eastAsia="仿宋_GB2312"/>
                <w:color w:val="000000"/>
                <w:kern w:val="0"/>
                <w:sz w:val="15"/>
                <w:szCs w:val="15"/>
                <w:lang w:val="en-US" w:eastAsia="zh-CN"/>
              </w:rPr>
            </w:pP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1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028" w:type="dxa"/>
            <w:gridSpan w:val="2"/>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社会效益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ascii="Times New Roman" w:hAnsi="Times New Roman" w:eastAsia="仿宋_GB2312" w:cs="Times New Roman"/>
                <w:color w:val="000000"/>
                <w:kern w:val="0"/>
                <w:sz w:val="15"/>
                <w:szCs w:val="15"/>
                <w:lang w:val="en-US" w:eastAsia="zh-CN" w:bidi="ar-SA"/>
              </w:rPr>
            </w:pPr>
            <w:r>
              <w:rPr>
                <w:rFonts w:hint="eastAsia" w:ascii="Times New Roman" w:hAnsi="Times New Roman" w:eastAsia="仿宋_GB2312" w:cs="Times New Roman"/>
                <w:color w:val="000000"/>
                <w:kern w:val="0"/>
                <w:sz w:val="15"/>
                <w:szCs w:val="15"/>
                <w:lang w:val="en-US" w:eastAsia="zh-CN"/>
              </w:rPr>
              <w:t>受益人群</w:t>
            </w:r>
          </w:p>
        </w:tc>
        <w:tc>
          <w:tcPr>
            <w:tcW w:w="2269"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ascii="Times New Roman" w:hAnsi="Times New Roman" w:eastAsia="仿宋_GB2312" w:cs="Times New Roman"/>
                <w:color w:val="000000"/>
                <w:kern w:val="0"/>
                <w:sz w:val="15"/>
                <w:szCs w:val="15"/>
                <w:lang w:val="en-US" w:eastAsia="zh-CN" w:bidi="ar-SA"/>
              </w:rPr>
            </w:pPr>
            <w:r>
              <w:rPr>
                <w:rFonts w:hint="eastAsia" w:ascii="仿宋" w:hAnsi="仿宋" w:eastAsia="仿宋" w:cs="仿宋"/>
                <w:color w:val="000000"/>
                <w:kern w:val="0"/>
                <w:sz w:val="15"/>
                <w:szCs w:val="15"/>
                <w:lang w:val="en-US" w:eastAsia="zh-CN"/>
              </w:rPr>
              <w:t>≥</w:t>
            </w:r>
            <w:r>
              <w:rPr>
                <w:rFonts w:hint="eastAsia" w:ascii="Times New Roman" w:hAnsi="Times New Roman" w:eastAsia="仿宋_GB2312" w:cs="Times New Roman"/>
                <w:color w:val="000000"/>
                <w:kern w:val="0"/>
                <w:sz w:val="15"/>
                <w:szCs w:val="15"/>
                <w:lang w:val="en-US" w:eastAsia="zh-CN"/>
              </w:rPr>
              <w:t>150000人次</w:t>
            </w:r>
          </w:p>
        </w:tc>
        <w:tc>
          <w:tcPr>
            <w:tcW w:w="618" w:type="dxa"/>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val="en-US" w:eastAsia="zh-CN"/>
              </w:rPr>
              <w:t>270000</w:t>
            </w:r>
          </w:p>
        </w:tc>
        <w:tc>
          <w:tcPr>
            <w:tcW w:w="525"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val="en-US" w:eastAsia="zh-CN"/>
              </w:rPr>
              <w:t>10</w:t>
            </w:r>
          </w:p>
        </w:tc>
        <w:tc>
          <w:tcPr>
            <w:tcW w:w="538"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ascii="Times New Roman" w:hAnsi="Times New Roman" w:eastAsia="仿宋_GB2312" w:cs="Times New Roman"/>
                <w:color w:val="000000"/>
                <w:kern w:val="0"/>
                <w:sz w:val="15"/>
                <w:szCs w:val="15"/>
                <w:lang w:val="en-US" w:eastAsia="zh-CN" w:bidi="ar-SA"/>
              </w:rPr>
            </w:pPr>
            <w:r>
              <w:rPr>
                <w:rFonts w:hint="eastAsia" w:eastAsia="仿宋_GB2312"/>
                <w:color w:val="000000"/>
                <w:kern w:val="0"/>
                <w:sz w:val="15"/>
                <w:szCs w:val="15"/>
                <w:lang w:val="en-US" w:eastAsia="zh-CN"/>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1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028" w:type="dxa"/>
            <w:gridSpan w:val="2"/>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生态效益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ascii="Times New Roman" w:hAnsi="Times New Roman" w:eastAsia="仿宋_GB2312" w:cs="Times New Roman"/>
                <w:color w:val="000000"/>
                <w:kern w:val="0"/>
                <w:sz w:val="15"/>
                <w:szCs w:val="15"/>
                <w:lang w:val="en-US" w:eastAsia="zh-CN"/>
              </w:rPr>
            </w:pPr>
          </w:p>
        </w:tc>
        <w:tc>
          <w:tcPr>
            <w:tcW w:w="2269"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ascii="Times New Roman" w:hAnsi="Times New Roman" w:eastAsia="仿宋_GB2312" w:cs="Times New Roman"/>
                <w:color w:val="000000"/>
                <w:kern w:val="0"/>
                <w:sz w:val="15"/>
                <w:szCs w:val="15"/>
                <w:lang w:val="en-US" w:eastAsia="zh-CN"/>
              </w:rPr>
            </w:pPr>
          </w:p>
        </w:tc>
        <w:tc>
          <w:tcPr>
            <w:tcW w:w="618" w:type="dxa"/>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p>
        </w:tc>
        <w:tc>
          <w:tcPr>
            <w:tcW w:w="525"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eastAsia="仿宋_GB2312"/>
                <w:color w:val="000000"/>
                <w:kern w:val="0"/>
                <w:sz w:val="15"/>
                <w:szCs w:val="15"/>
                <w:lang w:val="en-US" w:eastAsia="zh-CN"/>
              </w:rPr>
            </w:pPr>
          </w:p>
        </w:tc>
        <w:tc>
          <w:tcPr>
            <w:tcW w:w="538"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eastAsia="仿宋_GB2312"/>
                <w:color w:val="000000"/>
                <w:kern w:val="0"/>
                <w:sz w:val="15"/>
                <w:szCs w:val="15"/>
                <w:lang w:val="en-US" w:eastAsia="zh-CN"/>
              </w:rPr>
            </w:pP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1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028"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可持续影响</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ascii="Times New Roman" w:hAnsi="Times New Roman" w:eastAsia="仿宋_GB2312" w:cs="Times New Roman"/>
                <w:color w:val="000000"/>
                <w:kern w:val="0"/>
                <w:sz w:val="15"/>
                <w:szCs w:val="15"/>
                <w:lang w:val="en-US" w:eastAsia="zh-CN"/>
              </w:rPr>
            </w:pPr>
            <w:r>
              <w:rPr>
                <w:rFonts w:hint="eastAsia" w:ascii="Times New Roman" w:hAnsi="Times New Roman" w:eastAsia="仿宋_GB2312" w:cs="Times New Roman"/>
                <w:color w:val="000000"/>
                <w:kern w:val="0"/>
                <w:sz w:val="15"/>
                <w:szCs w:val="15"/>
                <w:lang w:val="en-US" w:eastAsia="zh-CN"/>
              </w:rPr>
              <w:t>群众数量增加比</w:t>
            </w:r>
          </w:p>
        </w:tc>
        <w:tc>
          <w:tcPr>
            <w:tcW w:w="2269"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ascii="Times New Roman" w:hAnsi="Times New Roman" w:eastAsia="仿宋_GB2312" w:cs="Times New Roman"/>
                <w:color w:val="000000"/>
                <w:kern w:val="0"/>
                <w:sz w:val="15"/>
                <w:szCs w:val="15"/>
                <w:lang w:val="en-US" w:eastAsia="zh-CN"/>
              </w:rPr>
            </w:pPr>
            <w:r>
              <w:rPr>
                <w:rFonts w:hint="eastAsia" w:ascii="Times New Roman" w:hAnsi="Times New Roman" w:eastAsia="仿宋_GB2312" w:cs="Times New Roman"/>
                <w:color w:val="000000"/>
                <w:kern w:val="0"/>
                <w:sz w:val="15"/>
                <w:szCs w:val="15"/>
                <w:lang w:val="en-US" w:eastAsia="zh-CN"/>
              </w:rPr>
              <w:t>年增长</w:t>
            </w:r>
            <w:r>
              <w:rPr>
                <w:rFonts w:hint="eastAsia" w:ascii="仿宋" w:hAnsi="仿宋" w:eastAsia="仿宋" w:cs="仿宋"/>
                <w:color w:val="000000"/>
                <w:kern w:val="0"/>
                <w:sz w:val="15"/>
                <w:szCs w:val="15"/>
                <w:lang w:val="en-US" w:eastAsia="zh-CN"/>
              </w:rPr>
              <w:t>≥</w:t>
            </w:r>
            <w:r>
              <w:rPr>
                <w:rFonts w:hint="eastAsia" w:eastAsia="仿宋_GB2312" w:cs="Times New Roman"/>
                <w:color w:val="000000"/>
                <w:kern w:val="0"/>
                <w:sz w:val="15"/>
                <w:szCs w:val="15"/>
                <w:lang w:val="en-US" w:eastAsia="zh-CN"/>
              </w:rPr>
              <w:t>10%</w:t>
            </w:r>
          </w:p>
        </w:tc>
        <w:tc>
          <w:tcPr>
            <w:tcW w:w="618"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21%</w:t>
            </w:r>
          </w:p>
        </w:tc>
        <w:tc>
          <w:tcPr>
            <w:tcW w:w="525"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eastAsia="仿宋_GB2312"/>
                <w:color w:val="000000"/>
                <w:kern w:val="0"/>
                <w:sz w:val="15"/>
                <w:szCs w:val="15"/>
                <w:lang w:val="en-US" w:eastAsia="zh-CN"/>
              </w:rPr>
            </w:pPr>
            <w:r>
              <w:rPr>
                <w:rFonts w:hint="eastAsia" w:eastAsia="仿宋_GB2312"/>
                <w:color w:val="000000"/>
                <w:kern w:val="0"/>
                <w:sz w:val="15"/>
                <w:szCs w:val="15"/>
                <w:lang w:val="en-US" w:eastAsia="zh-CN"/>
              </w:rPr>
              <w:t>10</w:t>
            </w:r>
          </w:p>
        </w:tc>
        <w:tc>
          <w:tcPr>
            <w:tcW w:w="538"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eastAsia="仿宋_GB2312"/>
                <w:color w:val="000000"/>
                <w:kern w:val="0"/>
                <w:sz w:val="15"/>
                <w:szCs w:val="15"/>
                <w:lang w:val="en-US" w:eastAsia="zh-CN"/>
              </w:rPr>
            </w:pPr>
            <w:r>
              <w:rPr>
                <w:rFonts w:hint="eastAsia" w:eastAsia="仿宋_GB2312"/>
                <w:color w:val="000000"/>
                <w:kern w:val="0"/>
                <w:sz w:val="15"/>
                <w:szCs w:val="15"/>
                <w:lang w:val="en-US" w:eastAsia="zh-CN"/>
              </w:rPr>
              <w:t>10</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19" w:type="dxa"/>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满意度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028" w:type="dxa"/>
            <w:gridSpan w:val="2"/>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服务对象满意度指标</w:t>
            </w:r>
          </w:p>
        </w:tc>
        <w:tc>
          <w:tcPr>
            <w:tcW w:w="1185"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ascii="Times New Roman" w:hAnsi="Times New Roman" w:eastAsia="仿宋_GB2312" w:cs="Times New Roman"/>
                <w:color w:val="000000"/>
                <w:kern w:val="0"/>
                <w:sz w:val="15"/>
                <w:szCs w:val="15"/>
                <w:lang w:val="en-US" w:eastAsia="zh-CN"/>
              </w:rPr>
            </w:pPr>
            <w:r>
              <w:rPr>
                <w:rFonts w:hint="eastAsia" w:ascii="Times New Roman" w:hAnsi="Times New Roman" w:eastAsia="仿宋_GB2312" w:cs="Times New Roman"/>
                <w:color w:val="000000"/>
                <w:kern w:val="0"/>
                <w:sz w:val="15"/>
                <w:szCs w:val="15"/>
                <w:lang w:val="en-US" w:eastAsia="zh-CN"/>
              </w:rPr>
              <w:t>群众满意度</w:t>
            </w:r>
          </w:p>
        </w:tc>
        <w:tc>
          <w:tcPr>
            <w:tcW w:w="2269"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ascii="Times New Roman" w:hAnsi="Times New Roman" w:eastAsia="仿宋_GB2312" w:cs="Times New Roman"/>
                <w:color w:val="000000"/>
                <w:kern w:val="0"/>
                <w:sz w:val="15"/>
                <w:szCs w:val="15"/>
                <w:lang w:val="en-US" w:eastAsia="zh-CN"/>
              </w:rPr>
            </w:pPr>
            <w:r>
              <w:rPr>
                <w:rFonts w:hint="eastAsia" w:ascii="仿宋" w:hAnsi="仿宋" w:eastAsia="仿宋" w:cs="仿宋"/>
                <w:color w:val="000000"/>
                <w:kern w:val="0"/>
                <w:sz w:val="15"/>
                <w:szCs w:val="15"/>
                <w:lang w:val="en-US" w:eastAsia="zh-CN"/>
              </w:rPr>
              <w:t>≥</w:t>
            </w:r>
            <w:r>
              <w:rPr>
                <w:rFonts w:hint="eastAsia" w:ascii="Times New Roman" w:hAnsi="Times New Roman" w:eastAsia="仿宋_GB2312" w:cs="Times New Roman"/>
                <w:color w:val="000000"/>
                <w:kern w:val="0"/>
                <w:sz w:val="15"/>
                <w:szCs w:val="15"/>
                <w:lang w:val="en-US" w:eastAsia="zh-CN"/>
              </w:rPr>
              <w:t>80%</w:t>
            </w:r>
          </w:p>
        </w:tc>
        <w:tc>
          <w:tcPr>
            <w:tcW w:w="618" w:type="dxa"/>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eastAsia="仿宋_GB2312"/>
                <w:color w:val="000000"/>
                <w:kern w:val="0"/>
                <w:sz w:val="15"/>
                <w:szCs w:val="15"/>
                <w:lang w:val="en-US" w:eastAsia="zh-CN"/>
              </w:rPr>
            </w:pPr>
            <w:r>
              <w:rPr>
                <w:rFonts w:hint="eastAsia" w:eastAsia="仿宋_GB2312"/>
                <w:color w:val="000000"/>
                <w:kern w:val="0"/>
                <w:sz w:val="15"/>
                <w:szCs w:val="15"/>
                <w:lang w:val="en-US" w:eastAsia="zh-CN"/>
              </w:rPr>
              <w:t>86%</w:t>
            </w:r>
          </w:p>
        </w:tc>
        <w:tc>
          <w:tcPr>
            <w:tcW w:w="525"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eastAsia="仿宋_GB2312"/>
                <w:color w:val="000000"/>
                <w:kern w:val="0"/>
                <w:sz w:val="15"/>
                <w:szCs w:val="15"/>
                <w:lang w:val="en-US" w:eastAsia="zh-CN"/>
              </w:rPr>
            </w:pPr>
            <w:r>
              <w:rPr>
                <w:rFonts w:hint="eastAsia" w:eastAsia="仿宋_GB2312"/>
                <w:color w:val="000000"/>
                <w:kern w:val="0"/>
                <w:sz w:val="15"/>
                <w:szCs w:val="15"/>
                <w:lang w:val="en-US" w:eastAsia="zh-CN"/>
              </w:rPr>
              <w:t>10</w:t>
            </w:r>
          </w:p>
        </w:tc>
        <w:tc>
          <w:tcPr>
            <w:tcW w:w="538"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8</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eastAsia="仿宋_GB2312" w:cs="Times New Roman"/>
                <w:color w:val="000000"/>
                <w:kern w:val="0"/>
                <w:sz w:val="15"/>
                <w:szCs w:val="15"/>
                <w:lang w:val="en-US" w:eastAsia="zh-CN"/>
              </w:rPr>
              <w:t>努力</w:t>
            </w:r>
            <w:r>
              <w:rPr>
                <w:rFonts w:hint="eastAsia" w:ascii="Times New Roman" w:hAnsi="Times New Roman" w:eastAsia="仿宋_GB2312" w:cs="Times New Roman"/>
                <w:color w:val="000000"/>
                <w:kern w:val="0"/>
                <w:sz w:val="15"/>
                <w:szCs w:val="15"/>
                <w:lang w:val="en-US" w:eastAsia="zh-CN"/>
              </w:rPr>
              <w:t>提高公共文化服务效能</w:t>
            </w:r>
            <w:r>
              <w:rPr>
                <w:rFonts w:hint="eastAsia" w:eastAsia="仿宋_GB2312" w:cs="Times New Roman"/>
                <w:color w:val="000000"/>
                <w:kern w:val="0"/>
                <w:sz w:val="15"/>
                <w:szCs w:val="15"/>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3" w:hRule="atLeast"/>
        </w:trPr>
        <w:tc>
          <w:tcPr>
            <w:tcW w:w="63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eastAsia" w:eastAsia="仿宋_GB2312"/>
                <w:color w:val="000000"/>
                <w:kern w:val="0"/>
                <w:sz w:val="15"/>
                <w:szCs w:val="15"/>
                <w:lang w:val="en-US" w:eastAsia="zh-CN"/>
              </w:rPr>
            </w:pPr>
          </w:p>
        </w:tc>
        <w:tc>
          <w:tcPr>
            <w:tcW w:w="525"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100</w:t>
            </w:r>
          </w:p>
        </w:tc>
        <w:tc>
          <w:tcPr>
            <w:tcW w:w="538" w:type="dxa"/>
            <w:gridSpan w:val="2"/>
            <w:tcBorders>
              <w:top w:val="nil"/>
              <w:left w:val="nil"/>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center"/>
              <w:textAlignment w:val="auto"/>
              <w:rPr>
                <w:rFonts w:hint="default" w:eastAsia="仿宋_GB2312"/>
                <w:color w:val="000000"/>
                <w:kern w:val="0"/>
                <w:sz w:val="15"/>
                <w:szCs w:val="15"/>
                <w:lang w:val="en-US" w:eastAsia="zh-CN"/>
              </w:rPr>
            </w:pPr>
            <w:r>
              <w:rPr>
                <w:rFonts w:hint="eastAsia" w:eastAsia="仿宋_GB2312"/>
                <w:color w:val="000000"/>
                <w:kern w:val="0"/>
                <w:sz w:val="15"/>
                <w:szCs w:val="15"/>
                <w:lang w:val="en-US" w:eastAsia="zh-CN"/>
              </w:rPr>
              <w:t>98</w:t>
            </w:r>
          </w:p>
        </w:tc>
        <w:tc>
          <w:tcPr>
            <w:tcW w:w="1477"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bl>
    <w:p>
      <w:pPr>
        <w:numPr>
          <w:ilvl w:val="0"/>
          <w:numId w:val="0"/>
        </w:numPr>
        <w:adjustRightInd w:val="0"/>
        <w:snapToGrid w:val="0"/>
        <w:spacing w:line="580" w:lineRule="exact"/>
        <w:rPr>
          <w:rFonts w:hint="eastAsia" w:ascii="仿宋_GB2312" w:hAnsi="仿宋_GB2312" w:eastAsia="仿宋_GB2312" w:cs="仿宋_GB2312"/>
          <w:sz w:val="32"/>
          <w:szCs w:val="32"/>
          <w:lang w:eastAsia="zh-CN"/>
        </w:rPr>
      </w:pPr>
      <w:r>
        <w:rPr>
          <w:rFonts w:hint="eastAsia" w:ascii="仿宋" w:eastAsia="仿宋"/>
          <w:color w:val="000000"/>
          <w:kern w:val="0"/>
          <w:sz w:val="20"/>
          <w:szCs w:val="20"/>
        </w:rPr>
        <w:t xml:space="preserve">    </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52.98</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52.98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机构改革，文化广电和旅游局单位性质有事业单位变为行政单位</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732.88</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210.7</w:t>
      </w:r>
      <w:r>
        <w:rPr>
          <w:rFonts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138.8</w:t>
      </w:r>
      <w:r>
        <w:rPr>
          <w:rFonts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val="en-US" w:eastAsia="zh-CN" w:bidi="ar"/>
        </w:rPr>
        <w:t>383.38</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732.88</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100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279.5</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38.14</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eastAsia="zh-CN"/>
        </w:rPr>
        <w:t>调拨一辆执法用车</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辆，其他用车主要是</w:t>
      </w:r>
      <w:r>
        <w:rPr>
          <w:rFonts w:hint="eastAsia" w:ascii="仿宋" w:hAnsi="仿宋" w:eastAsia="仿宋" w:cs="DengXian-Regular"/>
          <w:sz w:val="32"/>
          <w:szCs w:val="32"/>
        </w:rPr>
        <w:t>市局调拨两辆业务用车</w:t>
      </w:r>
      <w:r>
        <w:rPr>
          <w:rFonts w:hint="eastAsia" w:ascii="仿宋_GB2312" w:hAnsi="Times New Roman" w:eastAsia="仿宋_GB2312" w:cs="DengXian-Regular"/>
          <w:sz w:val="32"/>
          <w:szCs w:val="32"/>
        </w:rPr>
        <w:t>；</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 w:hAnsi="仿宋" w:eastAsia="仿宋" w:cs="DengXian-Regular"/>
          <w:sz w:val="32"/>
          <w:szCs w:val="32"/>
        </w:rPr>
        <w:t>较上年无增减</w:t>
      </w:r>
      <w:r>
        <w:rPr>
          <w:rFonts w:hint="eastAsia" w:ascii="仿宋" w:hAnsi="仿宋" w:eastAsia="仿宋" w:cs="宋体"/>
          <w:sz w:val="32"/>
          <w:szCs w:val="32"/>
        </w:rPr>
        <w:t>变化</w:t>
      </w:r>
      <w:r>
        <w:rPr>
          <w:rFonts w:hint="eastAsia" w:ascii="仿宋" w:hAnsi="仿宋" w:eastAsia="仿宋" w:cs="DengXian-Regular"/>
          <w:sz w:val="32"/>
          <w:szCs w:val="32"/>
        </w:rPr>
        <w:t>，单位价值</w:t>
      </w:r>
      <w:r>
        <w:rPr>
          <w:rFonts w:hint="eastAsia" w:ascii="仿宋" w:hAnsi="仿宋" w:eastAsia="仿宋" w:cs="TimesNewRomanPSMT"/>
          <w:sz w:val="32"/>
          <w:szCs w:val="32"/>
        </w:rPr>
        <w:t>100</w:t>
      </w:r>
      <w:r>
        <w:rPr>
          <w:rFonts w:hint="eastAsia" w:ascii="仿宋" w:hAnsi="仿宋" w:eastAsia="仿宋" w:cs="DengXian-Regular"/>
          <w:sz w:val="32"/>
          <w:szCs w:val="32"/>
        </w:rPr>
        <w:t>万元以上专用设备0台（套），较上年无增减。</w:t>
      </w:r>
    </w:p>
    <w:p>
      <w:pPr>
        <w:adjustRightInd w:val="0"/>
        <w:snapToGrid w:val="0"/>
        <w:spacing w:line="580" w:lineRule="exact"/>
        <w:ind w:firstLine="643" w:firstLineChars="200"/>
        <w:rPr>
          <w:rFonts w:ascii="楷体_GB2312" w:hAnsi="Times New Roman" w:eastAsia="楷体_GB2312" w:cs="DengXian-Bold"/>
          <w:b/>
          <w:bCs/>
          <w:sz w:val="32"/>
          <w:szCs w:val="32"/>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1. 本部门2019年度</w:t>
      </w:r>
      <w:r>
        <w:rPr>
          <w:rFonts w:hint="eastAsia" w:ascii="仿宋_GB2312" w:hAnsi="Times New Roman" w:eastAsia="仿宋_GB2312" w:cs="DengXian-Regular"/>
          <w:sz w:val="32"/>
          <w:szCs w:val="32"/>
          <w:lang w:eastAsia="zh-CN"/>
        </w:rPr>
        <w:t>国有资本经营预算财政拨款</w:t>
      </w:r>
      <w:r>
        <w:rPr>
          <w:rFonts w:hint="eastAsia" w:ascii="仿宋_GB2312" w:hAnsi="Times New Roman" w:eastAsia="仿宋_GB2312" w:cs="DengXian-Regular"/>
          <w:sz w:val="32"/>
          <w:szCs w:val="32"/>
        </w:rPr>
        <w:t>无收支，故</w:t>
      </w:r>
      <w:r>
        <w:rPr>
          <w:rFonts w:hint="eastAsia" w:ascii="仿宋_GB2312" w:hAnsi="Times New Roman" w:eastAsia="仿宋_GB2312" w:cs="DengXian-Regular"/>
          <w:sz w:val="32"/>
          <w:szCs w:val="32"/>
          <w:lang w:eastAsia="zh-CN"/>
        </w:rPr>
        <w:t>国有资本经营预算财政拨款支出决算</w:t>
      </w:r>
      <w:r>
        <w:rPr>
          <w:rFonts w:hint="eastAsia" w:ascii="仿宋_GB2312" w:hAnsi="Times New Roman" w:eastAsia="仿宋_GB2312" w:cs="DengXian-Regular"/>
          <w:sz w:val="32"/>
          <w:szCs w:val="32"/>
        </w:rPr>
        <w:t>表以空表列示</w:t>
      </w:r>
      <w:r>
        <w:rPr>
          <w:rFonts w:hint="eastAsia" w:ascii="仿宋_GB2312" w:hAnsi="Times New Roman" w:eastAsia="仿宋_GB2312" w:cs="DengXian-Regular"/>
          <w:sz w:val="32"/>
          <w:szCs w:val="32"/>
          <w:lang w:eastAsia="zh-CN"/>
        </w:rPr>
        <w:t>；本年度</w:t>
      </w:r>
      <w:r>
        <w:rPr>
          <w:rFonts w:hint="eastAsia" w:ascii="仿宋_GB2312" w:hAnsi="Times New Roman" w:eastAsia="仿宋_GB2312" w:cs="DengXian-Regular"/>
          <w:sz w:val="32"/>
          <w:szCs w:val="32"/>
        </w:rPr>
        <w:t>结转结余</w:t>
      </w:r>
      <w:r>
        <w:rPr>
          <w:rFonts w:hint="eastAsia" w:ascii="仿宋_GB2312" w:hAnsi="Times New Roman" w:eastAsia="仿宋_GB2312" w:cs="DengXian-Regular"/>
          <w:sz w:val="32"/>
          <w:szCs w:val="32"/>
          <w:lang w:val="en-US" w:eastAsia="zh-CN"/>
        </w:rPr>
        <w:t>92.61万元，主要是两馆免费开放资金7.96万元、公共文化服务体系建设专项资金37.06万元、小剧团扶持资金10万元、市补助旅发大会资金20万元、各项采购尾款14.81万元等。</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251678720"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78720;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focussize="0,0" r:id="rId28"/>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1"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2"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3"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251679744"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251679744;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gZfdndAAAADQEAAA8AAAAAAAAAAQAgAAAA&#10;IgAAAGRycy9kb3ducmV2LnhtbFBLAQIUABQAAAAIAIdO4kDJ9Vx6eAIAAAgFAAAOAAAAAAAAAAEA&#10;IAAAACwBAABkcnMvZTJvRG9jLnhtbFBLBQYAAAAABgAGAFkBAAAWBg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pPr>
    </w:p>
    <w:p>
      <w:r>
        <w:br w:type="page"/>
      </w:r>
    </w:p>
    <w:p>
      <w:r>
        <w:br w:type="page"/>
      </w:r>
    </w:p>
    <w:p/>
    <w:p>
      <w:r>
        <w:br w:type="page"/>
      </w:r>
    </w:p>
    <w:p/>
    <w:sectPr>
      <w:headerReference r:id="rId25" w:type="first"/>
      <w:headerReference r:id="rId24" w:type="default"/>
      <w:footerReference r:id="rId26"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4816"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2834816;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ZJ93PtoAAAALAQAADwAAAAAAAAABACAAAAAiAAAAZHJzL2Rvd25yZXYueG1sUEsBAhQA&#10;FAAAAAgAh07iQNECCxI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28368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2836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&#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hZwHbAAAACgEAAA8AAAAAAAAAAQAgAAAAIgAA&#10;AGRycy9kb3ducmV2LnhtbFBLAQIUABQAAAAIAIdO4kD2f4JHPgIAAGcEAAAOAAAAAAAAAAEAIAAA&#10;ACoBAABkcnMvZTJvRG9jLnhtbFBLBQYAAAAABgAGAFkBAADaBQ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06368"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706368;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7B41B25"/>
    <w:multiLevelType w:val="singleLevel"/>
    <w:tmpl w:val="47B41B25"/>
    <w:lvl w:ilvl="0" w:tentative="0">
      <w:start w:val="1"/>
      <w:numFmt w:val="chineseCounting"/>
      <w:suff w:val="nothing"/>
      <w:lvlText w:val="%1、"/>
      <w:lvlJc w:val="left"/>
      <w:rPr>
        <w:rFonts w:hint="eastAsia"/>
      </w:rPr>
    </w:lvl>
  </w:abstractNum>
  <w:abstractNum w:abstractNumId="2">
    <w:nsid w:val="59950409"/>
    <w:multiLevelType w:val="singleLevel"/>
    <w:tmpl w:val="59950409"/>
    <w:lvl w:ilvl="0" w:tentative="0">
      <w:start w:val="1"/>
      <w:numFmt w:val="decimal"/>
      <w:suff w:val="space"/>
      <w:lvlText w:val="%1."/>
      <w:lvlJc w:val="left"/>
    </w:lvl>
  </w:abstractNum>
  <w:abstractNum w:abstractNumId="3">
    <w:nsid w:val="5F222FFA"/>
    <w:multiLevelType w:val="singleLevel"/>
    <w:tmpl w:val="5F222FFA"/>
    <w:lvl w:ilvl="0" w:tentative="0">
      <w:start w:val="1"/>
      <w:numFmt w:val="decimal"/>
      <w:suff w:val="nothing"/>
      <w:lvlText w:val="（%1）"/>
      <w:lvlJc w:val="left"/>
    </w:lvl>
  </w:abstractNum>
  <w:abstractNum w:abstractNumId="4">
    <w:nsid w:val="78C1413D"/>
    <w:multiLevelType w:val="singleLevel"/>
    <w:tmpl w:val="78C1413D"/>
    <w:lvl w:ilvl="0" w:tentative="0">
      <w:start w:val="1"/>
      <w:numFmt w:val="decimal"/>
      <w:suff w:val="space"/>
      <w:lvlText w:val="%1."/>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5B00A30"/>
    <w:rsid w:val="07AD3ABD"/>
    <w:rsid w:val="09931427"/>
    <w:rsid w:val="0B011416"/>
    <w:rsid w:val="0BD631F9"/>
    <w:rsid w:val="0C375855"/>
    <w:rsid w:val="107C72F5"/>
    <w:rsid w:val="12AA52D6"/>
    <w:rsid w:val="13E777AE"/>
    <w:rsid w:val="1ECB7CAE"/>
    <w:rsid w:val="24103F4D"/>
    <w:rsid w:val="28494A43"/>
    <w:rsid w:val="28B33675"/>
    <w:rsid w:val="2901187B"/>
    <w:rsid w:val="29FB6F14"/>
    <w:rsid w:val="31C2036A"/>
    <w:rsid w:val="320D02A5"/>
    <w:rsid w:val="348E566F"/>
    <w:rsid w:val="374764FD"/>
    <w:rsid w:val="3A226944"/>
    <w:rsid w:val="3AEE6A48"/>
    <w:rsid w:val="3C1620AA"/>
    <w:rsid w:val="3D2064F8"/>
    <w:rsid w:val="3D8F080F"/>
    <w:rsid w:val="40C13635"/>
    <w:rsid w:val="448D1C7B"/>
    <w:rsid w:val="44CE1FA4"/>
    <w:rsid w:val="480655DB"/>
    <w:rsid w:val="486945B5"/>
    <w:rsid w:val="487F73ED"/>
    <w:rsid w:val="48896559"/>
    <w:rsid w:val="4A347EAE"/>
    <w:rsid w:val="4CBC3E71"/>
    <w:rsid w:val="4ED13B36"/>
    <w:rsid w:val="50E575A8"/>
    <w:rsid w:val="52600405"/>
    <w:rsid w:val="529B4319"/>
    <w:rsid w:val="57773DD6"/>
    <w:rsid w:val="578B79AB"/>
    <w:rsid w:val="5A261C64"/>
    <w:rsid w:val="5CCD3FD5"/>
    <w:rsid w:val="5E1F4572"/>
    <w:rsid w:val="60E470AE"/>
    <w:rsid w:val="61FA5F9D"/>
    <w:rsid w:val="64CD6910"/>
    <w:rsid w:val="6789158D"/>
    <w:rsid w:val="67D81BA4"/>
    <w:rsid w:val="6AAF1C96"/>
    <w:rsid w:val="6FC02DCF"/>
    <w:rsid w:val="72BB6BF7"/>
    <w:rsid w:val="75681757"/>
    <w:rsid w:val="75A346A8"/>
    <w:rsid w:val="771F5D6E"/>
    <w:rsid w:val="784C666B"/>
    <w:rsid w:val="79B9382C"/>
    <w:rsid w:val="7B043B76"/>
    <w:rsid w:val="7B05120E"/>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5.png"/><Relationship Id="rId32" Type="http://schemas.openxmlformats.org/officeDocument/2006/relationships/image" Target="media/image4.png"/><Relationship Id="rId31" Type="http://schemas.openxmlformats.org/officeDocument/2006/relationships/chart" Target="charts/chart2.xml"/><Relationship Id="rId30" Type="http://schemas.openxmlformats.org/officeDocument/2006/relationships/image" Target="media/image3.png"/><Relationship Id="rId3" Type="http://schemas.openxmlformats.org/officeDocument/2006/relationships/header" Target="header1.xml"/><Relationship Id="rId29" Type="http://schemas.openxmlformats.org/officeDocument/2006/relationships/chart" Target="charts/chart1.xml"/><Relationship Id="rId28" Type="http://schemas.openxmlformats.org/officeDocument/2006/relationships/image" Target="media/image2.bmp"/><Relationship Id="rId27" Type="http://schemas.openxmlformats.org/officeDocument/2006/relationships/theme" Target="theme/theme1.xml"/><Relationship Id="rId26" Type="http://schemas.openxmlformats.org/officeDocument/2006/relationships/footer" Target="footer9.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收入构成情况</a:t>
            </a:r>
          </a:p>
        </c:rich>
      </c:tx>
      <c:layout>
        <c:manualLayout>
          <c:xMode val="edge"/>
          <c:yMode val="edge"/>
          <c:x val="0.129027777777778"/>
          <c:y val="0.0451388888888889"/>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[工作簿1]Sheet1!$E$2:$F$2</c:f>
              <c:strCache>
                <c:ptCount val="2"/>
                <c:pt idx="0">
                  <c:v>财政拨款收入</c:v>
                </c:pt>
                <c:pt idx="1">
                  <c:v>其他收入</c:v>
                </c:pt>
              </c:strCache>
            </c:strRef>
          </c:cat>
          <c:val>
            <c:numRef>
              <c:f>[工作簿1]Sheet1!$E$3:$F$3</c:f>
              <c:numCache>
                <c:formatCode>General</c:formatCode>
                <c:ptCount val="2"/>
                <c:pt idx="0">
                  <c:v>1992.15</c:v>
                </c:pt>
                <c:pt idx="1">
                  <c:v>25</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[工作簿1]Sheet1!$E$2:$F$2</c:f>
              <c:strCache>
                <c:ptCount val="2"/>
                <c:pt idx="0">
                  <c:v>财政拨款收入</c:v>
                </c:pt>
                <c:pt idx="1">
                  <c:v>其他收入</c:v>
                </c:pt>
              </c:strCache>
            </c:strRef>
          </c:cat>
          <c:val>
            <c:numRef>
              <c:f>[工作簿1]Sheet1!$E$4:$F$4</c:f>
              <c:numCache>
                <c:formatCode>0.00%</c:formatCode>
                <c:ptCount val="2"/>
                <c:pt idx="0">
                  <c:v>0.9876</c:v>
                </c:pt>
                <c:pt idx="1">
                  <c:v>0.0124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财政拨款收入支出情况</a:t>
            </a:r>
          </a:p>
        </c:rich>
      </c:tx>
      <c:layout/>
      <c:overlay val="0"/>
      <c:spPr>
        <a:noFill/>
        <a:ln>
          <a:noFill/>
        </a:ln>
        <a:effectLst/>
      </c:spPr>
    </c:title>
    <c:autoTitleDeleted val="0"/>
    <c:plotArea>
      <c:layout/>
      <c:barChart>
        <c:barDir val="col"/>
        <c:grouping val="clustered"/>
        <c:varyColors val="0"/>
        <c:ser>
          <c:idx val="0"/>
          <c:order val="0"/>
          <c:tx>
            <c:strRef>
              <c:f>[工作簿1]Sheet1!$C$2</c:f>
              <c:strCache>
                <c:ptCount val="1"/>
                <c:pt idx="0">
                  <c:v>2018</c:v>
                </c:pt>
              </c:strCache>
            </c:strRef>
          </c:tx>
          <c:spPr>
            <a:solidFill>
              <a:schemeClr val="accent1"/>
            </a:solidFill>
            <a:ln>
              <a:noFill/>
            </a:ln>
            <a:effectLst/>
          </c:spPr>
          <c:invertIfNegative val="0"/>
          <c:dLbls>
            <c:delete val="1"/>
          </c:dLbls>
          <c:cat>
            <c:strRef>
              <c:f>[工作簿1]Sheet1!$D$1:$E$1</c:f>
              <c:strCache>
                <c:ptCount val="2"/>
                <c:pt idx="0">
                  <c:v>财政拨款收入</c:v>
                </c:pt>
                <c:pt idx="1">
                  <c:v>财政拨款支出</c:v>
                </c:pt>
              </c:strCache>
            </c:strRef>
          </c:cat>
          <c:val>
            <c:numRef>
              <c:f>[工作簿1]Sheet1!$D$2:$E$2</c:f>
              <c:numCache>
                <c:formatCode>General</c:formatCode>
                <c:ptCount val="2"/>
                <c:pt idx="0">
                  <c:v>1199.25</c:v>
                </c:pt>
                <c:pt idx="1">
                  <c:v>1167.61</c:v>
                </c:pt>
              </c:numCache>
            </c:numRef>
          </c:val>
        </c:ser>
        <c:ser>
          <c:idx val="1"/>
          <c:order val="1"/>
          <c:tx>
            <c:strRef>
              <c:f>[工作簿1]Sheet1!$C$3</c:f>
              <c:strCache>
                <c:ptCount val="1"/>
                <c:pt idx="0">
                  <c:v>2019</c:v>
                </c:pt>
              </c:strCache>
            </c:strRef>
          </c:tx>
          <c:spPr>
            <a:solidFill>
              <a:schemeClr val="accent2"/>
            </a:solidFill>
            <a:ln>
              <a:noFill/>
            </a:ln>
            <a:effectLst/>
          </c:spPr>
          <c:invertIfNegative val="0"/>
          <c:dLbls>
            <c:delete val="1"/>
          </c:dLbls>
          <c:cat>
            <c:strRef>
              <c:f>[工作簿1]Sheet1!$D$1:$E$1</c:f>
              <c:strCache>
                <c:ptCount val="2"/>
                <c:pt idx="0">
                  <c:v>财政拨款收入</c:v>
                </c:pt>
                <c:pt idx="1">
                  <c:v>财政拨款支出</c:v>
                </c:pt>
              </c:strCache>
            </c:strRef>
          </c:cat>
          <c:val>
            <c:numRef>
              <c:f>[工作簿1]Sheet1!$D$3:$E$3</c:f>
              <c:numCache>
                <c:formatCode>General</c:formatCode>
                <c:ptCount val="2"/>
                <c:pt idx="0">
                  <c:v>1927.73</c:v>
                </c:pt>
                <c:pt idx="1">
                  <c:v>1935.9</c:v>
                </c:pt>
              </c:numCache>
            </c:numRef>
          </c:val>
        </c:ser>
        <c:dLbls>
          <c:showLegendKey val="0"/>
          <c:showVal val="0"/>
          <c:showCatName val="0"/>
          <c:showSerName val="0"/>
          <c:showPercent val="0"/>
          <c:showBubbleSize val="0"/>
        </c:dLbls>
        <c:gapWidth val="219"/>
        <c:overlap val="-27"/>
        <c:axId val="359525832"/>
        <c:axId val="718326237"/>
      </c:barChart>
      <c:catAx>
        <c:axId val="35952583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326237"/>
        <c:crosses val="autoZero"/>
        <c:auto val="1"/>
        <c:lblAlgn val="ctr"/>
        <c:lblOffset val="100"/>
        <c:noMultiLvlLbl val="0"/>
      </c:catAx>
      <c:valAx>
        <c:axId val="71832623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95258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2</TotalTime>
  <ScaleCrop>false</ScaleCrop>
  <LinksUpToDate>false</LinksUpToDate>
  <CharactersWithSpaces>11119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2020-11-20T00:43:59Z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