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07" w:rsidRDefault="00661907">
      <w:pPr>
        <w:sectPr w:rsidR="00661907">
          <w:headerReference w:type="default" r:id="rId7"/>
          <w:pgSz w:w="11906" w:h="16838"/>
          <w:pgMar w:top="0" w:right="0" w:bottom="0" w:left="0" w:header="851" w:footer="992" w:gutter="0"/>
          <w:cols w:space="720"/>
          <w:titlePg/>
          <w:docGrid w:type="lines" w:linePitch="312"/>
        </w:sectPr>
      </w:pPr>
      <w:r>
        <w:pict>
          <v:shapetype id="_x0000_t202" coordsize="21600,21600" o:spt="202" path="m,l,21600r21600,l21600,xe">
            <v:stroke joinstyle="miter"/>
            <v:path gradientshapeok="t" o:connecttype="rect"/>
          </v:shapetype>
          <v:shape id="文本框 20" o:spid="_x0000_s2071" type="#_x0000_t202" style="position:absolute;left:0;text-align:left;margin-left:106.25pt;margin-top:693.55pt;width:404.15pt;height:38.4pt;z-index:251654144;mso-wrap-distance-left:3.17494mm;mso-wrap-distance-right:3.17494mm" filled="f" stroked="f">
            <v:textbox id="848custom" style="mso-fit-shape-to-text:t">
              <w:txbxContent>
                <w:p w:rsidR="00661907" w:rsidRDefault="000B580C">
                  <w:pPr>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二〇二〇年十一月</w:t>
                  </w:r>
                </w:p>
              </w:txbxContent>
            </v:textbox>
          </v:shape>
        </w:pict>
      </w:r>
      <w:r>
        <w:pict>
          <v:oval id="椭圆 23" o:spid="_x0000_s2070" style="position:absolute;left:0;text-align:left;margin-left:53.5pt;margin-top:232.45pt;width:121.95pt;height:121.95pt;z-index:251651072;mso-wrap-distance-left:3.17494mm;mso-wrap-distance-right:3.17494mm;v-text-anchor:middle#_x0000_t3" stroked="f">
            <v:textbox id="876custom">
              <w:txbxContent>
                <w:p w:rsidR="00661907" w:rsidRDefault="00661907">
                  <w:pPr>
                    <w:jc w:val="center"/>
                  </w:pPr>
                </w:p>
              </w:txbxContent>
            </v:textbox>
          </v:oval>
        </w:pict>
      </w:r>
      <w:r>
        <w:pict>
          <v:rect id="矩形 26" o:spid="_x0000_s2069" style="position:absolute;left:0;text-align:left;margin-left:33.6pt;margin-top:256.75pt;width:160.65pt;height:69.6pt;z-index:251656192;mso-wrap-distance-left:3.17494mm;mso-wrap-distance-right:3.17494mm#_x0000_t1" filled="f" stroked="f">
            <v:textbox id="877custom" style="mso-fit-shape-to-text:t">
              <w:txbxContent>
                <w:p w:rsidR="00661907" w:rsidRDefault="000B580C">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w:r>
      <w:r>
        <w:pict>
          <v:oval id="椭圆 29" o:spid="_x0000_s2068" style="position:absolute;left:0;text-align:left;margin-left:62.2pt;margin-top:242.75pt;width:103.45pt;height:103.45pt;z-index:251655168;mso-wrap-distance-left:3.17494mm;mso-wrap-distance-right:3.17494mm;v-text-anchor:middle#_x0000_t3" fillcolor="#1f2959" stroked="f">
            <v:textbox id="878custom">
              <w:txbxContent>
                <w:p w:rsidR="00661907" w:rsidRDefault="00661907">
                  <w:pPr>
                    <w:jc w:val="center"/>
                  </w:pPr>
                </w:p>
              </w:txbxContent>
            </v:textbox>
          </v:oval>
        </w:pict>
      </w:r>
      <w:r>
        <w:pict>
          <v:group id="组合 34" o:spid="_x0000_s2065" style="position:absolute;left:0;text-align:left;margin-left:1.25pt;margin-top:821.7pt;width:595.25pt;height:0;z-index:251652096;mso-wrap-distance-left:3.17494mm;mso-wrap-distance-right:3.17494mm" coordorigin="25,16434" coordsize="11905,0#_x0000_t1">
            <v:rect id="_s35" o:spid="_x0000_s2067" style="position:absolute;left:25;top:16434;width:1125;height:0" fillcolor="#fdbc11" stroked="f"/>
            <v:rect id="_s36" o:spid="_x0000_s2066" style="position:absolute;left:1150;top:16434;width:10780;height:0" fillcolor="#1f2959" stroked="f"/>
          </v:group>
        </w:pict>
      </w:r>
      <w:r>
        <w:pict>
          <v:rect id="矩形 39" o:spid="_x0000_s2064" style="position:absolute;left:0;text-align:left;margin-left:184.75pt;margin-top:286.6pt;width:15.15pt;height:22.8pt;z-index:251653120;mso-wrap-style:none;mso-wrap-distance-left:3.17494mm;mso-wrap-distance-right:3.17494mm#_x0000_t1" filled="f" stroked="f">
            <v:textbox id="879custom" style="mso-fit-shape-to-text:t">
              <w:txbxContent>
                <w:p w:rsidR="00661907" w:rsidRDefault="00661907"/>
              </w:txbxContent>
            </v:textbox>
          </v:rect>
        </w:pict>
      </w:r>
    </w:p>
    <w:p w:rsidR="00661907" w:rsidRDefault="00661907"/>
    <w:p w:rsidR="00661907" w:rsidRDefault="00661907">
      <w:pPr>
        <w:jc w:val="center"/>
        <w:rPr>
          <w:rFonts w:ascii="黑体" w:eastAsia="黑体" w:cs="黑体"/>
          <w:sz w:val="56"/>
          <w:szCs w:val="72"/>
        </w:rPr>
      </w:pPr>
    </w:p>
    <w:p w:rsidR="00661907" w:rsidRDefault="00661907">
      <w:pPr>
        <w:jc w:val="center"/>
        <w:rPr>
          <w:rFonts w:ascii="黑体" w:eastAsia="黑体" w:cs="黑体"/>
          <w:sz w:val="56"/>
          <w:szCs w:val="72"/>
        </w:rPr>
      </w:pPr>
    </w:p>
    <w:p w:rsidR="00661907" w:rsidRDefault="009A1155">
      <w:pPr>
        <w:rPr>
          <w:rFonts w:ascii="黑体" w:eastAsia="黑体" w:cs="Times New Roman"/>
          <w:sz w:val="48"/>
          <w:szCs w:val="48"/>
        </w:rPr>
      </w:pPr>
      <w:r w:rsidRPr="00661907">
        <w:pict>
          <v:group id="组合 45" o:spid="_x0000_s2061" style="position:absolute;left:0;text-align:left;margin-left:-91.05pt;margin-top:131.95pt;width:600.25pt;height:69.6pt;z-index:-251654144;mso-wrap-distance-left:3.17494mm;mso-wrap-distance-right:3.17494mm" coordorigin="-1674,1172" coordsize="12004,1392">
            <v:rect id="_s46" o:spid="_x0000_s2063" style="position:absolute;left:-1674;top:1239;width:12004;height:6" fillcolor="#fdbc11" stroked="f"/>
            <v:shape id="_s47" o:spid="_x0000_s2062" type="#_x0000_t202" style="position:absolute;left:1926;top:1172;width:8103;height:1392" filled="f" stroked="f">
              <v:textbox id="849custom" style="mso-fit-shape-to-text:t">
                <w:txbxContent>
                  <w:p w:rsidR="00661907" w:rsidRDefault="000B580C">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sidR="000B580C">
        <w:rPr>
          <w:rFonts w:ascii="黑体" w:eastAsia="黑体" w:cs="Times New Roman" w:hint="eastAsia"/>
          <w:sz w:val="48"/>
          <w:szCs w:val="48"/>
        </w:rPr>
        <w:br w:type="page"/>
      </w:r>
    </w:p>
    <w:p w:rsidR="00661907" w:rsidRDefault="000B580C">
      <w:pPr>
        <w:tabs>
          <w:tab w:val="left" w:pos="2728"/>
        </w:tabs>
        <w:rPr>
          <w:rFonts w:ascii="黑体" w:eastAsia="黑体" w:cs="Times New Roman"/>
          <w:sz w:val="48"/>
          <w:szCs w:val="48"/>
        </w:rPr>
      </w:pPr>
      <w:r>
        <w:rPr>
          <w:rFonts w:ascii="黑体" w:eastAsia="黑体" w:cs="Times New Roman" w:hint="eastAsia"/>
          <w:sz w:val="48"/>
          <w:szCs w:val="48"/>
        </w:rPr>
        <w:lastRenderedPageBreak/>
        <w:tab/>
      </w:r>
    </w:p>
    <w:p w:rsidR="00661907" w:rsidRDefault="00661907">
      <w:pPr>
        <w:rPr>
          <w:rFonts w:ascii="黑体" w:eastAsia="黑体" w:cs="黑体"/>
          <w:sz w:val="56"/>
          <w:szCs w:val="72"/>
        </w:rPr>
      </w:pPr>
    </w:p>
    <w:p w:rsidR="00661907" w:rsidRDefault="000B580C">
      <w:pPr>
        <w:rPr>
          <w:rFonts w:ascii="黑体" w:eastAsia="黑体" w:cs="黑体"/>
          <w:b/>
          <w:bCs/>
          <w:sz w:val="72"/>
          <w:szCs w:val="96"/>
        </w:rPr>
      </w:pPr>
      <w:r>
        <w:rPr>
          <w:rFonts w:ascii="黑体" w:eastAsia="黑体" w:cs="黑体" w:hint="eastAsia"/>
          <w:b/>
          <w:bCs/>
          <w:sz w:val="72"/>
          <w:szCs w:val="96"/>
        </w:rPr>
        <w:t>2019</w:t>
      </w:r>
      <w:r>
        <w:rPr>
          <w:rFonts w:ascii="黑体" w:eastAsia="黑体" w:cs="黑体" w:hint="eastAsia"/>
          <w:b/>
          <w:bCs/>
          <w:sz w:val="72"/>
          <w:szCs w:val="96"/>
        </w:rPr>
        <w:t>年度部门决算公开文本</w:t>
      </w:r>
    </w:p>
    <w:p w:rsidR="00661907" w:rsidRDefault="00661907">
      <w:pPr>
        <w:spacing w:line="360" w:lineRule="auto"/>
        <w:jc w:val="center"/>
        <w:rPr>
          <w:rFonts w:ascii="黑体" w:eastAsia="黑体" w:cs="黑体"/>
          <w:sz w:val="56"/>
          <w:szCs w:val="72"/>
        </w:rPr>
      </w:pPr>
    </w:p>
    <w:p w:rsidR="00661907" w:rsidRDefault="00661907">
      <w:pPr>
        <w:spacing w:line="600" w:lineRule="auto"/>
        <w:jc w:val="center"/>
        <w:rPr>
          <w:rFonts w:ascii="黑体" w:eastAsia="黑体" w:cs="黑体"/>
          <w:sz w:val="56"/>
          <w:szCs w:val="72"/>
        </w:rPr>
      </w:pPr>
    </w:p>
    <w:p w:rsidR="00661907" w:rsidRDefault="00661907">
      <w:pPr>
        <w:spacing w:line="600" w:lineRule="auto"/>
        <w:jc w:val="center"/>
        <w:rPr>
          <w:rFonts w:ascii="黑体" w:eastAsia="黑体" w:cs="黑体"/>
          <w:sz w:val="56"/>
          <w:szCs w:val="72"/>
        </w:rPr>
      </w:pPr>
    </w:p>
    <w:p w:rsidR="00661907" w:rsidRDefault="00661907">
      <w:pPr>
        <w:spacing w:line="600" w:lineRule="auto"/>
        <w:jc w:val="center"/>
        <w:rPr>
          <w:rFonts w:ascii="黑体" w:eastAsia="黑体" w:cs="黑体"/>
          <w:sz w:val="56"/>
          <w:szCs w:val="72"/>
        </w:rPr>
      </w:pPr>
    </w:p>
    <w:p w:rsidR="00661907" w:rsidRDefault="00661907">
      <w:pPr>
        <w:spacing w:line="600" w:lineRule="auto"/>
        <w:jc w:val="center"/>
        <w:rPr>
          <w:rFonts w:ascii="黑体" w:eastAsia="黑体" w:cs="黑体"/>
          <w:sz w:val="56"/>
          <w:szCs w:val="72"/>
        </w:rPr>
      </w:pPr>
    </w:p>
    <w:p w:rsidR="00661907" w:rsidRDefault="00661907">
      <w:pPr>
        <w:spacing w:line="480" w:lineRule="auto"/>
        <w:jc w:val="center"/>
        <w:rPr>
          <w:rFonts w:ascii="黑体" w:eastAsia="黑体" w:cs="黑体"/>
          <w:sz w:val="56"/>
          <w:szCs w:val="72"/>
        </w:rPr>
      </w:pPr>
    </w:p>
    <w:p w:rsidR="00661907" w:rsidRDefault="00661907">
      <w:pPr>
        <w:spacing w:line="480" w:lineRule="auto"/>
        <w:jc w:val="center"/>
        <w:rPr>
          <w:rFonts w:ascii="黑体" w:eastAsia="黑体" w:cs="黑体"/>
          <w:sz w:val="56"/>
          <w:szCs w:val="72"/>
        </w:rPr>
      </w:pPr>
    </w:p>
    <w:p w:rsidR="00661907" w:rsidRDefault="00661907">
      <w:pPr>
        <w:spacing w:line="480" w:lineRule="auto"/>
        <w:jc w:val="center"/>
        <w:rPr>
          <w:rFonts w:ascii="黑体" w:eastAsia="黑体" w:cs="黑体"/>
          <w:sz w:val="56"/>
          <w:szCs w:val="72"/>
        </w:rPr>
      </w:pPr>
    </w:p>
    <w:p w:rsidR="00661907" w:rsidRDefault="00661907">
      <w:pPr>
        <w:snapToGrid w:val="0"/>
        <w:spacing w:line="480" w:lineRule="auto"/>
        <w:jc w:val="center"/>
        <w:rPr>
          <w:rFonts w:ascii="黑体" w:eastAsia="黑体" w:cs="黑体"/>
          <w:sz w:val="56"/>
          <w:szCs w:val="72"/>
        </w:rPr>
      </w:pPr>
    </w:p>
    <w:p w:rsidR="00661907" w:rsidRDefault="000B580C">
      <w:pPr>
        <w:snapToGrid w:val="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廊坊市大城县旺村镇人民政府</w:t>
      </w:r>
    </w:p>
    <w:p w:rsidR="00661907" w:rsidRDefault="000B580C">
      <w:pPr>
        <w:snapToGrid w:val="0"/>
        <w:jc w:val="center"/>
        <w:rPr>
          <w:rFonts w:ascii="楷体_GB2312" w:eastAsia="楷体_GB2312" w:cs="楷体_GB2312"/>
          <w:color w:val="000000"/>
          <w:kern w:val="0"/>
          <w:sz w:val="44"/>
          <w:szCs w:val="44"/>
        </w:rPr>
        <w:sectPr w:rsidR="00661907">
          <w:headerReference w:type="default" r:id="rId8"/>
          <w:headerReference w:type="first" r:id="rId9"/>
          <w:footerReference w:type="first" r:id="rId10"/>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二〇二〇年十一月</w:t>
      </w:r>
    </w:p>
    <w:p w:rsidR="00661907" w:rsidRDefault="00661907">
      <w:pPr>
        <w:tabs>
          <w:tab w:val="left" w:pos="2728"/>
        </w:tabs>
        <w:rPr>
          <w:rFonts w:ascii="黑体" w:eastAsia="黑体" w:cs="Times New Roman"/>
          <w:sz w:val="48"/>
          <w:szCs w:val="48"/>
        </w:rPr>
      </w:pPr>
    </w:p>
    <w:p w:rsidR="00661907" w:rsidRDefault="000B580C">
      <w:pPr>
        <w:tabs>
          <w:tab w:val="left" w:pos="2728"/>
        </w:tabs>
        <w:jc w:val="center"/>
        <w:rPr>
          <w:rFonts w:ascii="黑体" w:eastAsia="黑体" w:cs="Times New Roman"/>
          <w:sz w:val="48"/>
          <w:szCs w:val="48"/>
        </w:rPr>
      </w:pPr>
      <w:r>
        <w:rPr>
          <w:rFonts w:ascii="黑体" w:eastAsia="黑体" w:cs="Times New Roman" w:hint="eastAsia"/>
          <w:sz w:val="48"/>
          <w:szCs w:val="48"/>
        </w:rPr>
        <w:t>目</w:t>
      </w:r>
      <w:r>
        <w:rPr>
          <w:rFonts w:ascii="黑体" w:eastAsia="黑体" w:cs="Times New Roman" w:hint="eastAsia"/>
          <w:sz w:val="48"/>
          <w:szCs w:val="48"/>
        </w:rPr>
        <w:t xml:space="preserve">    </w:t>
      </w:r>
      <w:r>
        <w:rPr>
          <w:rFonts w:ascii="黑体" w:eastAsia="黑体" w:cs="Times New Roman" w:hint="eastAsia"/>
          <w:sz w:val="48"/>
          <w:szCs w:val="48"/>
        </w:rPr>
        <w:t>录</w:t>
      </w:r>
    </w:p>
    <w:p w:rsidR="00661907" w:rsidRDefault="00661907">
      <w:pPr>
        <w:widowControl/>
        <w:spacing w:after="160" w:line="580" w:lineRule="exact"/>
        <w:ind w:firstLineChars="200" w:firstLine="640"/>
        <w:rPr>
          <w:rFonts w:ascii="Times New Roman" w:eastAsia="黑体" w:cs="Times New Roman"/>
          <w:sz w:val="32"/>
          <w:szCs w:val="32"/>
        </w:rPr>
      </w:pPr>
    </w:p>
    <w:p w:rsidR="00661907" w:rsidRDefault="000B580C">
      <w:pPr>
        <w:widowControl/>
        <w:spacing w:after="160" w:line="580" w:lineRule="exact"/>
        <w:ind w:firstLineChars="200" w:firstLine="640"/>
        <w:rPr>
          <w:rFonts w:ascii="Times New Roman" w:eastAsia="仿宋_GB2312" w:cs="Times New Roman"/>
          <w:sz w:val="24"/>
          <w:szCs w:val="32"/>
        </w:rPr>
      </w:pPr>
      <w:r>
        <w:rPr>
          <w:rFonts w:ascii="Times New Roman" w:eastAsia="黑体" w:cs="Times New Roman"/>
          <w:sz w:val="32"/>
          <w:szCs w:val="32"/>
        </w:rPr>
        <w:t>第一部分</w:t>
      </w:r>
      <w:r>
        <w:rPr>
          <w:rFonts w:ascii="Times New Roman" w:eastAsia="黑体" w:cs="Times New Roman"/>
          <w:sz w:val="32"/>
          <w:szCs w:val="32"/>
        </w:rPr>
        <w:t xml:space="preserve">   </w:t>
      </w:r>
      <w:r>
        <w:rPr>
          <w:rFonts w:ascii="Times New Roman" w:eastAsia="黑体" w:cs="Times New Roman"/>
          <w:sz w:val="32"/>
          <w:szCs w:val="32"/>
        </w:rPr>
        <w:t>部门概况</w:t>
      </w:r>
    </w:p>
    <w:p w:rsidR="00661907" w:rsidRDefault="000B580C">
      <w:pPr>
        <w:widowControl/>
        <w:spacing w:after="160" w:line="580" w:lineRule="exact"/>
        <w:ind w:firstLineChars="398" w:firstLine="1274"/>
        <w:rPr>
          <w:rFonts w:ascii="Times New Roman" w:eastAsia="仿宋_GB2312" w:cs="Times New Roman"/>
          <w:sz w:val="32"/>
          <w:szCs w:val="32"/>
        </w:rPr>
      </w:pPr>
      <w:r>
        <w:rPr>
          <w:rFonts w:ascii="Times New Roman" w:eastAsia="仿宋_GB2312" w:cs="Times New Roman"/>
          <w:sz w:val="32"/>
          <w:szCs w:val="32"/>
        </w:rPr>
        <w:t>一、部门</w:t>
      </w:r>
      <w:r>
        <w:rPr>
          <w:rFonts w:ascii="Times New Roman" w:eastAsia="仿宋_GB2312" w:cs="Times New Roman" w:hint="eastAsia"/>
          <w:sz w:val="32"/>
          <w:szCs w:val="32"/>
        </w:rPr>
        <w:t>职责</w:t>
      </w:r>
    </w:p>
    <w:p w:rsidR="00661907" w:rsidRDefault="000B580C">
      <w:pPr>
        <w:widowControl/>
        <w:spacing w:after="160" w:line="580" w:lineRule="exact"/>
        <w:ind w:firstLineChars="398" w:firstLine="1274"/>
        <w:rPr>
          <w:rFonts w:ascii="Times New Roman" w:eastAsia="仿宋_GB2312" w:cs="Times New Roman"/>
          <w:sz w:val="32"/>
          <w:szCs w:val="32"/>
        </w:rPr>
      </w:pPr>
      <w:r>
        <w:rPr>
          <w:rFonts w:ascii="Times New Roman" w:eastAsia="仿宋_GB2312" w:cs="Times New Roman"/>
          <w:sz w:val="32"/>
          <w:szCs w:val="32"/>
        </w:rPr>
        <w:t>二、</w:t>
      </w:r>
      <w:r>
        <w:rPr>
          <w:rFonts w:ascii="Times New Roman" w:eastAsia="仿宋_GB2312" w:cs="Times New Roman" w:hint="eastAsia"/>
          <w:sz w:val="32"/>
          <w:szCs w:val="32"/>
        </w:rPr>
        <w:t>机构设置</w:t>
      </w:r>
    </w:p>
    <w:p w:rsidR="00661907" w:rsidRDefault="000B580C">
      <w:pPr>
        <w:widowControl/>
        <w:spacing w:after="160" w:line="580" w:lineRule="exact"/>
        <w:ind w:firstLineChars="200" w:firstLine="640"/>
        <w:rPr>
          <w:rFonts w:ascii="Times New Roman" w:eastAsia="黑体" w:cs="Times New Roman"/>
          <w:sz w:val="32"/>
          <w:szCs w:val="32"/>
        </w:rPr>
      </w:pPr>
      <w:r>
        <w:rPr>
          <w:rFonts w:ascii="Times New Roman" w:eastAsia="黑体" w:cs="Times New Roman"/>
          <w:sz w:val="32"/>
          <w:szCs w:val="32"/>
        </w:rPr>
        <w:t>第二部分</w:t>
      </w:r>
      <w:r>
        <w:rPr>
          <w:rFonts w:ascii="Times New Roman" w:eastAsia="黑体" w:cs="Times New Roman"/>
          <w:sz w:val="32"/>
          <w:szCs w:val="32"/>
        </w:rPr>
        <w:t xml:space="preserve">   201</w:t>
      </w:r>
      <w:r>
        <w:rPr>
          <w:rFonts w:ascii="Times New Roman" w:eastAsia="黑体" w:cs="Times New Roman" w:hint="eastAsia"/>
          <w:sz w:val="32"/>
          <w:szCs w:val="32"/>
        </w:rPr>
        <w:t>9</w:t>
      </w:r>
      <w:r>
        <w:rPr>
          <w:rFonts w:ascii="Times New Roman" w:eastAsia="黑体" w:cs="Times New Roman"/>
          <w:sz w:val="32"/>
          <w:szCs w:val="32"/>
        </w:rPr>
        <w:t>年部门决算情况说明</w:t>
      </w:r>
    </w:p>
    <w:p w:rsidR="00661907" w:rsidRDefault="000B580C">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一、收入支出决算总体情况说明</w:t>
      </w:r>
    </w:p>
    <w:p w:rsidR="00661907" w:rsidRDefault="000B580C">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二、收入决算情况说明</w:t>
      </w:r>
    </w:p>
    <w:p w:rsidR="00661907" w:rsidRDefault="000B580C">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三、支出决算情况说明</w:t>
      </w:r>
    </w:p>
    <w:p w:rsidR="00661907" w:rsidRDefault="000B580C">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四、财政拨款收入支出决算总体情况说明</w:t>
      </w:r>
    </w:p>
    <w:p w:rsidR="00661907" w:rsidRDefault="000B580C">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hint="eastAsia"/>
          <w:sz w:val="32"/>
          <w:szCs w:val="32"/>
        </w:rPr>
        <w:t>五、一般公共预算</w:t>
      </w:r>
      <w:r>
        <w:rPr>
          <w:rFonts w:ascii="Times New Roman" w:eastAsia="仿宋_GB2312" w:cs="Times New Roman"/>
          <w:sz w:val="32"/>
          <w:szCs w:val="32"/>
        </w:rPr>
        <w:t>“</w:t>
      </w:r>
      <w:r>
        <w:rPr>
          <w:rFonts w:ascii="Times New Roman" w:eastAsia="仿宋_GB2312" w:cs="Times New Roman"/>
          <w:sz w:val="32"/>
          <w:szCs w:val="32"/>
        </w:rPr>
        <w:t>三公</w:t>
      </w:r>
      <w:r>
        <w:rPr>
          <w:rFonts w:ascii="Times New Roman" w:eastAsia="仿宋_GB2312" w:cs="Times New Roman"/>
          <w:sz w:val="32"/>
          <w:szCs w:val="32"/>
        </w:rPr>
        <w:t>”</w:t>
      </w:r>
      <w:r>
        <w:rPr>
          <w:rFonts w:ascii="Times New Roman" w:eastAsia="仿宋_GB2312" w:cs="Times New Roman"/>
          <w:sz w:val="32"/>
          <w:szCs w:val="32"/>
        </w:rPr>
        <w:t>经费支出决算情况说明</w:t>
      </w:r>
    </w:p>
    <w:p w:rsidR="00661907" w:rsidRDefault="000B580C">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hint="eastAsia"/>
          <w:sz w:val="32"/>
          <w:szCs w:val="32"/>
        </w:rPr>
        <w:t>六</w:t>
      </w:r>
      <w:r>
        <w:rPr>
          <w:rFonts w:ascii="Times New Roman" w:eastAsia="仿宋_GB2312" w:cs="Times New Roman"/>
          <w:sz w:val="32"/>
          <w:szCs w:val="32"/>
        </w:rPr>
        <w:t>、预算绩效情况说明</w:t>
      </w:r>
    </w:p>
    <w:p w:rsidR="00661907" w:rsidRDefault="000B580C">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hint="eastAsia"/>
          <w:sz w:val="32"/>
          <w:szCs w:val="32"/>
        </w:rPr>
        <w:t>七</w:t>
      </w:r>
      <w:r>
        <w:rPr>
          <w:rFonts w:ascii="Times New Roman" w:eastAsia="仿宋_GB2312" w:cs="Times New Roman"/>
          <w:sz w:val="32"/>
          <w:szCs w:val="32"/>
        </w:rPr>
        <w:t>、其他重要事项的说明</w:t>
      </w:r>
    </w:p>
    <w:p w:rsidR="00661907" w:rsidRDefault="000B580C">
      <w:pPr>
        <w:widowControl/>
        <w:spacing w:after="160" w:line="580" w:lineRule="exact"/>
        <w:ind w:firstLineChars="200" w:firstLine="640"/>
        <w:rPr>
          <w:rFonts w:ascii="Times New Roman" w:eastAsia="黑体" w:cs="Times New Roman"/>
          <w:sz w:val="32"/>
          <w:szCs w:val="32"/>
        </w:rPr>
      </w:pPr>
      <w:r>
        <w:rPr>
          <w:rFonts w:ascii="Times New Roman" w:eastAsia="黑体" w:cs="Times New Roman"/>
          <w:sz w:val="32"/>
          <w:szCs w:val="32"/>
        </w:rPr>
        <w:t>第三部分</w:t>
      </w:r>
      <w:r>
        <w:rPr>
          <w:rFonts w:ascii="Times New Roman" w:eastAsia="黑体" w:cs="Times New Roman" w:hint="eastAsia"/>
          <w:sz w:val="32"/>
          <w:szCs w:val="32"/>
        </w:rPr>
        <w:t xml:space="preserve">  </w:t>
      </w:r>
      <w:r>
        <w:rPr>
          <w:rFonts w:ascii="Times New Roman" w:eastAsia="黑体" w:cs="Times New Roman"/>
          <w:sz w:val="32"/>
          <w:szCs w:val="32"/>
        </w:rPr>
        <w:t>名词解释</w:t>
      </w:r>
    </w:p>
    <w:p w:rsidR="00661907" w:rsidRDefault="000B580C">
      <w:pPr>
        <w:widowControl/>
        <w:spacing w:after="160" w:line="580" w:lineRule="exact"/>
        <w:ind w:firstLineChars="200" w:firstLine="640"/>
        <w:rPr>
          <w:rFonts w:ascii="Times New Roman" w:eastAsia="仿宋_GB2312" w:cs="Times New Roman"/>
          <w:sz w:val="20"/>
          <w:szCs w:val="32"/>
        </w:rPr>
      </w:pPr>
      <w:r>
        <w:rPr>
          <w:rFonts w:ascii="Times New Roman" w:eastAsia="黑体" w:cs="Times New Roman"/>
          <w:sz w:val="32"/>
          <w:szCs w:val="32"/>
        </w:rPr>
        <w:t>第</w:t>
      </w:r>
      <w:r>
        <w:rPr>
          <w:rFonts w:ascii="Times New Roman" w:eastAsia="黑体" w:cs="Times New Roman" w:hint="eastAsia"/>
          <w:sz w:val="32"/>
          <w:szCs w:val="32"/>
        </w:rPr>
        <w:t>四</w:t>
      </w:r>
      <w:r>
        <w:rPr>
          <w:rFonts w:ascii="Times New Roman" w:eastAsia="黑体" w:cs="Times New Roman"/>
          <w:sz w:val="32"/>
          <w:szCs w:val="32"/>
        </w:rPr>
        <w:t>部分</w:t>
      </w:r>
      <w:r>
        <w:rPr>
          <w:rFonts w:ascii="Times New Roman" w:eastAsia="黑体" w:cs="Times New Roman" w:hint="eastAsia"/>
          <w:sz w:val="32"/>
          <w:szCs w:val="32"/>
        </w:rPr>
        <w:t xml:space="preserve">  </w:t>
      </w:r>
      <w:r>
        <w:rPr>
          <w:rFonts w:ascii="Times New Roman" w:eastAsia="黑体" w:cs="Times New Roman"/>
          <w:sz w:val="32"/>
          <w:szCs w:val="32"/>
        </w:rPr>
        <w:t>201</w:t>
      </w:r>
      <w:r>
        <w:rPr>
          <w:rFonts w:ascii="Times New Roman" w:eastAsia="黑体" w:cs="Times New Roman" w:hint="eastAsia"/>
          <w:sz w:val="32"/>
          <w:szCs w:val="32"/>
        </w:rPr>
        <w:t>9</w:t>
      </w:r>
      <w:r>
        <w:rPr>
          <w:rFonts w:ascii="Times New Roman" w:eastAsia="黑体" w:cs="Times New Roman"/>
          <w:sz w:val="32"/>
          <w:szCs w:val="32"/>
        </w:rPr>
        <w:t>年度部门决算报表</w:t>
      </w:r>
    </w:p>
    <w:p w:rsidR="00661907" w:rsidRDefault="00661907">
      <w:pPr>
        <w:widowControl/>
        <w:spacing w:after="160" w:line="580" w:lineRule="exact"/>
        <w:ind w:firstLineChars="200" w:firstLine="640"/>
        <w:rPr>
          <w:rFonts w:ascii="Times New Roman" w:eastAsia="黑体" w:cs="Times New Roman"/>
          <w:sz w:val="32"/>
          <w:szCs w:val="32"/>
        </w:rPr>
      </w:pPr>
    </w:p>
    <w:p w:rsidR="00661907" w:rsidRDefault="00661907">
      <w:pPr>
        <w:widowControl/>
        <w:spacing w:after="160" w:line="580" w:lineRule="exact"/>
        <w:ind w:firstLineChars="200" w:firstLine="640"/>
        <w:rPr>
          <w:rFonts w:ascii="Times New Roman" w:eastAsia="黑体" w:cs="Times New Roman"/>
          <w:sz w:val="32"/>
          <w:szCs w:val="32"/>
        </w:rPr>
        <w:sectPr w:rsidR="00661907">
          <w:headerReference w:type="default" r:id="rId11"/>
          <w:footerReference w:type="default" r:id="rId12"/>
          <w:headerReference w:type="first" r:id="rId13"/>
          <w:footerReference w:type="first" r:id="rId14"/>
          <w:type w:val="continuous"/>
          <w:pgSz w:w="11906" w:h="16838"/>
          <w:pgMar w:top="2041" w:right="1531" w:bottom="2041" w:left="1531" w:header="851" w:footer="992" w:gutter="0"/>
          <w:cols w:space="720"/>
          <w:titlePg/>
          <w:docGrid w:type="lines" w:linePitch="312"/>
        </w:sectPr>
      </w:pPr>
    </w:p>
    <w:p w:rsidR="00661907" w:rsidRDefault="00661907">
      <w:pPr>
        <w:widowControl/>
        <w:spacing w:line="580" w:lineRule="exact"/>
        <w:ind w:firstLineChars="200" w:firstLine="640"/>
        <w:rPr>
          <w:rFonts w:eastAsia="黑体"/>
          <w:sz w:val="32"/>
          <w:szCs w:val="32"/>
        </w:rPr>
      </w:pPr>
    </w:p>
    <w:p w:rsidR="00661907" w:rsidRDefault="00661907">
      <w:pPr>
        <w:widowControl/>
        <w:spacing w:line="580" w:lineRule="exact"/>
        <w:ind w:firstLineChars="200" w:firstLine="640"/>
        <w:rPr>
          <w:rFonts w:eastAsia="黑体"/>
          <w:sz w:val="32"/>
          <w:szCs w:val="32"/>
        </w:rPr>
      </w:pPr>
    </w:p>
    <w:p w:rsidR="00661907" w:rsidRDefault="00661907">
      <w:pPr>
        <w:widowControl/>
        <w:spacing w:line="580" w:lineRule="exact"/>
        <w:ind w:firstLineChars="200" w:firstLine="640"/>
        <w:rPr>
          <w:rFonts w:eastAsia="黑体"/>
          <w:sz w:val="32"/>
          <w:szCs w:val="32"/>
        </w:rPr>
      </w:pPr>
    </w:p>
    <w:p w:rsidR="00661907" w:rsidRDefault="00661907">
      <w:r w:rsidRPr="00661907">
        <w:rPr>
          <w:sz w:val="72"/>
        </w:rPr>
        <w:pict>
          <v:shape id="文本框 73" o:spid="_x0000_s2060" type="#_x0000_t202" style="position:absolute;left:0;text-align:left;margin-left:-85.7pt;margin-top:80.7pt;width:613.65pt;height:263.1pt;z-index:251657216;mso-wrap-distance-left:3.17494mm;mso-wrap-distance-right:3.17494mm;v-text-anchor:middle" stroked="f">
            <v:textbox id="850custom">
              <w:txbxContent>
                <w:p w:rsidR="00661907" w:rsidRDefault="000B580C">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hint="eastAsia"/>
                      <w:color w:val="000000"/>
                      <w:sz w:val="96"/>
                      <w:szCs w:val="96"/>
                    </w:rPr>
                    <w:t xml:space="preserve">  </w:t>
                  </w:r>
                  <w:r>
                    <w:rPr>
                      <w:rFonts w:ascii="黑体" w:eastAsia="黑体" w:cs="黑体" w:hint="eastAsia"/>
                      <w:color w:val="000000"/>
                      <w:sz w:val="96"/>
                      <w:szCs w:val="96"/>
                    </w:rPr>
                    <w:t>部门概况</w:t>
                  </w:r>
                </w:p>
              </w:txbxContent>
            </v:textbox>
          </v:shape>
        </w:pict>
      </w:r>
      <w:r w:rsidR="000B580C">
        <w:br w:type="page"/>
      </w:r>
    </w:p>
    <w:p w:rsidR="00661907" w:rsidRDefault="000B580C">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661907" w:rsidRDefault="000B580C">
      <w:pPr>
        <w:adjustRightInd w:val="0"/>
        <w:snapToGrid w:val="0"/>
        <w:spacing w:line="580" w:lineRule="exact"/>
        <w:ind w:firstLineChars="200" w:firstLine="640"/>
        <w:rPr>
          <w:rFonts w:ascii="仿宋" w:eastAsia="仿宋"/>
          <w:sz w:val="32"/>
          <w:szCs w:val="32"/>
        </w:rPr>
      </w:pPr>
      <w:r>
        <w:rPr>
          <w:rFonts w:eastAsia="仿宋_GB2312" w:hint="eastAsia"/>
          <w:sz w:val="32"/>
          <w:szCs w:val="32"/>
        </w:rPr>
        <w:t>（一）</w:t>
      </w:r>
      <w:r>
        <w:rPr>
          <w:rFonts w:ascii="仿宋" w:eastAsia="仿宋" w:hint="eastAsia"/>
          <w:sz w:val="32"/>
          <w:szCs w:val="32"/>
        </w:rPr>
        <w:t>党政机构设置及主要职责。</w:t>
      </w:r>
    </w:p>
    <w:p w:rsidR="00661907" w:rsidRDefault="000B580C">
      <w:pPr>
        <w:adjustRightInd w:val="0"/>
        <w:snapToGrid w:val="0"/>
        <w:spacing w:line="580" w:lineRule="exact"/>
        <w:ind w:firstLineChars="200" w:firstLine="640"/>
        <w:rPr>
          <w:rFonts w:ascii="仿宋" w:eastAsia="仿宋"/>
          <w:sz w:val="32"/>
          <w:szCs w:val="32"/>
        </w:rPr>
      </w:pPr>
      <w:r>
        <w:rPr>
          <w:rFonts w:ascii="仿宋" w:eastAsia="仿宋" w:hint="eastAsia"/>
          <w:sz w:val="32"/>
          <w:szCs w:val="32"/>
        </w:rPr>
        <w:t>旺村镇综合设置</w:t>
      </w:r>
      <w:r>
        <w:rPr>
          <w:rFonts w:ascii="仿宋" w:eastAsia="仿宋" w:hint="eastAsia"/>
          <w:sz w:val="32"/>
          <w:szCs w:val="32"/>
        </w:rPr>
        <w:t>5</w:t>
      </w:r>
      <w:r>
        <w:rPr>
          <w:rFonts w:ascii="仿宋" w:eastAsia="仿宋" w:hint="eastAsia"/>
          <w:sz w:val="32"/>
          <w:szCs w:val="32"/>
        </w:rPr>
        <w:t>个办公室，即：党政综合办公室（挂信访办公室牌子）、社会事务办公室、经济发展办公室（挂安全生产监督管理办公室牌子）、综合治理办公室、计划生育办公室。</w:t>
      </w:r>
    </w:p>
    <w:p w:rsidR="00661907" w:rsidRDefault="000B580C">
      <w:pPr>
        <w:adjustRightInd w:val="0"/>
        <w:snapToGrid w:val="0"/>
        <w:spacing w:line="580" w:lineRule="exact"/>
        <w:ind w:firstLineChars="200" w:firstLine="640"/>
        <w:rPr>
          <w:rFonts w:ascii="仿宋" w:eastAsia="仿宋"/>
          <w:sz w:val="32"/>
          <w:szCs w:val="32"/>
        </w:rPr>
      </w:pPr>
      <w:r>
        <w:rPr>
          <w:rFonts w:ascii="仿宋" w:eastAsia="仿宋" w:hint="eastAsia"/>
          <w:sz w:val="32"/>
          <w:szCs w:val="32"/>
        </w:rPr>
        <w:t>党政综合办公室职责：负责乡镇各部门的综合协调、上传下达、文印收发、信息反馈、档案管理、机关事务等工作；负责基层组织建设、党员教育管理、干部考核与目标管理、老干部管理、农村精神文明建设、机构编制管理等工作；负责人大、工会、妇联、共青团等方面工作；负责乡镇信访工作。</w:t>
      </w:r>
    </w:p>
    <w:p w:rsidR="00661907" w:rsidRDefault="000B580C">
      <w:pPr>
        <w:adjustRightInd w:val="0"/>
        <w:snapToGrid w:val="0"/>
        <w:spacing w:line="580" w:lineRule="exact"/>
        <w:ind w:firstLineChars="200" w:firstLine="640"/>
        <w:rPr>
          <w:rFonts w:ascii="仿宋" w:eastAsia="仿宋"/>
          <w:sz w:val="32"/>
          <w:szCs w:val="32"/>
        </w:rPr>
      </w:pPr>
      <w:r>
        <w:rPr>
          <w:rFonts w:ascii="仿宋" w:eastAsia="仿宋" w:hint="eastAsia"/>
          <w:sz w:val="32"/>
          <w:szCs w:val="32"/>
        </w:rPr>
        <w:t>社会事务办公室职责：负责拥军优属、复退安置、社会救济、救灾防疫、婚姻管理、殡葬管理工</w:t>
      </w:r>
      <w:r>
        <w:rPr>
          <w:rFonts w:ascii="仿宋" w:eastAsia="仿宋" w:hint="eastAsia"/>
          <w:sz w:val="32"/>
          <w:szCs w:val="32"/>
        </w:rPr>
        <w:t>作；负责农村基层民主政治建设、村务公开工作；负责党的民族宗教政策的贯彻落实；负责科技、教育、人力资源和社会保障、卫生、文化、统计、体育、广播、电视、物价等方面工作的协调、管理；监督、指导文化服务中心的工作。</w:t>
      </w:r>
    </w:p>
    <w:p w:rsidR="00661907" w:rsidRDefault="000B580C">
      <w:pPr>
        <w:adjustRightInd w:val="0"/>
        <w:snapToGrid w:val="0"/>
        <w:spacing w:line="580" w:lineRule="exact"/>
        <w:ind w:firstLineChars="200" w:firstLine="640"/>
        <w:rPr>
          <w:rFonts w:ascii="仿宋" w:eastAsia="仿宋"/>
          <w:sz w:val="32"/>
          <w:szCs w:val="32"/>
        </w:rPr>
      </w:pPr>
      <w:r>
        <w:rPr>
          <w:rFonts w:ascii="仿宋" w:eastAsia="仿宋" w:hint="eastAsia"/>
          <w:sz w:val="32"/>
          <w:szCs w:val="32"/>
        </w:rPr>
        <w:t>经济发展办公室职责：研究制定乡镇经济发展规划并组织实施；负责农村小康建设规划的制定和落实；协助有关部门负责区域内经济调节及市场监管；负责项目建设、招商引资工作；负责农业产业结构调整工作；负责农村土地承包、减轻农民负担管理工作；负责农村资产、资源、资金管理工作；负责环境保护、食</w:t>
      </w:r>
      <w:r>
        <w:rPr>
          <w:rFonts w:ascii="仿宋" w:eastAsia="仿宋" w:hint="eastAsia"/>
          <w:sz w:val="32"/>
          <w:szCs w:val="32"/>
        </w:rPr>
        <w:lastRenderedPageBreak/>
        <w:t>品药品、农业、林业、水利、畜</w:t>
      </w:r>
      <w:r>
        <w:rPr>
          <w:rFonts w:ascii="仿宋" w:eastAsia="仿宋" w:hint="eastAsia"/>
          <w:sz w:val="32"/>
          <w:szCs w:val="32"/>
        </w:rPr>
        <w:t>牧等方面工作的协调、管理；负责协调辖区内企业、税务、工商、银行、信用社、供销社等工作；负责本乡镇的安全生产监督管理工作；监督、指导企业服务中心、财政所的工作；贯彻执行上级关于乡村规划建设的法律、法规、方针、政策；协助上级规划建设管理部门组织编制乡村建设规划；接受上级规划建设管理部门的业务指导，监督执行乡村建设规划；协助有关部门开展土地的依法管理、宅基地审核申报、交通、乡村道路建设、农田水利基本建设、农村饮水、电信、有线电视、电网等农村基础设施建设工作。</w:t>
      </w:r>
    </w:p>
    <w:p w:rsidR="00661907" w:rsidRDefault="000B580C">
      <w:pPr>
        <w:adjustRightInd w:val="0"/>
        <w:snapToGrid w:val="0"/>
        <w:spacing w:line="580" w:lineRule="exact"/>
        <w:ind w:firstLineChars="200" w:firstLine="640"/>
        <w:rPr>
          <w:rFonts w:ascii="仿宋" w:eastAsia="仿宋"/>
          <w:sz w:val="32"/>
          <w:szCs w:val="32"/>
        </w:rPr>
      </w:pPr>
      <w:r>
        <w:rPr>
          <w:rFonts w:ascii="仿宋" w:eastAsia="仿宋" w:hint="eastAsia"/>
          <w:sz w:val="32"/>
          <w:szCs w:val="32"/>
        </w:rPr>
        <w:t>综合治理办公室职责：贯彻落实上级关于社会治安综合治理的</w:t>
      </w:r>
      <w:r>
        <w:rPr>
          <w:rFonts w:ascii="仿宋" w:eastAsia="仿宋" w:hint="eastAsia"/>
          <w:sz w:val="32"/>
          <w:szCs w:val="32"/>
        </w:rPr>
        <w:t>法律、法规、方针、政策，组织实施社会治安综合治理各项措施；负责辖区内各部门、各单位落实综合治理工作的组织、指导、检查；负责辖区内矛盾纠纷的调处和应急处置工作；负责协调辖区内司法所、公安派出所、法庭工作。</w:t>
      </w:r>
    </w:p>
    <w:p w:rsidR="00661907" w:rsidRDefault="000B580C">
      <w:pPr>
        <w:adjustRightInd w:val="0"/>
        <w:snapToGrid w:val="0"/>
        <w:spacing w:line="580" w:lineRule="exact"/>
        <w:ind w:firstLineChars="200" w:firstLine="640"/>
        <w:rPr>
          <w:rFonts w:ascii="仿宋" w:eastAsia="仿宋"/>
          <w:sz w:val="32"/>
          <w:szCs w:val="32"/>
        </w:rPr>
      </w:pPr>
      <w:r>
        <w:rPr>
          <w:rFonts w:ascii="仿宋" w:eastAsia="仿宋" w:hint="eastAsia"/>
          <w:sz w:val="32"/>
          <w:szCs w:val="32"/>
        </w:rPr>
        <w:t>计划生育办公室职责：负责宣传贯彻上级关于人口和计划生育的法律、法规、方针、政策；制定本乡镇人口发展的中长期规划和年度计划；负责辖区内常住、暂住、流动人口的计划生育行政管理；受理计划生育来信来访，查处违反计划生育政策的案件；监督、指导计划生育服务中心的工作。</w:t>
      </w:r>
    </w:p>
    <w:p w:rsidR="00661907" w:rsidRDefault="000B580C">
      <w:pPr>
        <w:adjustRightInd w:val="0"/>
        <w:snapToGrid w:val="0"/>
        <w:spacing w:line="580" w:lineRule="exact"/>
        <w:ind w:firstLineChars="200" w:firstLine="640"/>
        <w:rPr>
          <w:rFonts w:ascii="仿宋" w:eastAsia="仿宋"/>
          <w:sz w:val="32"/>
          <w:szCs w:val="32"/>
        </w:rPr>
      </w:pPr>
      <w:r>
        <w:rPr>
          <w:rFonts w:ascii="仿宋" w:eastAsia="仿宋" w:hint="eastAsia"/>
          <w:sz w:val="32"/>
          <w:szCs w:val="32"/>
        </w:rPr>
        <w:t>（二）事业单位设置及主要职责。</w:t>
      </w:r>
    </w:p>
    <w:p w:rsidR="00661907" w:rsidRDefault="000B580C">
      <w:pPr>
        <w:adjustRightInd w:val="0"/>
        <w:snapToGrid w:val="0"/>
        <w:spacing w:line="580" w:lineRule="exact"/>
        <w:ind w:firstLineChars="200" w:firstLine="640"/>
        <w:rPr>
          <w:rFonts w:ascii="仿宋" w:eastAsia="仿宋"/>
          <w:sz w:val="32"/>
          <w:szCs w:val="32"/>
        </w:rPr>
      </w:pPr>
      <w:r>
        <w:rPr>
          <w:rFonts w:ascii="仿宋" w:eastAsia="仿宋" w:hint="eastAsia"/>
          <w:sz w:val="32"/>
          <w:szCs w:val="32"/>
        </w:rPr>
        <w:t>旺村镇设置事业单位</w:t>
      </w:r>
      <w:r>
        <w:rPr>
          <w:rFonts w:ascii="仿宋" w:eastAsia="仿宋" w:hint="eastAsia"/>
          <w:sz w:val="32"/>
          <w:szCs w:val="32"/>
        </w:rPr>
        <w:t>4</w:t>
      </w:r>
      <w:r>
        <w:rPr>
          <w:rFonts w:ascii="仿宋" w:eastAsia="仿宋" w:hint="eastAsia"/>
          <w:sz w:val="32"/>
          <w:szCs w:val="32"/>
        </w:rPr>
        <w:t>个，即：企业服务中心（挂农业服务</w:t>
      </w:r>
      <w:r>
        <w:rPr>
          <w:rFonts w:ascii="仿宋" w:eastAsia="仿宋" w:hint="eastAsia"/>
          <w:sz w:val="32"/>
          <w:szCs w:val="32"/>
        </w:rPr>
        <w:lastRenderedPageBreak/>
        <w:t>中心牌子）、计划生育服务中心、综合文化服务中心和财政所。</w:t>
      </w:r>
    </w:p>
    <w:p w:rsidR="00661907" w:rsidRDefault="000B580C">
      <w:pPr>
        <w:adjustRightInd w:val="0"/>
        <w:snapToGrid w:val="0"/>
        <w:spacing w:line="580" w:lineRule="exact"/>
        <w:ind w:firstLineChars="200" w:firstLine="640"/>
        <w:rPr>
          <w:rFonts w:ascii="仿宋" w:eastAsia="仿宋"/>
          <w:sz w:val="32"/>
          <w:szCs w:val="32"/>
        </w:rPr>
      </w:pPr>
      <w:r>
        <w:rPr>
          <w:rFonts w:ascii="仿宋" w:eastAsia="仿宋" w:hint="eastAsia"/>
          <w:sz w:val="32"/>
          <w:szCs w:val="32"/>
        </w:rPr>
        <w:t>企业服务中心职责：负责投资环境介绍及有关政策咨询，协助投资企业办理有关报批事宜；负责企业投诉受理及经济纠纷的协调处理工作；负责协助投资者及外来人员购房、落户以及子女入托、入学、就业等事宜。负责农技、农机、蔬菜、畜禽、水产、林业等技术引进与推广工作；负责水土保持、节水、灌溉新技术的推广应用；负责农业科技示范区建设工作；负责畜禽检疫、防疫工作；负责无公害农产品生产基地建设工作；负责指导农民专业合作社建设工作；负责农业新技</w:t>
      </w:r>
      <w:r>
        <w:rPr>
          <w:rFonts w:ascii="仿宋" w:eastAsia="仿宋" w:hint="eastAsia"/>
          <w:sz w:val="32"/>
          <w:szCs w:val="32"/>
        </w:rPr>
        <w:t>术培训。</w:t>
      </w:r>
    </w:p>
    <w:p w:rsidR="00661907" w:rsidRDefault="000B580C">
      <w:pPr>
        <w:adjustRightInd w:val="0"/>
        <w:snapToGrid w:val="0"/>
        <w:spacing w:line="580" w:lineRule="exact"/>
        <w:ind w:firstLineChars="200" w:firstLine="640"/>
        <w:rPr>
          <w:rFonts w:ascii="仿宋" w:eastAsia="仿宋"/>
          <w:sz w:val="32"/>
          <w:szCs w:val="32"/>
        </w:rPr>
      </w:pPr>
      <w:r>
        <w:rPr>
          <w:rFonts w:ascii="仿宋" w:eastAsia="仿宋" w:hint="eastAsia"/>
          <w:sz w:val="32"/>
          <w:szCs w:val="32"/>
        </w:rPr>
        <w:t>计划生育服务中心主要职责：负责辖区内常住、暂住、流动人口的计划生育服务工作；负责育龄妇女的优生优育服务、避孕药具的发放及婚育培训等工作。</w:t>
      </w:r>
    </w:p>
    <w:p w:rsidR="00661907" w:rsidRDefault="000B580C">
      <w:pPr>
        <w:adjustRightInd w:val="0"/>
        <w:snapToGrid w:val="0"/>
        <w:spacing w:line="580" w:lineRule="exact"/>
        <w:ind w:firstLineChars="200" w:firstLine="640"/>
        <w:rPr>
          <w:rFonts w:ascii="仿宋" w:eastAsia="仿宋"/>
          <w:sz w:val="32"/>
          <w:szCs w:val="32"/>
        </w:rPr>
      </w:pPr>
      <w:r>
        <w:rPr>
          <w:rFonts w:ascii="仿宋" w:eastAsia="仿宋" w:hint="eastAsia"/>
          <w:sz w:val="32"/>
          <w:szCs w:val="32"/>
        </w:rPr>
        <w:t>综合文化服务中心主要职责：组织开展科普教育活动，引导农民开展健康有益的文娱体育活动；负责群众文艺骨干辅导和培训工作；搜集、整理民间文化艺术遗产；负责文物保护工作。</w:t>
      </w:r>
    </w:p>
    <w:p w:rsidR="00661907" w:rsidRDefault="000B580C">
      <w:pPr>
        <w:adjustRightInd w:val="0"/>
        <w:snapToGrid w:val="0"/>
        <w:spacing w:line="580" w:lineRule="exact"/>
        <w:ind w:firstLineChars="200" w:firstLine="640"/>
        <w:rPr>
          <w:rFonts w:ascii="仿宋" w:eastAsia="仿宋"/>
          <w:sz w:val="32"/>
          <w:szCs w:val="32"/>
        </w:rPr>
      </w:pPr>
      <w:r>
        <w:rPr>
          <w:rFonts w:ascii="仿宋" w:eastAsia="仿宋" w:hint="eastAsia"/>
          <w:sz w:val="32"/>
          <w:szCs w:val="32"/>
        </w:rPr>
        <w:t>财政所主要职责：贯彻执行国家财政的法律、法规、方针、政策，负责乡镇财政收支、预决算的编制并组织执行；负责辖区内财政资金使用情况的监管工作；负责辖区内国有资产的管理工作；负责各项惠农补贴的发放工作。</w:t>
      </w:r>
    </w:p>
    <w:p w:rsidR="00661907" w:rsidRDefault="000B580C">
      <w:pPr>
        <w:keepNext/>
        <w:keepLines/>
        <w:spacing w:line="580" w:lineRule="exact"/>
        <w:ind w:firstLineChars="200" w:firstLine="640"/>
        <w:jc w:val="left"/>
        <w:outlineLvl w:val="0"/>
        <w:rPr>
          <w:rFonts w:ascii="黑体" w:eastAsia="黑体" w:cs="黑体"/>
          <w:kern w:val="0"/>
          <w:sz w:val="32"/>
          <w:szCs w:val="32"/>
        </w:rPr>
      </w:pPr>
      <w:r>
        <w:rPr>
          <w:rFonts w:ascii="黑体" w:eastAsia="黑体" w:cs="黑体" w:hint="eastAsia"/>
          <w:kern w:val="0"/>
          <w:sz w:val="32"/>
          <w:szCs w:val="32"/>
        </w:rPr>
        <w:t>二、机构设置</w:t>
      </w:r>
    </w:p>
    <w:p w:rsidR="00661907" w:rsidRDefault="000B580C">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hint="eastAsia"/>
          <w:kern w:val="0"/>
          <w:sz w:val="32"/>
          <w:szCs w:val="32"/>
        </w:rPr>
        <w:t xml:space="preserve">2019 </w:t>
      </w:r>
      <w:r>
        <w:rPr>
          <w:rFonts w:ascii="仿宋_GB2312" w:eastAsia="仿宋_GB2312" w:cs="ArialUnicodeMS" w:hint="eastAsia"/>
          <w:kern w:val="0"/>
          <w:sz w:val="32"/>
          <w:szCs w:val="32"/>
        </w:rPr>
        <w:t>年度本部门决算汇编范</w:t>
      </w:r>
      <w:r>
        <w:rPr>
          <w:rFonts w:ascii="仿宋_GB2312" w:eastAsia="仿宋_GB2312" w:cs="ArialUnicodeMS" w:hint="eastAsia"/>
          <w:kern w:val="0"/>
          <w:sz w:val="32"/>
          <w:szCs w:val="32"/>
        </w:rPr>
        <w:lastRenderedPageBreak/>
        <w:t>围的独立核算单位（以下简称“单位”）共</w:t>
      </w:r>
      <w:r>
        <w:rPr>
          <w:rFonts w:ascii="仿宋_GB2312" w:eastAsia="仿宋_GB2312" w:cs="ArialUnicodeMS" w:hint="eastAsia"/>
          <w:kern w:val="0"/>
          <w:sz w:val="32"/>
          <w:szCs w:val="32"/>
        </w:rPr>
        <w:t>9</w:t>
      </w:r>
      <w:r>
        <w:rPr>
          <w:rFonts w:ascii="仿宋_GB2312" w:eastAsia="仿宋_GB2312" w:cs="ArialUnicodeMS" w:hint="eastAsia"/>
          <w:kern w:val="0"/>
          <w:sz w:val="32"/>
          <w:szCs w:val="32"/>
        </w:rPr>
        <w:t>个，具体情况如下：</w:t>
      </w:r>
    </w:p>
    <w:p w:rsidR="00661907" w:rsidRDefault="00661907">
      <w:pPr>
        <w:spacing w:line="580" w:lineRule="exact"/>
        <w:ind w:firstLineChars="200" w:firstLine="640"/>
        <w:rPr>
          <w:rFonts w:ascii="仿宋_GB2312" w:eastAsia="仿宋_GB2312" w:cs="ArialUnicodeMS"/>
          <w:kern w:val="0"/>
          <w:sz w:val="32"/>
          <w:szCs w:val="32"/>
        </w:rPr>
      </w:pP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985"/>
        <w:gridCol w:w="2100"/>
        <w:gridCol w:w="3260"/>
        <w:gridCol w:w="3235"/>
      </w:tblGrid>
      <w:tr w:rsidR="00661907">
        <w:trPr>
          <w:trHeight w:val="811"/>
        </w:trPr>
        <w:tc>
          <w:tcPr>
            <w:tcW w:w="985" w:type="dxa"/>
            <w:vAlign w:val="center"/>
          </w:tcPr>
          <w:p w:rsidR="00661907" w:rsidRDefault="000B580C">
            <w:pPr>
              <w:spacing w:line="560" w:lineRule="exact"/>
              <w:jc w:val="center"/>
              <w:rPr>
                <w:rFonts w:ascii="仿宋_GB2312" w:eastAsia="仿宋_GB2312" w:cs="Malgun Gothic"/>
                <w:b/>
                <w:bCs/>
                <w:kern w:val="0"/>
                <w:sz w:val="28"/>
                <w:szCs w:val="28"/>
              </w:rPr>
            </w:pPr>
            <w:r>
              <w:rPr>
                <w:rFonts w:ascii="仿宋_GB2312" w:eastAsia="仿宋_GB2312" w:cs="Malgun Gothic" w:hint="eastAsia"/>
                <w:b/>
                <w:bCs/>
                <w:kern w:val="0"/>
                <w:sz w:val="28"/>
                <w:szCs w:val="28"/>
              </w:rPr>
              <w:t>序号</w:t>
            </w:r>
          </w:p>
        </w:tc>
        <w:tc>
          <w:tcPr>
            <w:tcW w:w="2100" w:type="dxa"/>
            <w:vAlign w:val="center"/>
          </w:tcPr>
          <w:p w:rsidR="00661907" w:rsidRDefault="000B580C">
            <w:pPr>
              <w:spacing w:line="560" w:lineRule="exact"/>
              <w:jc w:val="center"/>
              <w:rPr>
                <w:rFonts w:ascii="仿宋_GB2312" w:eastAsia="仿宋_GB2312" w:cs="Malgun Gothic"/>
                <w:b/>
                <w:bCs/>
                <w:kern w:val="0"/>
                <w:sz w:val="28"/>
                <w:szCs w:val="28"/>
              </w:rPr>
            </w:pPr>
            <w:r>
              <w:rPr>
                <w:rFonts w:ascii="仿宋_GB2312" w:eastAsia="仿宋_GB2312" w:cs="Malgun Gothic" w:hint="eastAsia"/>
                <w:b/>
                <w:bCs/>
                <w:kern w:val="0"/>
                <w:sz w:val="28"/>
                <w:szCs w:val="28"/>
              </w:rPr>
              <w:t>单位名称</w:t>
            </w:r>
          </w:p>
        </w:tc>
        <w:tc>
          <w:tcPr>
            <w:tcW w:w="3260" w:type="dxa"/>
            <w:vAlign w:val="center"/>
          </w:tcPr>
          <w:p w:rsidR="00661907" w:rsidRDefault="000B580C">
            <w:pPr>
              <w:spacing w:line="560" w:lineRule="exact"/>
              <w:jc w:val="center"/>
              <w:rPr>
                <w:rFonts w:ascii="仿宋_GB2312" w:eastAsia="仿宋_GB2312" w:cs="Malgun Gothic"/>
                <w:b/>
                <w:bCs/>
                <w:kern w:val="0"/>
                <w:sz w:val="28"/>
                <w:szCs w:val="28"/>
              </w:rPr>
            </w:pPr>
            <w:r>
              <w:rPr>
                <w:rFonts w:ascii="仿宋_GB2312" w:eastAsia="仿宋_GB2312" w:cs="Malgun Gothic" w:hint="eastAsia"/>
                <w:b/>
                <w:bCs/>
                <w:kern w:val="0"/>
                <w:sz w:val="28"/>
                <w:szCs w:val="28"/>
              </w:rPr>
              <w:t>单位基本性质</w:t>
            </w:r>
          </w:p>
        </w:tc>
        <w:tc>
          <w:tcPr>
            <w:tcW w:w="3235" w:type="dxa"/>
            <w:vAlign w:val="center"/>
          </w:tcPr>
          <w:p w:rsidR="00661907" w:rsidRDefault="000B580C">
            <w:pPr>
              <w:spacing w:line="560" w:lineRule="exact"/>
              <w:jc w:val="center"/>
              <w:rPr>
                <w:rFonts w:ascii="仿宋_GB2312" w:eastAsia="仿宋_GB2312" w:cs="Malgun Gothic"/>
                <w:b/>
                <w:bCs/>
                <w:kern w:val="0"/>
                <w:sz w:val="28"/>
                <w:szCs w:val="28"/>
              </w:rPr>
            </w:pPr>
            <w:r>
              <w:rPr>
                <w:rFonts w:ascii="仿宋_GB2312" w:eastAsia="仿宋_GB2312" w:cs="Malgun Gothic" w:hint="eastAsia"/>
                <w:b/>
                <w:bCs/>
                <w:kern w:val="0"/>
                <w:sz w:val="28"/>
                <w:szCs w:val="28"/>
              </w:rPr>
              <w:t>经费形式</w:t>
            </w:r>
          </w:p>
        </w:tc>
      </w:tr>
      <w:tr w:rsidR="00661907">
        <w:trPr>
          <w:trHeight w:val="596"/>
        </w:trPr>
        <w:tc>
          <w:tcPr>
            <w:tcW w:w="98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1</w:t>
            </w:r>
          </w:p>
        </w:tc>
        <w:tc>
          <w:tcPr>
            <w:tcW w:w="210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旺村镇政府</w:t>
            </w:r>
          </w:p>
        </w:tc>
        <w:tc>
          <w:tcPr>
            <w:tcW w:w="326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行政单位</w:t>
            </w:r>
          </w:p>
        </w:tc>
        <w:tc>
          <w:tcPr>
            <w:tcW w:w="3235" w:type="dxa"/>
          </w:tcPr>
          <w:p w:rsidR="00661907" w:rsidRDefault="000B580C">
            <w:pPr>
              <w:tabs>
                <w:tab w:val="left" w:pos="690"/>
              </w:tabs>
              <w:spacing w:line="560" w:lineRule="exact"/>
              <w:jc w:val="center"/>
              <w:rPr>
                <w:rFonts w:ascii="仿宋_GB2312" w:eastAsia="仿宋_GB2312" w:cs="Malgun Gothic"/>
                <w:kern w:val="0"/>
                <w:sz w:val="28"/>
                <w:szCs w:val="28"/>
              </w:rPr>
            </w:pPr>
            <w:r>
              <w:rPr>
                <w:rFonts w:ascii="仿宋_GB2312" w:eastAsia="仿宋_GB2312" w:cs="ArialUnicodeMS" w:hint="eastAsia"/>
                <w:kern w:val="0"/>
                <w:sz w:val="28"/>
                <w:szCs w:val="28"/>
              </w:rPr>
              <w:t>财政拨款</w:t>
            </w:r>
          </w:p>
        </w:tc>
      </w:tr>
      <w:tr w:rsidR="00661907">
        <w:trPr>
          <w:trHeight w:val="596"/>
        </w:trPr>
        <w:tc>
          <w:tcPr>
            <w:tcW w:w="98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2</w:t>
            </w:r>
          </w:p>
        </w:tc>
        <w:tc>
          <w:tcPr>
            <w:tcW w:w="210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旺村镇财政所</w:t>
            </w:r>
          </w:p>
        </w:tc>
        <w:tc>
          <w:tcPr>
            <w:tcW w:w="326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财政补助事业单位</w:t>
            </w:r>
          </w:p>
        </w:tc>
        <w:tc>
          <w:tcPr>
            <w:tcW w:w="323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财政性资金基本保证</w:t>
            </w:r>
          </w:p>
        </w:tc>
      </w:tr>
      <w:tr w:rsidR="00661907">
        <w:trPr>
          <w:trHeight w:val="596"/>
        </w:trPr>
        <w:tc>
          <w:tcPr>
            <w:tcW w:w="98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3</w:t>
            </w:r>
          </w:p>
        </w:tc>
        <w:tc>
          <w:tcPr>
            <w:tcW w:w="210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旺村镇计生办</w:t>
            </w:r>
          </w:p>
        </w:tc>
        <w:tc>
          <w:tcPr>
            <w:tcW w:w="326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财政补助事业单位</w:t>
            </w:r>
          </w:p>
        </w:tc>
        <w:tc>
          <w:tcPr>
            <w:tcW w:w="323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财政性资金基本保证</w:t>
            </w:r>
          </w:p>
        </w:tc>
      </w:tr>
      <w:tr w:rsidR="00661907">
        <w:trPr>
          <w:trHeight w:val="596"/>
        </w:trPr>
        <w:tc>
          <w:tcPr>
            <w:tcW w:w="98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4</w:t>
            </w:r>
          </w:p>
        </w:tc>
        <w:tc>
          <w:tcPr>
            <w:tcW w:w="210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旺村镇党委</w:t>
            </w:r>
          </w:p>
        </w:tc>
        <w:tc>
          <w:tcPr>
            <w:tcW w:w="326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行政单位</w:t>
            </w:r>
          </w:p>
        </w:tc>
        <w:tc>
          <w:tcPr>
            <w:tcW w:w="323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ArialUnicodeMS" w:hint="eastAsia"/>
                <w:kern w:val="0"/>
                <w:sz w:val="28"/>
                <w:szCs w:val="28"/>
              </w:rPr>
              <w:t>财政拨款</w:t>
            </w:r>
          </w:p>
        </w:tc>
      </w:tr>
      <w:tr w:rsidR="00661907">
        <w:trPr>
          <w:trHeight w:val="596"/>
        </w:trPr>
        <w:tc>
          <w:tcPr>
            <w:tcW w:w="98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5</w:t>
            </w:r>
          </w:p>
        </w:tc>
        <w:tc>
          <w:tcPr>
            <w:tcW w:w="210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旺村镇文化站</w:t>
            </w:r>
          </w:p>
        </w:tc>
        <w:tc>
          <w:tcPr>
            <w:tcW w:w="326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财政补助事业单位</w:t>
            </w:r>
          </w:p>
        </w:tc>
        <w:tc>
          <w:tcPr>
            <w:tcW w:w="323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财政性资金基本保证</w:t>
            </w:r>
          </w:p>
        </w:tc>
      </w:tr>
      <w:tr w:rsidR="00661907">
        <w:trPr>
          <w:trHeight w:val="596"/>
        </w:trPr>
        <w:tc>
          <w:tcPr>
            <w:tcW w:w="98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6</w:t>
            </w:r>
          </w:p>
        </w:tc>
        <w:tc>
          <w:tcPr>
            <w:tcW w:w="210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旺村镇广播站</w:t>
            </w:r>
          </w:p>
        </w:tc>
        <w:tc>
          <w:tcPr>
            <w:tcW w:w="326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财政补助事业单位</w:t>
            </w:r>
          </w:p>
        </w:tc>
        <w:tc>
          <w:tcPr>
            <w:tcW w:w="323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财政性资金基本保证</w:t>
            </w:r>
          </w:p>
        </w:tc>
      </w:tr>
      <w:tr w:rsidR="00661907">
        <w:trPr>
          <w:trHeight w:val="596"/>
        </w:trPr>
        <w:tc>
          <w:tcPr>
            <w:tcW w:w="98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7</w:t>
            </w:r>
          </w:p>
        </w:tc>
        <w:tc>
          <w:tcPr>
            <w:tcW w:w="210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旺村镇农业办</w:t>
            </w:r>
          </w:p>
        </w:tc>
        <w:tc>
          <w:tcPr>
            <w:tcW w:w="326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财政补助事业单位</w:t>
            </w:r>
          </w:p>
        </w:tc>
        <w:tc>
          <w:tcPr>
            <w:tcW w:w="323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财政性资金基本保证</w:t>
            </w:r>
          </w:p>
        </w:tc>
      </w:tr>
      <w:tr w:rsidR="00661907">
        <w:trPr>
          <w:trHeight w:val="596"/>
        </w:trPr>
        <w:tc>
          <w:tcPr>
            <w:tcW w:w="98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8</w:t>
            </w:r>
          </w:p>
        </w:tc>
        <w:tc>
          <w:tcPr>
            <w:tcW w:w="210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旺村镇水利站</w:t>
            </w:r>
          </w:p>
        </w:tc>
        <w:tc>
          <w:tcPr>
            <w:tcW w:w="3260"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财政补助事业单位</w:t>
            </w:r>
          </w:p>
        </w:tc>
        <w:tc>
          <w:tcPr>
            <w:tcW w:w="3235" w:type="dxa"/>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财政性资金基本保证</w:t>
            </w:r>
          </w:p>
        </w:tc>
      </w:tr>
      <w:tr w:rsidR="00661907">
        <w:trPr>
          <w:trHeight w:val="606"/>
        </w:trPr>
        <w:tc>
          <w:tcPr>
            <w:tcW w:w="985" w:type="dxa"/>
            <w:tcBorders>
              <w:bottom w:val="single" w:sz="4" w:space="0" w:color="auto"/>
            </w:tcBorders>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9</w:t>
            </w:r>
          </w:p>
        </w:tc>
        <w:tc>
          <w:tcPr>
            <w:tcW w:w="2100" w:type="dxa"/>
            <w:tcBorders>
              <w:bottom w:val="single" w:sz="4" w:space="0" w:color="auto"/>
            </w:tcBorders>
          </w:tcPr>
          <w:p w:rsidR="00661907" w:rsidRDefault="000B580C">
            <w:pPr>
              <w:spacing w:line="560" w:lineRule="exact"/>
              <w:jc w:val="center"/>
              <w:rPr>
                <w:rFonts w:ascii="仿宋_GB2312" w:eastAsia="仿宋_GB2312" w:cs="Malgun Gothic"/>
                <w:kern w:val="0"/>
                <w:sz w:val="28"/>
                <w:szCs w:val="28"/>
              </w:rPr>
            </w:pPr>
            <w:r>
              <w:rPr>
                <w:rFonts w:ascii="仿宋_GB2312" w:eastAsia="仿宋_GB2312" w:hint="eastAsia"/>
                <w:sz w:val="28"/>
                <w:szCs w:val="28"/>
              </w:rPr>
              <w:t>旺村镇人大</w:t>
            </w:r>
          </w:p>
        </w:tc>
        <w:tc>
          <w:tcPr>
            <w:tcW w:w="3260" w:type="dxa"/>
            <w:tcBorders>
              <w:bottom w:val="single" w:sz="4" w:space="0" w:color="auto"/>
            </w:tcBorders>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Malgun Gothic" w:hint="eastAsia"/>
                <w:kern w:val="0"/>
                <w:sz w:val="28"/>
                <w:szCs w:val="28"/>
              </w:rPr>
              <w:t>行政单位</w:t>
            </w:r>
          </w:p>
        </w:tc>
        <w:tc>
          <w:tcPr>
            <w:tcW w:w="3235" w:type="dxa"/>
            <w:tcBorders>
              <w:bottom w:val="single" w:sz="4" w:space="0" w:color="auto"/>
            </w:tcBorders>
          </w:tcPr>
          <w:p w:rsidR="00661907" w:rsidRDefault="000B580C">
            <w:pPr>
              <w:spacing w:line="560" w:lineRule="exact"/>
              <w:jc w:val="center"/>
              <w:rPr>
                <w:rFonts w:ascii="仿宋_GB2312" w:eastAsia="仿宋_GB2312" w:cs="Malgun Gothic"/>
                <w:kern w:val="0"/>
                <w:sz w:val="28"/>
                <w:szCs w:val="28"/>
              </w:rPr>
            </w:pPr>
            <w:r>
              <w:rPr>
                <w:rFonts w:ascii="仿宋_GB2312" w:eastAsia="仿宋_GB2312" w:cs="ArialUnicodeMS" w:hint="eastAsia"/>
                <w:kern w:val="0"/>
                <w:sz w:val="28"/>
                <w:szCs w:val="28"/>
              </w:rPr>
              <w:t>财政拨款</w:t>
            </w:r>
          </w:p>
        </w:tc>
      </w:tr>
      <w:tr w:rsidR="00661907">
        <w:trPr>
          <w:trHeight w:val="606"/>
        </w:trPr>
        <w:tc>
          <w:tcPr>
            <w:tcW w:w="9580" w:type="dxa"/>
            <w:gridSpan w:val="4"/>
            <w:tcBorders>
              <w:top w:val="single" w:sz="4" w:space="0" w:color="auto"/>
              <w:left w:val="nil"/>
              <w:bottom w:val="nil"/>
              <w:right w:val="nil"/>
            </w:tcBorders>
          </w:tcPr>
          <w:p w:rsidR="00661907" w:rsidRDefault="00661907">
            <w:pPr>
              <w:spacing w:line="560" w:lineRule="exact"/>
              <w:ind w:firstLineChars="200" w:firstLine="560"/>
              <w:jc w:val="left"/>
              <w:rPr>
                <w:rFonts w:ascii="仿宋_GB2312" w:eastAsia="仿宋_GB2312" w:cs="Malgun Gothic"/>
                <w:kern w:val="0"/>
                <w:sz w:val="28"/>
                <w:szCs w:val="28"/>
              </w:rPr>
            </w:pPr>
          </w:p>
        </w:tc>
      </w:tr>
    </w:tbl>
    <w:p w:rsidR="00661907" w:rsidRDefault="00661907">
      <w:pPr>
        <w:widowControl/>
        <w:spacing w:after="160" w:line="580" w:lineRule="exact"/>
        <w:ind w:firstLineChars="200" w:firstLine="640"/>
        <w:rPr>
          <w:rFonts w:ascii="Times New Roman" w:eastAsia="黑体" w:cs="Times New Roman"/>
          <w:sz w:val="32"/>
          <w:szCs w:val="32"/>
        </w:rPr>
      </w:pPr>
    </w:p>
    <w:p w:rsidR="00661907" w:rsidRDefault="00661907">
      <w:pPr>
        <w:widowControl/>
        <w:spacing w:after="160" w:line="580" w:lineRule="exact"/>
        <w:ind w:firstLineChars="200" w:firstLine="640"/>
        <w:rPr>
          <w:rFonts w:ascii="Times New Roman" w:eastAsia="黑体" w:cs="Times New Roman"/>
          <w:sz w:val="32"/>
          <w:szCs w:val="32"/>
        </w:rPr>
      </w:pPr>
    </w:p>
    <w:p w:rsidR="00661907" w:rsidRDefault="00661907">
      <w:pPr>
        <w:widowControl/>
        <w:spacing w:after="160" w:line="580" w:lineRule="exact"/>
        <w:ind w:firstLineChars="200" w:firstLine="640"/>
        <w:rPr>
          <w:rFonts w:ascii="Times New Roman" w:eastAsia="黑体" w:cs="Times New Roman"/>
          <w:sz w:val="32"/>
          <w:szCs w:val="32"/>
        </w:rPr>
      </w:pPr>
    </w:p>
    <w:p w:rsidR="00661907" w:rsidRDefault="00661907">
      <w:pPr>
        <w:widowControl/>
        <w:spacing w:after="160" w:line="580" w:lineRule="exact"/>
        <w:ind w:firstLineChars="200" w:firstLine="640"/>
        <w:rPr>
          <w:rFonts w:ascii="Times New Roman" w:eastAsia="黑体" w:cs="Times New Roman"/>
          <w:sz w:val="32"/>
          <w:szCs w:val="32"/>
        </w:rPr>
        <w:sectPr w:rsidR="00661907">
          <w:headerReference w:type="default" r:id="rId15"/>
          <w:footerReference w:type="default" r:id="rId16"/>
          <w:footerReference w:type="first" r:id="rId17"/>
          <w:pgSz w:w="11906" w:h="16838"/>
          <w:pgMar w:top="2041" w:right="1531" w:bottom="2041" w:left="1531" w:header="851" w:footer="992" w:gutter="0"/>
          <w:pgNumType w:fmt="numberInDash" w:start="1"/>
          <w:cols w:space="720"/>
          <w:titlePg/>
          <w:docGrid w:type="lines" w:linePitch="312"/>
        </w:sectPr>
      </w:pPr>
    </w:p>
    <w:p w:rsidR="00661907" w:rsidRDefault="00661907">
      <w:pPr>
        <w:widowControl/>
        <w:spacing w:after="160" w:line="580" w:lineRule="exact"/>
        <w:ind w:firstLineChars="200" w:firstLine="640"/>
        <w:rPr>
          <w:rFonts w:ascii="Times New Roman" w:eastAsia="黑体" w:cs="Times New Roman"/>
          <w:sz w:val="32"/>
          <w:szCs w:val="32"/>
        </w:rPr>
        <w:sectPr w:rsidR="00661907">
          <w:headerReference w:type="default" r:id="rId18"/>
          <w:type w:val="continuous"/>
          <w:pgSz w:w="11906" w:h="16838"/>
          <w:pgMar w:top="2041" w:right="1531" w:bottom="2041" w:left="1531" w:header="851" w:footer="992" w:gutter="0"/>
          <w:pgNumType w:fmt="numberInDash"/>
          <w:cols w:space="720"/>
          <w:titlePg/>
          <w:docGrid w:type="lines" w:linePitch="312"/>
        </w:sectPr>
      </w:pPr>
    </w:p>
    <w:p w:rsidR="00661907" w:rsidRDefault="00661907">
      <w:pPr>
        <w:widowControl/>
        <w:spacing w:after="160" w:line="580" w:lineRule="exact"/>
        <w:ind w:firstLineChars="200" w:firstLine="1440"/>
        <w:rPr>
          <w:rFonts w:ascii="Times New Roman" w:eastAsia="黑体" w:cs="Times New Roman"/>
          <w:sz w:val="32"/>
          <w:szCs w:val="32"/>
        </w:rPr>
        <w:sectPr w:rsidR="00661907">
          <w:pgSz w:w="11906" w:h="16838"/>
          <w:pgMar w:top="2041" w:right="1531" w:bottom="2041" w:left="1531" w:header="851" w:footer="992" w:gutter="0"/>
          <w:pgNumType w:fmt="numberInDash"/>
          <w:cols w:space="720"/>
          <w:titlePg/>
          <w:docGrid w:type="lines" w:linePitch="312"/>
        </w:sectPr>
      </w:pPr>
      <w:r w:rsidRPr="00661907">
        <w:rPr>
          <w:sz w:val="72"/>
        </w:rPr>
        <w:lastRenderedPageBreak/>
        <w:pict>
          <v:shape id="文本框 93" o:spid="_x0000_s2059" type="#_x0000_t202" style="position:absolute;left:0;text-align:left;margin-left:-85.7pt;margin-top:238.15pt;width:613.65pt;height:173.25pt;z-index:251658240;mso-wrap-distance-left:3.17494mm;mso-wrap-distance-right:3.17494mm" filled="f" stroked="f">
            <v:textbox id="851custom">
              <w:txbxContent>
                <w:p w:rsidR="00661907" w:rsidRDefault="000B580C">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rsidR="00661907" w:rsidRDefault="00661907">
                  <w:pPr>
                    <w:widowControl/>
                    <w:jc w:val="center"/>
                    <w:rPr>
                      <w:rFonts w:ascii="黑体" w:eastAsia="黑体" w:cs="黑体"/>
                      <w:color w:val="000000"/>
                      <w:sz w:val="96"/>
                      <w:szCs w:val="96"/>
                    </w:rPr>
                  </w:pPr>
                </w:p>
              </w:txbxContent>
            </v:textbox>
          </v:shape>
        </w:pict>
      </w:r>
    </w:p>
    <w:p w:rsidR="00661907" w:rsidRDefault="00661907">
      <w:pPr>
        <w:widowControl/>
        <w:spacing w:line="580" w:lineRule="exact"/>
        <w:ind w:firstLineChars="200" w:firstLine="640"/>
        <w:rPr>
          <w:rFonts w:eastAsia="黑体"/>
          <w:sz w:val="32"/>
          <w:szCs w:val="32"/>
        </w:rPr>
      </w:pPr>
    </w:p>
    <w:p w:rsidR="00661907" w:rsidRDefault="00661907">
      <w:pPr>
        <w:jc w:val="center"/>
        <w:rPr>
          <w:rFonts w:ascii="黑体" w:eastAsia="黑体" w:cs="黑体"/>
          <w:sz w:val="56"/>
          <w:szCs w:val="72"/>
        </w:rPr>
      </w:pPr>
    </w:p>
    <w:p w:rsidR="00661907" w:rsidRDefault="00661907">
      <w:pPr>
        <w:jc w:val="center"/>
        <w:rPr>
          <w:rFonts w:ascii="黑体" w:eastAsia="黑体" w:cs="黑体"/>
          <w:sz w:val="56"/>
          <w:szCs w:val="72"/>
        </w:rPr>
      </w:pPr>
    </w:p>
    <w:p w:rsidR="00661907" w:rsidRDefault="00661907">
      <w:pPr>
        <w:jc w:val="center"/>
        <w:rPr>
          <w:rFonts w:ascii="黑体" w:eastAsia="黑体" w:cs="黑体"/>
          <w:sz w:val="56"/>
          <w:szCs w:val="72"/>
        </w:rPr>
      </w:pPr>
      <w:r w:rsidRPr="00661907">
        <w:rPr>
          <w:sz w:val="72"/>
        </w:rPr>
        <w:pict>
          <v:shape id="文本框 96" o:spid="_x0000_s2058" type="#_x0000_t202" style="position:absolute;left:0;text-align:left;margin-left:-90.8pt;margin-top:4.35pt;width:613.65pt;height:263.1pt;z-index:251659264;mso-wrap-distance-left:3.17494mm;mso-wrap-distance-right:3.17494mm;v-text-anchor:middle" stroked="f">
            <v:textbox id="852custom">
              <w:txbxContent>
                <w:p w:rsidR="00661907" w:rsidRDefault="000B580C">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hint="eastAsia"/>
                      <w:color w:val="000000"/>
                      <w:sz w:val="90"/>
                      <w:szCs w:val="90"/>
                    </w:rPr>
                    <w:t xml:space="preserve"> </w:t>
                  </w:r>
                </w:p>
                <w:p w:rsidR="00661907" w:rsidRDefault="000B580C">
                  <w:pPr>
                    <w:widowControl/>
                    <w:jc w:val="center"/>
                    <w:rPr>
                      <w:rFonts w:ascii="黑体" w:eastAsia="黑体" w:cs="黑体"/>
                      <w:color w:val="000000"/>
                      <w:sz w:val="90"/>
                      <w:szCs w:val="90"/>
                    </w:rPr>
                  </w:pPr>
                  <w:r>
                    <w:rPr>
                      <w:rFonts w:ascii="黑体" w:eastAsia="黑体" w:cs="黑体" w:hint="eastAsia"/>
                      <w:color w:val="000000"/>
                      <w:sz w:val="90"/>
                      <w:szCs w:val="90"/>
                    </w:rPr>
                    <w:t>2019</w:t>
                  </w:r>
                  <w:r>
                    <w:rPr>
                      <w:rFonts w:ascii="黑体" w:eastAsia="黑体" w:cs="黑体" w:hint="eastAsia"/>
                      <w:color w:val="000000"/>
                      <w:sz w:val="90"/>
                      <w:szCs w:val="90"/>
                    </w:rPr>
                    <w:t>年部门决算情况说明</w:t>
                  </w:r>
                </w:p>
                <w:p w:rsidR="00661907" w:rsidRDefault="00661907"/>
              </w:txbxContent>
            </v:textbox>
          </v:shape>
        </w:pict>
      </w:r>
    </w:p>
    <w:p w:rsidR="00661907" w:rsidRDefault="00661907">
      <w:pPr>
        <w:jc w:val="center"/>
        <w:rPr>
          <w:rFonts w:ascii="黑体" w:eastAsia="黑体" w:cs="黑体"/>
          <w:sz w:val="56"/>
          <w:szCs w:val="72"/>
        </w:rPr>
      </w:pPr>
    </w:p>
    <w:p w:rsidR="00661907" w:rsidRDefault="00661907">
      <w:pPr>
        <w:jc w:val="center"/>
        <w:rPr>
          <w:rFonts w:ascii="黑体" w:eastAsia="黑体" w:cs="黑体"/>
          <w:sz w:val="56"/>
          <w:szCs w:val="72"/>
        </w:rPr>
      </w:pPr>
    </w:p>
    <w:p w:rsidR="00661907" w:rsidRDefault="00661907">
      <w:pPr>
        <w:jc w:val="center"/>
        <w:rPr>
          <w:rFonts w:ascii="黑体" w:eastAsia="黑体" w:cs="黑体"/>
          <w:sz w:val="56"/>
          <w:szCs w:val="72"/>
        </w:rPr>
      </w:pPr>
    </w:p>
    <w:p w:rsidR="00661907" w:rsidRDefault="00661907">
      <w:pPr>
        <w:jc w:val="center"/>
        <w:rPr>
          <w:rFonts w:ascii="黑体" w:eastAsia="黑体" w:cs="黑体"/>
          <w:sz w:val="56"/>
          <w:szCs w:val="72"/>
        </w:rPr>
      </w:pPr>
    </w:p>
    <w:p w:rsidR="00661907" w:rsidRDefault="00661907">
      <w:pPr>
        <w:jc w:val="center"/>
        <w:rPr>
          <w:rFonts w:ascii="黑体" w:eastAsia="黑体" w:cs="黑体"/>
          <w:sz w:val="56"/>
          <w:szCs w:val="72"/>
        </w:rPr>
      </w:pPr>
    </w:p>
    <w:p w:rsidR="00661907" w:rsidRDefault="00661907">
      <w:pPr>
        <w:jc w:val="center"/>
        <w:rPr>
          <w:rFonts w:ascii="黑体" w:eastAsia="黑体" w:cs="黑体"/>
          <w:sz w:val="56"/>
          <w:szCs w:val="72"/>
        </w:rPr>
      </w:pPr>
    </w:p>
    <w:p w:rsidR="00661907" w:rsidRDefault="00661907">
      <w:pPr>
        <w:jc w:val="center"/>
        <w:rPr>
          <w:rFonts w:ascii="黑体" w:eastAsia="黑体" w:cs="黑体"/>
          <w:sz w:val="56"/>
          <w:szCs w:val="72"/>
        </w:rPr>
      </w:pPr>
    </w:p>
    <w:p w:rsidR="00661907" w:rsidRDefault="00661907">
      <w:pPr>
        <w:jc w:val="center"/>
        <w:rPr>
          <w:rFonts w:ascii="黑体" w:eastAsia="黑体" w:cs="黑体"/>
          <w:sz w:val="56"/>
          <w:szCs w:val="72"/>
        </w:rPr>
      </w:pPr>
    </w:p>
    <w:p w:rsidR="00661907" w:rsidRDefault="00661907">
      <w:pPr>
        <w:jc w:val="center"/>
        <w:rPr>
          <w:rFonts w:ascii="黑体" w:eastAsia="黑体" w:cs="黑体"/>
          <w:sz w:val="56"/>
          <w:szCs w:val="72"/>
        </w:rPr>
      </w:pPr>
    </w:p>
    <w:p w:rsidR="00661907" w:rsidRDefault="000B580C">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lastRenderedPageBreak/>
        <w:t>一、收入</w:t>
      </w:r>
      <w:r>
        <w:rPr>
          <w:rFonts w:ascii="黑体" w:eastAsia="黑体" w:cs="黑体" w:hint="eastAsia"/>
          <w:kern w:val="0"/>
          <w:sz w:val="32"/>
          <w:szCs w:val="32"/>
        </w:rPr>
        <w:t>支出</w:t>
      </w:r>
      <w:r>
        <w:rPr>
          <w:rFonts w:ascii="黑体" w:eastAsia="黑体" w:cs="Times New Roman" w:hint="eastAsia"/>
          <w:sz w:val="32"/>
          <w:szCs w:val="32"/>
        </w:rPr>
        <w:t>决算总体情况说明</w:t>
      </w:r>
    </w:p>
    <w:p w:rsidR="00661907" w:rsidRDefault="000B5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年度收支总计（含结转和结余）</w:t>
      </w:r>
      <w:r>
        <w:rPr>
          <w:rFonts w:ascii="仿宋_GB2312" w:eastAsia="仿宋_GB2312" w:cs="DengXian-Regular" w:hint="eastAsia"/>
          <w:sz w:val="32"/>
          <w:szCs w:val="32"/>
        </w:rPr>
        <w:t>2968.65</w:t>
      </w:r>
      <w:r>
        <w:rPr>
          <w:rFonts w:ascii="仿宋_GB2312" w:eastAsia="仿宋_GB2312" w:cs="DengXian-Regular" w:hint="eastAsia"/>
          <w:sz w:val="32"/>
          <w:szCs w:val="32"/>
        </w:rPr>
        <w:t>万元。与</w:t>
      </w:r>
      <w:r>
        <w:rPr>
          <w:rFonts w:ascii="仿宋_GB2312" w:eastAsia="仿宋_GB2312" w:cs="DengXian-Regular" w:hint="eastAsia"/>
          <w:sz w:val="32"/>
          <w:szCs w:val="32"/>
        </w:rPr>
        <w:t>2018</w:t>
      </w:r>
      <w:r>
        <w:rPr>
          <w:rFonts w:ascii="仿宋_GB2312" w:eastAsia="仿宋_GB2312" w:cs="DengXian-Regular" w:hint="eastAsia"/>
          <w:sz w:val="32"/>
          <w:szCs w:val="32"/>
        </w:rPr>
        <w:t>年度决算相比，收支各增加</w:t>
      </w:r>
      <w:r>
        <w:rPr>
          <w:rFonts w:ascii="仿宋_GB2312" w:eastAsia="仿宋_GB2312" w:cs="DengXian-Regular" w:hint="eastAsia"/>
          <w:sz w:val="32"/>
          <w:szCs w:val="32"/>
        </w:rPr>
        <w:t>895.11</w:t>
      </w:r>
      <w:r>
        <w:rPr>
          <w:rFonts w:ascii="仿宋_GB2312" w:eastAsia="仿宋_GB2312" w:cs="DengXian-Regular" w:hint="eastAsia"/>
          <w:sz w:val="32"/>
          <w:szCs w:val="32"/>
        </w:rPr>
        <w:t>万元，增长</w:t>
      </w:r>
      <w:r>
        <w:rPr>
          <w:rFonts w:ascii="仿宋_GB2312" w:eastAsia="仿宋_GB2312" w:cs="DengXian-Regular" w:hint="eastAsia"/>
          <w:sz w:val="32"/>
          <w:szCs w:val="32"/>
        </w:rPr>
        <w:t>43.17%</w:t>
      </w:r>
      <w:r>
        <w:rPr>
          <w:rFonts w:ascii="仿宋_GB2312" w:eastAsia="仿宋_GB2312" w:cs="DengXian-Regular" w:hint="eastAsia"/>
          <w:sz w:val="32"/>
          <w:szCs w:val="32"/>
        </w:rPr>
        <w:t>，主要原因是</w:t>
      </w:r>
      <w:r>
        <w:rPr>
          <w:rFonts w:ascii="仿宋" w:eastAsia="仿宋" w:hint="eastAsia"/>
          <w:sz w:val="32"/>
          <w:szCs w:val="32"/>
        </w:rPr>
        <w:t>节能环保支出增加、城乡社区支出增加等</w:t>
      </w:r>
      <w:r>
        <w:rPr>
          <w:rFonts w:ascii="仿宋_GB2312" w:eastAsia="仿宋_GB2312" w:cs="DengXian-Regular" w:hint="eastAsia"/>
          <w:sz w:val="32"/>
          <w:szCs w:val="32"/>
        </w:rPr>
        <w:t>。</w:t>
      </w:r>
    </w:p>
    <w:p w:rsidR="00661907" w:rsidRDefault="000B580C">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二、收入决算情况说明</w:t>
      </w:r>
    </w:p>
    <w:p w:rsidR="00661907" w:rsidRDefault="000B580C">
      <w:pPr>
        <w:adjustRightInd w:val="0"/>
        <w:snapToGrid w:val="0"/>
        <w:spacing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年度本年收入合计</w:t>
      </w:r>
      <w:r>
        <w:rPr>
          <w:rFonts w:ascii="仿宋_GB2312" w:eastAsia="仿宋_GB2312" w:cs="DengXian-Regular" w:hint="eastAsia"/>
          <w:sz w:val="32"/>
          <w:szCs w:val="32"/>
        </w:rPr>
        <w:t>2968.65</w:t>
      </w:r>
      <w:r>
        <w:rPr>
          <w:rFonts w:ascii="仿宋_GB2312" w:eastAsia="仿宋_GB2312" w:cs="DengXian-Regular" w:hint="eastAsia"/>
          <w:sz w:val="32"/>
          <w:szCs w:val="32"/>
        </w:rPr>
        <w:t>万元，其中：财政拨款收入</w:t>
      </w:r>
      <w:r>
        <w:rPr>
          <w:rFonts w:ascii="仿宋_GB2312" w:eastAsia="仿宋_GB2312" w:cs="DengXian-Regular" w:hint="eastAsia"/>
          <w:sz w:val="32"/>
          <w:szCs w:val="32"/>
        </w:rPr>
        <w:t>2968.65</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；事业收入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；经营收入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；其他收入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p>
    <w:p w:rsidR="00661907" w:rsidRDefault="000B580C">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三、支出决算情况说明</w:t>
      </w:r>
    </w:p>
    <w:p w:rsidR="00661907" w:rsidRDefault="000B5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2968.65</w:t>
      </w:r>
      <w:r>
        <w:rPr>
          <w:rFonts w:ascii="仿宋_GB2312" w:eastAsia="仿宋_GB2312" w:cs="DengXian-Regular" w:hint="eastAsia"/>
          <w:sz w:val="32"/>
          <w:szCs w:val="32"/>
        </w:rPr>
        <w:t>万元，其中：基本支出</w:t>
      </w:r>
      <w:r>
        <w:rPr>
          <w:rFonts w:ascii="仿宋_GB2312" w:eastAsia="仿宋_GB2312" w:cs="DengXian-Regular" w:hint="eastAsia"/>
          <w:sz w:val="32"/>
          <w:szCs w:val="32"/>
        </w:rPr>
        <w:t>1029.78</w:t>
      </w:r>
      <w:r>
        <w:rPr>
          <w:rFonts w:ascii="仿宋_GB2312" w:eastAsia="仿宋_GB2312" w:cs="DengXian-Regular" w:hint="eastAsia"/>
          <w:sz w:val="32"/>
          <w:szCs w:val="32"/>
        </w:rPr>
        <w:t>万元，占</w:t>
      </w:r>
      <w:r>
        <w:rPr>
          <w:rFonts w:ascii="仿宋_GB2312" w:eastAsia="仿宋_GB2312" w:cs="DengXian-Regular" w:hint="eastAsia"/>
          <w:sz w:val="32"/>
          <w:szCs w:val="32"/>
        </w:rPr>
        <w:t>34.69%</w:t>
      </w:r>
      <w:r>
        <w:rPr>
          <w:rFonts w:ascii="仿宋_GB2312" w:eastAsia="仿宋_GB2312" w:cs="DengXian-Regular" w:hint="eastAsia"/>
          <w:sz w:val="32"/>
          <w:szCs w:val="32"/>
        </w:rPr>
        <w:t>；项目支出</w:t>
      </w:r>
      <w:r>
        <w:rPr>
          <w:rFonts w:ascii="仿宋_GB2312" w:eastAsia="仿宋_GB2312" w:cs="DengXian-Regular" w:hint="eastAsia"/>
          <w:sz w:val="32"/>
          <w:szCs w:val="32"/>
        </w:rPr>
        <w:t>1938.86</w:t>
      </w:r>
      <w:r>
        <w:rPr>
          <w:rFonts w:ascii="仿宋_GB2312" w:eastAsia="仿宋_GB2312" w:cs="DengXian-Regular" w:hint="eastAsia"/>
          <w:sz w:val="32"/>
          <w:szCs w:val="32"/>
        </w:rPr>
        <w:t>万元，占</w:t>
      </w:r>
      <w:r>
        <w:rPr>
          <w:rFonts w:ascii="仿宋_GB2312" w:eastAsia="仿宋_GB2312" w:cs="DengXian-Regular" w:hint="eastAsia"/>
          <w:sz w:val="32"/>
          <w:szCs w:val="32"/>
        </w:rPr>
        <w:t>65.31%</w:t>
      </w:r>
      <w:r>
        <w:rPr>
          <w:rFonts w:ascii="仿宋_GB2312" w:eastAsia="仿宋_GB2312" w:cs="DengXian-Regular" w:hint="eastAsia"/>
          <w:sz w:val="32"/>
          <w:szCs w:val="32"/>
        </w:rPr>
        <w:t>；经营支出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。如图所示：</w:t>
      </w:r>
    </w:p>
    <w:p w:rsidR="00661907" w:rsidRDefault="000B580C">
      <w:pPr>
        <w:adjustRightInd w:val="0"/>
        <w:snapToGrid w:val="0"/>
        <w:spacing w:line="6960" w:lineRule="auto"/>
        <w:ind w:firstLineChars="200" w:firstLine="420"/>
        <w:rPr>
          <w:rFonts w:ascii="仿宋_GB2312" w:eastAsia="仿宋_GB2312" w:cs="DengXian-Regular"/>
          <w:sz w:val="32"/>
          <w:szCs w:val="32"/>
        </w:rPr>
      </w:pPr>
      <w:r>
        <w:rPr>
          <w:rFonts w:ascii="Times New Roman" w:eastAsia="宋体" w:cs="Times New Roman"/>
          <w:noProof/>
          <w:szCs w:val="24"/>
        </w:rPr>
        <w:drawing>
          <wp:inline distT="0" distB="0" distL="0" distR="0">
            <wp:extent cx="5029200" cy="2838450"/>
            <wp:effectExtent l="0" t="0" r="0" b="0"/>
            <wp:docPr id="97"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661907" w:rsidRPr="00661907">
        <w:rPr>
          <w:rFonts w:ascii="Times New Roman" w:eastAsia="宋体" w:cs="Times New Roman"/>
          <w:szCs w:val="24"/>
        </w:rPr>
        <w:pict>
          <v:group id="组合 104" o:spid="_x0000_s2055" style="position:absolute;left:0;text-align:left;margin-left:58.35pt;margin-top:-21.2pt;width:287.95pt;height:.2pt;z-index:-251653120;mso-wrap-distance-left:3.17494mm;mso-wrap-distance-right:3.17494mm;mso-position-horizontal-relative:text;mso-position-vertical-relative:text" coordorigin="2755,8634" coordsize="5759,3#_x0000_t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s105" o:spid="_x0000_s2057" type="#_x0000_t75" style="position:absolute;left:2755;top:8634;width:5759;height:3">
              <v:imagedata r:id="rId20" o:title="5881778391606121620882" croptop="1490f" cropbottom="5217f" cropleft="2130f" cropright="1217f"/>
            </v:shape>
            <v:shape id="_s106" o:spid="_x0000_s2056" type="#_x0000_t202" style="position:absolute;left:3005;top:8637;width:5258;height:0" stroked="f">
              <v:textbox id="855custom">
                <w:txbxContent>
                  <w:p w:rsidR="00661907" w:rsidRDefault="000B580C">
                    <w:pPr>
                      <w:adjustRightInd w:val="0"/>
                      <w:snapToGrid w:val="0"/>
                      <w:spacing w:after="160" w:line="560" w:lineRule="exact"/>
                      <w:jc w:val="center"/>
                      <w:rPr>
                        <w:rFonts w:ascii="仿宋_GB2312" w:eastAsia="仿宋_GB2312" w:cs="DengXian-Regular"/>
                        <w:sz w:val="28"/>
                        <w:szCs w:val="28"/>
                      </w:rPr>
                    </w:pPr>
                    <w:r>
                      <w:rPr>
                        <w:rFonts w:ascii="仿宋_GB2312" w:eastAsia="仿宋_GB2312" w:cs="DengXian-Regular" w:hint="eastAsia"/>
                        <w:sz w:val="28"/>
                        <w:szCs w:val="28"/>
                      </w:rPr>
                      <w:t>图</w:t>
                    </w:r>
                    <w:r>
                      <w:rPr>
                        <w:rFonts w:ascii="仿宋_GB2312" w:eastAsia="仿宋_GB2312" w:cs="DengXian-Regular" w:hint="eastAsia"/>
                        <w:sz w:val="28"/>
                        <w:szCs w:val="28"/>
                      </w:rPr>
                      <w:t>X</w:t>
                    </w:r>
                    <w:r>
                      <w:rPr>
                        <w:rFonts w:ascii="仿宋_GB2312" w:eastAsia="仿宋_GB2312" w:cs="DengXian-Regular" w:hint="eastAsia"/>
                        <w:sz w:val="28"/>
                        <w:szCs w:val="28"/>
                      </w:rPr>
                      <w:t>：支出构成情况（按支出性质）</w:t>
                    </w:r>
                  </w:p>
                  <w:p w:rsidR="00661907" w:rsidRDefault="00661907">
                    <w:pPr>
                      <w:spacing w:after="160" w:line="480" w:lineRule="auto"/>
                      <w:rPr>
                        <w:rFonts w:ascii="Times New Roman" w:eastAsia="宋体" w:cs="Times New Roman"/>
                        <w:sz w:val="20"/>
                      </w:rPr>
                    </w:pPr>
                  </w:p>
                </w:txbxContent>
              </v:textbox>
            </v:shape>
          </v:group>
        </w:pict>
      </w:r>
    </w:p>
    <w:p w:rsidR="00661907" w:rsidRDefault="000B580C">
      <w:pPr>
        <w:keepNext/>
        <w:keepLines/>
        <w:snapToGrid w:val="0"/>
        <w:spacing w:line="540" w:lineRule="exact"/>
        <w:ind w:firstLineChars="200" w:firstLine="640"/>
        <w:outlineLvl w:val="1"/>
        <w:rPr>
          <w:rFonts w:ascii="黑体" w:eastAsia="黑体" w:cs="Times New Roman"/>
          <w:sz w:val="32"/>
          <w:szCs w:val="32"/>
        </w:rPr>
      </w:pPr>
      <w:r>
        <w:rPr>
          <w:rFonts w:ascii="黑体" w:eastAsia="黑体" w:cs="Times New Roman" w:hint="eastAsia"/>
          <w:sz w:val="32"/>
          <w:szCs w:val="32"/>
        </w:rPr>
        <w:lastRenderedPageBreak/>
        <w:t>四、</w:t>
      </w:r>
      <w:r>
        <w:rPr>
          <w:rFonts w:ascii="黑体" w:eastAsia="黑体" w:cs="黑体" w:hint="eastAsia"/>
          <w:kern w:val="0"/>
          <w:sz w:val="32"/>
          <w:szCs w:val="32"/>
        </w:rPr>
        <w:t>财政</w:t>
      </w:r>
      <w:r>
        <w:rPr>
          <w:rFonts w:ascii="黑体" w:eastAsia="黑体" w:cs="Times New Roman" w:hint="eastAsia"/>
          <w:sz w:val="32"/>
          <w:szCs w:val="32"/>
        </w:rPr>
        <w:t>拨款收入支出决算总体情况说明</w:t>
      </w:r>
    </w:p>
    <w:p w:rsidR="00661907" w:rsidRDefault="000B580C" w:rsidP="009A1155">
      <w:pPr>
        <w:snapToGrid w:val="0"/>
        <w:spacing w:line="54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2018 </w:t>
      </w:r>
      <w:r>
        <w:rPr>
          <w:rFonts w:ascii="楷体_GB2312" w:eastAsia="楷体_GB2312" w:cs="DengXian-Bold" w:hint="eastAsia"/>
          <w:b/>
          <w:bCs/>
          <w:sz w:val="32"/>
          <w:szCs w:val="32"/>
        </w:rPr>
        <w:t>年度决算对比情况</w:t>
      </w:r>
    </w:p>
    <w:p w:rsidR="00661907" w:rsidRDefault="000B580C">
      <w:pPr>
        <w:adjustRightInd w:val="0"/>
        <w:snapToGrid w:val="0"/>
        <w:spacing w:line="54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年度财政拨款本年收入</w:t>
      </w:r>
      <w:r>
        <w:rPr>
          <w:rFonts w:ascii="仿宋_GB2312" w:eastAsia="仿宋_GB2312" w:cs="DengXian-Regular" w:hint="eastAsia"/>
          <w:sz w:val="32"/>
          <w:szCs w:val="32"/>
        </w:rPr>
        <w:t>2968.65</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2018</w:t>
      </w:r>
      <w:r>
        <w:rPr>
          <w:rFonts w:ascii="仿宋_GB2312" w:eastAsia="仿宋_GB2312" w:cs="DengXian-Regular" w:hint="eastAsia"/>
          <w:sz w:val="32"/>
          <w:szCs w:val="32"/>
        </w:rPr>
        <w:t>年度增加</w:t>
      </w:r>
      <w:r>
        <w:rPr>
          <w:rFonts w:ascii="仿宋_GB2312" w:eastAsia="仿宋_GB2312" w:cs="DengXian-Regular" w:hint="eastAsia"/>
          <w:sz w:val="32"/>
          <w:szCs w:val="32"/>
        </w:rPr>
        <w:t>895.11</w:t>
      </w:r>
      <w:r>
        <w:rPr>
          <w:rFonts w:ascii="仿宋_GB2312" w:eastAsia="仿宋_GB2312" w:cs="DengXian-Regular" w:hint="eastAsia"/>
          <w:sz w:val="32"/>
          <w:szCs w:val="32"/>
        </w:rPr>
        <w:t>万元，增长</w:t>
      </w:r>
      <w:r>
        <w:rPr>
          <w:rFonts w:ascii="仿宋_GB2312" w:eastAsia="仿宋_GB2312" w:cs="DengXian-Regular" w:hint="eastAsia"/>
          <w:sz w:val="32"/>
          <w:szCs w:val="32"/>
        </w:rPr>
        <w:t>43.17%</w:t>
      </w:r>
      <w:r>
        <w:rPr>
          <w:rFonts w:ascii="仿宋_GB2312" w:eastAsia="仿宋_GB2312" w:cs="DengXian-Regular" w:hint="eastAsia"/>
          <w:sz w:val="32"/>
          <w:szCs w:val="32"/>
        </w:rPr>
        <w:t>，主要是</w:t>
      </w:r>
      <w:r>
        <w:rPr>
          <w:rFonts w:ascii="仿宋" w:eastAsia="仿宋" w:hint="eastAsia"/>
          <w:sz w:val="32"/>
          <w:szCs w:val="32"/>
        </w:rPr>
        <w:t>节能环保支出增加、城乡社区支出增加等</w:t>
      </w:r>
      <w:r>
        <w:rPr>
          <w:rFonts w:ascii="仿宋_GB2312" w:eastAsia="仿宋_GB2312" w:cs="DengXian-Regular" w:hint="eastAsia"/>
          <w:sz w:val="32"/>
          <w:szCs w:val="32"/>
        </w:rPr>
        <w:t>；本年支出</w:t>
      </w:r>
      <w:r>
        <w:rPr>
          <w:rFonts w:ascii="仿宋_GB2312" w:eastAsia="仿宋_GB2312" w:cs="DengXian-Regular" w:hint="eastAsia"/>
          <w:sz w:val="32"/>
          <w:szCs w:val="32"/>
        </w:rPr>
        <w:t>2968.65</w:t>
      </w:r>
      <w:r>
        <w:rPr>
          <w:rFonts w:ascii="仿宋_GB2312" w:eastAsia="仿宋_GB2312" w:cs="DengXian-Regular" w:hint="eastAsia"/>
          <w:sz w:val="32"/>
          <w:szCs w:val="32"/>
        </w:rPr>
        <w:t>万元，增加</w:t>
      </w:r>
      <w:r>
        <w:rPr>
          <w:rFonts w:ascii="仿宋_GB2312" w:eastAsia="仿宋_GB2312" w:cs="DengXian-Regular" w:hint="eastAsia"/>
          <w:sz w:val="32"/>
          <w:szCs w:val="32"/>
        </w:rPr>
        <w:t>895.11</w:t>
      </w:r>
      <w:r>
        <w:rPr>
          <w:rFonts w:ascii="仿宋_GB2312" w:eastAsia="仿宋_GB2312" w:cs="DengXian-Regular" w:hint="eastAsia"/>
          <w:sz w:val="32"/>
          <w:szCs w:val="32"/>
        </w:rPr>
        <w:t>万元，增长</w:t>
      </w:r>
      <w:r>
        <w:rPr>
          <w:rFonts w:ascii="仿宋_GB2312" w:eastAsia="仿宋_GB2312" w:cs="DengXian-Regular" w:hint="eastAsia"/>
          <w:sz w:val="32"/>
          <w:szCs w:val="32"/>
        </w:rPr>
        <w:t>43.17%</w:t>
      </w:r>
      <w:r>
        <w:rPr>
          <w:rFonts w:ascii="仿宋_GB2312" w:eastAsia="仿宋_GB2312" w:cs="DengXian-Regular" w:hint="eastAsia"/>
          <w:sz w:val="32"/>
          <w:szCs w:val="32"/>
        </w:rPr>
        <w:t>，主要是</w:t>
      </w:r>
      <w:r>
        <w:rPr>
          <w:rFonts w:ascii="仿宋" w:eastAsia="仿宋" w:hint="eastAsia"/>
          <w:sz w:val="32"/>
          <w:szCs w:val="32"/>
        </w:rPr>
        <w:t>节能环保支出增加、城乡社区支出增加等</w:t>
      </w:r>
      <w:r>
        <w:rPr>
          <w:rFonts w:ascii="仿宋_GB2312" w:eastAsia="仿宋_GB2312" w:cs="DengXian-Regular" w:hint="eastAsia"/>
          <w:sz w:val="32"/>
          <w:szCs w:val="32"/>
        </w:rPr>
        <w:t>。具体情况如下：</w:t>
      </w:r>
    </w:p>
    <w:p w:rsidR="00661907" w:rsidRDefault="000B580C">
      <w:pPr>
        <w:numPr>
          <w:ilvl w:val="0"/>
          <w:numId w:val="1"/>
        </w:numPr>
        <w:adjustRightInd w:val="0"/>
        <w:snapToGrid w:val="0"/>
        <w:spacing w:line="54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一般公共预算财政拨款本年收入</w:t>
      </w:r>
      <w:r>
        <w:rPr>
          <w:rFonts w:ascii="仿宋_GB2312" w:eastAsia="仿宋_GB2312" w:cs="DengXian-Regular" w:hint="eastAsia"/>
          <w:sz w:val="32"/>
          <w:szCs w:val="32"/>
        </w:rPr>
        <w:t>2661.67</w:t>
      </w:r>
      <w:r>
        <w:rPr>
          <w:rFonts w:ascii="仿宋_GB2312" w:eastAsia="仿宋_GB2312" w:cs="DengXian-Regular" w:hint="eastAsia"/>
          <w:sz w:val="32"/>
          <w:szCs w:val="32"/>
        </w:rPr>
        <w:t>万元，比上年增加</w:t>
      </w:r>
      <w:r>
        <w:rPr>
          <w:rFonts w:ascii="仿宋_GB2312" w:eastAsia="仿宋_GB2312" w:cs="DengXian-Regular" w:hint="eastAsia"/>
          <w:sz w:val="32"/>
          <w:szCs w:val="32"/>
        </w:rPr>
        <w:t>1049.13</w:t>
      </w:r>
      <w:r>
        <w:rPr>
          <w:rFonts w:ascii="仿宋_GB2312" w:eastAsia="仿宋_GB2312" w:cs="DengXian-Regular" w:hint="eastAsia"/>
          <w:sz w:val="32"/>
          <w:szCs w:val="32"/>
        </w:rPr>
        <w:t>万元；主要是</w:t>
      </w:r>
      <w:r>
        <w:rPr>
          <w:rFonts w:ascii="仿宋" w:eastAsia="仿宋" w:hint="eastAsia"/>
          <w:sz w:val="32"/>
          <w:szCs w:val="32"/>
        </w:rPr>
        <w:t>节能环保支出增加、城乡社区支出增加等</w:t>
      </w:r>
      <w:r>
        <w:rPr>
          <w:rFonts w:ascii="仿宋_GB2312" w:eastAsia="仿宋_GB2312" w:cs="DengXian-Regular" w:hint="eastAsia"/>
          <w:sz w:val="32"/>
          <w:szCs w:val="32"/>
        </w:rPr>
        <w:t>；本年支出</w:t>
      </w:r>
      <w:r>
        <w:rPr>
          <w:rFonts w:ascii="仿宋_GB2312" w:eastAsia="仿宋_GB2312" w:cs="DengXian-Regular" w:hint="eastAsia"/>
          <w:sz w:val="32"/>
          <w:szCs w:val="32"/>
        </w:rPr>
        <w:t>2661.67</w:t>
      </w:r>
      <w:r>
        <w:rPr>
          <w:rFonts w:ascii="仿宋_GB2312" w:eastAsia="仿宋_GB2312" w:cs="DengXian-Regular" w:hint="eastAsia"/>
          <w:sz w:val="32"/>
          <w:szCs w:val="32"/>
        </w:rPr>
        <w:t>万元，比上年增加</w:t>
      </w:r>
      <w:r>
        <w:rPr>
          <w:rFonts w:ascii="仿宋_GB2312" w:eastAsia="仿宋_GB2312" w:cs="DengXian-Regular" w:hint="eastAsia"/>
          <w:sz w:val="32"/>
          <w:szCs w:val="32"/>
        </w:rPr>
        <w:t>1049.13</w:t>
      </w:r>
      <w:r>
        <w:rPr>
          <w:rFonts w:ascii="仿宋_GB2312" w:eastAsia="仿宋_GB2312" w:cs="DengXian-Regular" w:hint="eastAsia"/>
          <w:sz w:val="32"/>
          <w:szCs w:val="32"/>
        </w:rPr>
        <w:t>万元，增长</w:t>
      </w:r>
      <w:r>
        <w:rPr>
          <w:rFonts w:ascii="仿宋_GB2312" w:eastAsia="仿宋_GB2312" w:cs="DengXian-Regular" w:hint="eastAsia"/>
          <w:sz w:val="32"/>
          <w:szCs w:val="32"/>
        </w:rPr>
        <w:t>65.06%</w:t>
      </w:r>
      <w:r>
        <w:rPr>
          <w:rFonts w:ascii="仿宋_GB2312" w:eastAsia="仿宋_GB2312" w:cs="DengXian-Regular" w:hint="eastAsia"/>
          <w:sz w:val="32"/>
          <w:szCs w:val="32"/>
        </w:rPr>
        <w:t>，主要是</w:t>
      </w:r>
      <w:r>
        <w:rPr>
          <w:rFonts w:ascii="仿宋" w:eastAsia="仿宋" w:hint="eastAsia"/>
          <w:sz w:val="32"/>
          <w:szCs w:val="32"/>
        </w:rPr>
        <w:t>节能环保支出增加、城乡社区支</w:t>
      </w:r>
      <w:r>
        <w:rPr>
          <w:rFonts w:ascii="仿宋" w:eastAsia="仿宋" w:hint="eastAsia"/>
          <w:sz w:val="32"/>
          <w:szCs w:val="32"/>
        </w:rPr>
        <w:t>出增加等</w:t>
      </w:r>
      <w:r>
        <w:rPr>
          <w:rFonts w:ascii="仿宋_GB2312" w:eastAsia="仿宋_GB2312" w:cs="DengXian-Regular" w:hint="eastAsia"/>
          <w:sz w:val="32"/>
          <w:szCs w:val="32"/>
        </w:rPr>
        <w:t>。</w:t>
      </w:r>
    </w:p>
    <w:p w:rsidR="00661907" w:rsidRDefault="000B580C">
      <w:pPr>
        <w:numPr>
          <w:ilvl w:val="0"/>
          <w:numId w:val="1"/>
        </w:numPr>
        <w:adjustRightInd w:val="0"/>
        <w:snapToGrid w:val="0"/>
        <w:spacing w:line="54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政府性基金预算财政拨款本年收入</w:t>
      </w:r>
      <w:r>
        <w:rPr>
          <w:rFonts w:ascii="仿宋_GB2312" w:eastAsia="仿宋_GB2312" w:cs="DengXian-Regular" w:hint="eastAsia"/>
          <w:sz w:val="32"/>
          <w:szCs w:val="32"/>
        </w:rPr>
        <w:t>306.98</w:t>
      </w:r>
      <w:r>
        <w:rPr>
          <w:rFonts w:ascii="仿宋_GB2312" w:eastAsia="仿宋_GB2312" w:cs="DengXian-Regular" w:hint="eastAsia"/>
          <w:sz w:val="32"/>
          <w:szCs w:val="32"/>
        </w:rPr>
        <w:t>万元，比上年减少</w:t>
      </w:r>
      <w:r>
        <w:rPr>
          <w:rFonts w:ascii="仿宋_GB2312" w:eastAsia="仿宋_GB2312" w:cs="DengXian-Regular" w:hint="eastAsia"/>
          <w:sz w:val="32"/>
          <w:szCs w:val="32"/>
        </w:rPr>
        <w:t>154.02</w:t>
      </w:r>
      <w:r>
        <w:rPr>
          <w:rFonts w:ascii="仿宋_GB2312" w:eastAsia="仿宋_GB2312" w:cs="DengXian-Regular" w:hint="eastAsia"/>
          <w:sz w:val="32"/>
          <w:szCs w:val="32"/>
        </w:rPr>
        <w:t>万元，降低</w:t>
      </w:r>
      <w:r>
        <w:rPr>
          <w:rFonts w:ascii="仿宋_GB2312" w:eastAsia="仿宋_GB2312" w:cs="DengXian-Regular" w:hint="eastAsia"/>
          <w:sz w:val="32"/>
          <w:szCs w:val="32"/>
        </w:rPr>
        <w:t>33.41%</w:t>
      </w:r>
      <w:r>
        <w:rPr>
          <w:rFonts w:ascii="仿宋_GB2312" w:eastAsia="仿宋_GB2312" w:cs="DengXian-Regular" w:hint="eastAsia"/>
          <w:sz w:val="32"/>
          <w:szCs w:val="32"/>
        </w:rPr>
        <w:t>，主要原因是其他支出减少；本年支出</w:t>
      </w:r>
      <w:r>
        <w:rPr>
          <w:rFonts w:ascii="仿宋_GB2312" w:eastAsia="仿宋_GB2312" w:cs="DengXian-Regular" w:hint="eastAsia"/>
          <w:sz w:val="32"/>
          <w:szCs w:val="32"/>
        </w:rPr>
        <w:t>306.98</w:t>
      </w:r>
      <w:r>
        <w:rPr>
          <w:rFonts w:ascii="仿宋_GB2312" w:eastAsia="仿宋_GB2312" w:cs="DengXian-Regular" w:hint="eastAsia"/>
          <w:sz w:val="32"/>
          <w:szCs w:val="32"/>
        </w:rPr>
        <w:t>万元，比上年减少</w:t>
      </w:r>
      <w:r>
        <w:rPr>
          <w:rFonts w:ascii="仿宋_GB2312" w:eastAsia="仿宋_GB2312" w:cs="DengXian-Regular" w:hint="eastAsia"/>
          <w:sz w:val="32"/>
          <w:szCs w:val="32"/>
        </w:rPr>
        <w:t>154.02</w:t>
      </w:r>
      <w:r>
        <w:rPr>
          <w:rFonts w:ascii="仿宋_GB2312" w:eastAsia="仿宋_GB2312" w:cs="DengXian-Regular" w:hint="eastAsia"/>
          <w:sz w:val="32"/>
          <w:szCs w:val="32"/>
        </w:rPr>
        <w:t>万元，降低</w:t>
      </w:r>
      <w:r>
        <w:rPr>
          <w:rFonts w:ascii="仿宋_GB2312" w:eastAsia="仿宋_GB2312" w:cs="DengXian-Regular" w:hint="eastAsia"/>
          <w:sz w:val="32"/>
          <w:szCs w:val="32"/>
        </w:rPr>
        <w:t>33.41%</w:t>
      </w:r>
      <w:r>
        <w:rPr>
          <w:rFonts w:ascii="仿宋_GB2312" w:eastAsia="仿宋_GB2312" w:cs="DengXian-Regular" w:hint="eastAsia"/>
          <w:sz w:val="32"/>
          <w:szCs w:val="32"/>
        </w:rPr>
        <w:t>，主要是其他支出减少。</w:t>
      </w:r>
    </w:p>
    <w:p w:rsidR="00661907" w:rsidRDefault="00661907">
      <w:pPr>
        <w:adjustRightInd w:val="0"/>
        <w:snapToGrid w:val="0"/>
        <w:spacing w:line="540" w:lineRule="exact"/>
        <w:rPr>
          <w:rFonts w:ascii="仿宋_GB2312" w:eastAsia="仿宋_GB2312" w:cs="DengXian-Regular"/>
          <w:sz w:val="32"/>
          <w:szCs w:val="32"/>
        </w:rPr>
      </w:pPr>
    </w:p>
    <w:p w:rsidR="00661907" w:rsidRDefault="000B580C">
      <w:pPr>
        <w:adjustRightInd w:val="0"/>
        <w:snapToGrid w:val="0"/>
        <w:spacing w:line="500" w:lineRule="exact"/>
        <w:ind w:leftChars="305" w:left="640" w:firstLineChars="700" w:firstLine="2240"/>
        <w:rPr>
          <w:rFonts w:eastAsia="仿宋_GB2312"/>
          <w:sz w:val="32"/>
          <w:szCs w:val="32"/>
        </w:rPr>
      </w:pPr>
      <w:r>
        <w:rPr>
          <w:rFonts w:eastAsia="仿宋_GB2312" w:hint="eastAsia"/>
          <w:sz w:val="32"/>
          <w:szCs w:val="32"/>
        </w:rPr>
        <w:t>财政拨款收支情况</w:t>
      </w:r>
    </w:p>
    <w:p w:rsidR="00661907" w:rsidRDefault="000B580C">
      <w:pPr>
        <w:snapToGrid w:val="0"/>
        <w:spacing w:line="2400" w:lineRule="auto"/>
        <w:ind w:firstLineChars="200" w:firstLine="640"/>
        <w:rPr>
          <w:rFonts w:ascii="楷体_GB2312" w:eastAsia="楷体_GB2312" w:cs="DengXian-Bold"/>
          <w:b/>
          <w:bCs/>
          <w:sz w:val="32"/>
          <w:szCs w:val="32"/>
        </w:rPr>
      </w:pPr>
      <w:r>
        <w:rPr>
          <w:rFonts w:ascii="仿宋_GB2312" w:eastAsia="仿宋_GB2312" w:cs="宋体"/>
          <w:noProof/>
          <w:sz w:val="32"/>
          <w:szCs w:val="32"/>
        </w:rPr>
        <w:drawing>
          <wp:inline distT="0" distB="0" distL="0" distR="0">
            <wp:extent cx="4686300" cy="2247900"/>
            <wp:effectExtent l="0" t="0" r="0" b="0"/>
            <wp:docPr id="107"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1907" w:rsidRDefault="000B580C" w:rsidP="009A1155">
      <w:pPr>
        <w:snapToGrid w:val="0"/>
        <w:spacing w:line="54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lastRenderedPageBreak/>
        <w:t>（二）财政拨款收支与年初预算数对比情况</w:t>
      </w:r>
    </w:p>
    <w:p w:rsidR="00661907" w:rsidRDefault="000B580C">
      <w:pPr>
        <w:adjustRightInd w:val="0"/>
        <w:snapToGrid w:val="0"/>
        <w:spacing w:line="54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年度财政拨款本年收入</w:t>
      </w:r>
      <w:r>
        <w:rPr>
          <w:rFonts w:ascii="仿宋_GB2312" w:eastAsia="仿宋_GB2312" w:cs="DengXian-Regular" w:hint="eastAsia"/>
          <w:sz w:val="32"/>
          <w:szCs w:val="32"/>
        </w:rPr>
        <w:t>2968.65</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188.77%,</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1396.04</w:t>
      </w:r>
      <w:r>
        <w:rPr>
          <w:rFonts w:ascii="仿宋_GB2312" w:eastAsia="仿宋_GB2312" w:cs="DengXian-Regular" w:hint="eastAsia"/>
          <w:sz w:val="32"/>
          <w:szCs w:val="32"/>
        </w:rPr>
        <w:t>万元，决算数大于预算数主要原因是</w:t>
      </w:r>
      <w:r>
        <w:rPr>
          <w:rFonts w:ascii="仿宋" w:eastAsia="仿宋" w:hint="eastAsia"/>
          <w:sz w:val="32"/>
          <w:szCs w:val="32"/>
        </w:rPr>
        <w:t>环保支出增加、农村环境整治支出增加、城乡社区支出增加</w:t>
      </w:r>
      <w:r>
        <w:rPr>
          <w:rFonts w:ascii="仿宋_GB2312" w:eastAsia="仿宋_GB2312" w:cs="DengXian-Regular" w:hint="eastAsia"/>
          <w:sz w:val="32"/>
          <w:szCs w:val="32"/>
        </w:rPr>
        <w:t>；本年支出</w:t>
      </w:r>
      <w:r>
        <w:rPr>
          <w:rFonts w:ascii="仿宋_GB2312" w:eastAsia="仿宋_GB2312" w:cs="DengXian-Regular" w:hint="eastAsia"/>
          <w:sz w:val="32"/>
          <w:szCs w:val="32"/>
        </w:rPr>
        <w:t>2968.65</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188.77%,</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1396.04</w:t>
      </w:r>
      <w:r>
        <w:rPr>
          <w:rFonts w:ascii="仿宋_GB2312" w:eastAsia="仿宋_GB2312" w:cs="DengXian-Regular" w:hint="eastAsia"/>
          <w:sz w:val="32"/>
          <w:szCs w:val="32"/>
        </w:rPr>
        <w:t>万元，决算数大于预算数主要原因是主要是</w:t>
      </w:r>
      <w:r>
        <w:rPr>
          <w:rFonts w:ascii="仿宋" w:eastAsia="仿宋" w:hint="eastAsia"/>
          <w:sz w:val="32"/>
          <w:szCs w:val="32"/>
        </w:rPr>
        <w:t>环保支出增加、农村环境整治支出增加、城乡社区支出增加</w:t>
      </w:r>
      <w:r>
        <w:rPr>
          <w:rFonts w:ascii="仿宋_GB2312" w:eastAsia="仿宋_GB2312" w:cs="DengXian-Regular" w:hint="eastAsia"/>
          <w:sz w:val="32"/>
          <w:szCs w:val="32"/>
        </w:rPr>
        <w:t>。具体情况如下：</w:t>
      </w:r>
    </w:p>
    <w:p w:rsidR="00661907" w:rsidRDefault="000B580C">
      <w:pPr>
        <w:numPr>
          <w:ilvl w:val="0"/>
          <w:numId w:val="2"/>
        </w:numPr>
        <w:adjustRightInd w:val="0"/>
        <w:snapToGrid w:val="0"/>
        <w:spacing w:line="54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一般公共预算财政拨款本年收入完成年初预算</w:t>
      </w:r>
      <w:r>
        <w:rPr>
          <w:rFonts w:ascii="仿宋_GB2312" w:eastAsia="仿宋_GB2312" w:cs="DengXian-Regular" w:hint="eastAsia"/>
          <w:sz w:val="32"/>
          <w:szCs w:val="32"/>
        </w:rPr>
        <w:t>180.75%</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1189.06</w:t>
      </w:r>
      <w:r>
        <w:rPr>
          <w:rFonts w:ascii="仿宋_GB2312" w:eastAsia="仿宋_GB2312" w:cs="DengXian-Regular" w:hint="eastAsia"/>
          <w:sz w:val="32"/>
          <w:szCs w:val="32"/>
        </w:rPr>
        <w:t>万元，主要是</w:t>
      </w:r>
      <w:r>
        <w:rPr>
          <w:rFonts w:ascii="仿宋" w:eastAsia="仿宋" w:hint="eastAsia"/>
          <w:sz w:val="32"/>
          <w:szCs w:val="32"/>
        </w:rPr>
        <w:t>环保支出增加、农村环境整治支出增加</w:t>
      </w:r>
      <w:r>
        <w:rPr>
          <w:rFonts w:ascii="仿宋_GB2312" w:eastAsia="仿宋_GB2312" w:cs="DengXian-Regular" w:hint="eastAsia"/>
          <w:sz w:val="32"/>
          <w:szCs w:val="32"/>
        </w:rPr>
        <w:t>；支出完成年初预算</w:t>
      </w:r>
      <w:r>
        <w:rPr>
          <w:rFonts w:ascii="仿宋_GB2312" w:eastAsia="仿宋_GB2312" w:cs="DengXian-Regular" w:hint="eastAsia"/>
          <w:sz w:val="32"/>
          <w:szCs w:val="32"/>
        </w:rPr>
        <w:t>180.75%</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1189.06</w:t>
      </w:r>
      <w:r>
        <w:rPr>
          <w:rFonts w:ascii="仿宋_GB2312" w:eastAsia="仿宋_GB2312" w:cs="DengXian-Regular" w:hint="eastAsia"/>
          <w:sz w:val="32"/>
          <w:szCs w:val="32"/>
        </w:rPr>
        <w:t>万元，主要是</w:t>
      </w:r>
      <w:r>
        <w:rPr>
          <w:rFonts w:ascii="仿宋" w:eastAsia="仿宋" w:hint="eastAsia"/>
          <w:sz w:val="32"/>
          <w:szCs w:val="32"/>
        </w:rPr>
        <w:t>环保支出增加、农村环境整治支出增加</w:t>
      </w:r>
      <w:r>
        <w:rPr>
          <w:rFonts w:ascii="仿宋_GB2312" w:eastAsia="仿宋_GB2312" w:cs="DengXian-Regular" w:hint="eastAsia"/>
          <w:sz w:val="32"/>
          <w:szCs w:val="32"/>
        </w:rPr>
        <w:t>。</w:t>
      </w:r>
    </w:p>
    <w:p w:rsidR="00661907" w:rsidRDefault="000B580C">
      <w:pPr>
        <w:numPr>
          <w:ilvl w:val="0"/>
          <w:numId w:val="2"/>
        </w:numPr>
        <w:adjustRightInd w:val="0"/>
        <w:snapToGrid w:val="0"/>
        <w:spacing w:line="54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政府性基金预算财政</w:t>
      </w:r>
      <w:bookmarkStart w:id="0" w:name="_GoBack"/>
      <w:bookmarkEnd w:id="0"/>
      <w:r>
        <w:rPr>
          <w:rFonts w:ascii="仿宋_GB2312" w:eastAsia="仿宋_GB2312" w:cs="DengXian-Regular" w:hint="eastAsia"/>
          <w:sz w:val="32"/>
          <w:szCs w:val="32"/>
        </w:rPr>
        <w:t>拨款本年收入完成年初预算</w:t>
      </w:r>
      <w:r>
        <w:rPr>
          <w:rFonts w:ascii="仿宋_GB2312" w:eastAsia="仿宋_GB2312" w:cs="DengXian-Regular" w:hint="eastAsia"/>
          <w:sz w:val="32"/>
          <w:szCs w:val="32"/>
        </w:rPr>
        <w:t>306.98%</w:t>
      </w:r>
      <w:r>
        <w:rPr>
          <w:rFonts w:ascii="仿宋_GB2312" w:eastAsia="仿宋_GB2312" w:cs="DengXian-Regular" w:hint="eastAsia"/>
          <w:sz w:val="32"/>
          <w:szCs w:val="32"/>
        </w:rPr>
        <w:t>，比年初预算增加</w:t>
      </w:r>
      <w:r>
        <w:rPr>
          <w:rFonts w:ascii="仿宋_GB2312" w:eastAsia="仿宋_GB2312" w:cs="DengXian-Regular" w:hint="eastAsia"/>
          <w:sz w:val="32"/>
          <w:szCs w:val="32"/>
        </w:rPr>
        <w:t>2</w:t>
      </w:r>
      <w:r>
        <w:rPr>
          <w:rFonts w:ascii="仿宋_GB2312" w:eastAsia="仿宋_GB2312" w:cs="DengXian-Regular" w:hint="eastAsia"/>
          <w:sz w:val="32"/>
          <w:szCs w:val="32"/>
        </w:rPr>
        <w:t>06.98</w:t>
      </w:r>
      <w:r>
        <w:rPr>
          <w:rFonts w:ascii="仿宋_GB2312" w:eastAsia="仿宋_GB2312" w:cs="DengXian-Regular" w:hint="eastAsia"/>
          <w:sz w:val="32"/>
          <w:szCs w:val="32"/>
        </w:rPr>
        <w:t>万元，主要是其他支出增加；支出完成年初预算</w:t>
      </w:r>
      <w:r>
        <w:rPr>
          <w:rFonts w:ascii="仿宋_GB2312" w:eastAsia="仿宋_GB2312" w:cs="DengXian-Regular" w:hint="eastAsia"/>
          <w:sz w:val="32"/>
          <w:szCs w:val="32"/>
        </w:rPr>
        <w:t>306.98%</w:t>
      </w:r>
      <w:r>
        <w:rPr>
          <w:rFonts w:ascii="仿宋_GB2312" w:eastAsia="仿宋_GB2312" w:cs="DengXian-Regular" w:hint="eastAsia"/>
          <w:sz w:val="32"/>
          <w:szCs w:val="32"/>
        </w:rPr>
        <w:t>，比年初预算增加</w:t>
      </w:r>
      <w:r>
        <w:rPr>
          <w:rFonts w:ascii="仿宋_GB2312" w:eastAsia="仿宋_GB2312" w:cs="DengXian-Regular" w:hint="eastAsia"/>
          <w:sz w:val="32"/>
          <w:szCs w:val="32"/>
        </w:rPr>
        <w:t>206.98</w:t>
      </w:r>
      <w:r>
        <w:rPr>
          <w:rFonts w:ascii="仿宋_GB2312" w:eastAsia="仿宋_GB2312" w:cs="DengXian-Regular" w:hint="eastAsia"/>
          <w:sz w:val="32"/>
          <w:szCs w:val="32"/>
        </w:rPr>
        <w:t>万元，主要是其他支出增加。</w:t>
      </w:r>
    </w:p>
    <w:p w:rsidR="00661907" w:rsidRDefault="000B580C">
      <w:pPr>
        <w:adjustRightInd w:val="0"/>
        <w:snapToGrid w:val="0"/>
        <w:spacing w:line="540" w:lineRule="exact"/>
        <w:ind w:leftChars="305" w:left="640" w:firstLineChars="600" w:firstLine="1920"/>
        <w:rPr>
          <w:rFonts w:ascii="仿宋_GB2312" w:eastAsia="仿宋_GB2312" w:cs="DengXian-Regular"/>
          <w:sz w:val="32"/>
          <w:szCs w:val="32"/>
        </w:rPr>
      </w:pPr>
      <w:r>
        <w:rPr>
          <w:rFonts w:eastAsia="仿宋_GB2312" w:hint="eastAsia"/>
          <w:sz w:val="32"/>
          <w:szCs w:val="32"/>
        </w:rPr>
        <w:t>财政拨款收支预决算对比情况</w:t>
      </w:r>
    </w:p>
    <w:p w:rsidR="00661907" w:rsidRDefault="000B580C">
      <w:pPr>
        <w:adjustRightInd w:val="0"/>
        <w:snapToGrid w:val="0"/>
        <w:spacing w:line="2400" w:lineRule="auto"/>
        <w:ind w:firstLineChars="200" w:firstLine="640"/>
        <w:rPr>
          <w:rFonts w:ascii="仿宋_GB2312" w:eastAsia="仿宋_GB2312" w:cs="DengXian-Regular"/>
          <w:sz w:val="32"/>
          <w:szCs w:val="32"/>
          <w:highlight w:val="yellow"/>
        </w:rPr>
      </w:pPr>
      <w:r>
        <w:rPr>
          <w:rFonts w:ascii="仿宋_GB2312" w:eastAsia="仿宋_GB2312" w:cs="宋体" w:hint="eastAsia"/>
          <w:noProof/>
          <w:sz w:val="32"/>
          <w:szCs w:val="32"/>
        </w:rPr>
        <w:drawing>
          <wp:inline distT="0" distB="0" distL="0" distR="0">
            <wp:extent cx="4667250" cy="2162175"/>
            <wp:effectExtent l="0" t="0" r="0" b="0"/>
            <wp:docPr id="108"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1907" w:rsidRDefault="000B580C">
      <w:pPr>
        <w:numPr>
          <w:ilvl w:val="0"/>
          <w:numId w:val="3"/>
        </w:num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lastRenderedPageBreak/>
        <w:t>财政拨款支出决算结构情况。</w:t>
      </w:r>
    </w:p>
    <w:p w:rsidR="00661907" w:rsidRDefault="000B580C">
      <w:pPr>
        <w:adjustRightInd w:val="0"/>
        <w:snapToGrid w:val="0"/>
        <w:spacing w:line="580" w:lineRule="exact"/>
        <w:ind w:firstLineChars="200" w:firstLine="640"/>
        <w:rPr>
          <w:rFonts w:ascii="仿宋" w:eastAsia="仿宋"/>
          <w:sz w:val="32"/>
          <w:szCs w:val="32"/>
        </w:rPr>
      </w:pPr>
      <w:r>
        <w:rPr>
          <w:rFonts w:ascii="仿宋_GB2312" w:eastAsia="仿宋_GB2312" w:cs="DengXian-Regular" w:hint="eastAsia"/>
          <w:sz w:val="32"/>
          <w:szCs w:val="32"/>
        </w:rPr>
        <w:t xml:space="preserve">2019 </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2968.65</w:t>
      </w:r>
      <w:r>
        <w:rPr>
          <w:rFonts w:ascii="仿宋_GB2312" w:eastAsia="仿宋_GB2312" w:cs="DengXian-Regular" w:hint="eastAsia"/>
          <w:sz w:val="32"/>
          <w:szCs w:val="32"/>
        </w:rPr>
        <w:t>万元，主要用于以下方面</w:t>
      </w:r>
      <w:r>
        <w:rPr>
          <w:rFonts w:ascii="仿宋" w:eastAsia="仿宋" w:hint="eastAsia"/>
          <w:sz w:val="32"/>
          <w:szCs w:val="32"/>
        </w:rPr>
        <w:t>一般公共服务支出</w:t>
      </w:r>
      <w:r>
        <w:rPr>
          <w:rFonts w:ascii="仿宋" w:eastAsia="仿宋" w:hint="eastAsia"/>
          <w:sz w:val="32"/>
          <w:szCs w:val="32"/>
        </w:rPr>
        <w:t>1312.45</w:t>
      </w:r>
      <w:r>
        <w:rPr>
          <w:rFonts w:ascii="仿宋" w:eastAsia="仿宋" w:hint="eastAsia"/>
          <w:sz w:val="32"/>
          <w:szCs w:val="32"/>
        </w:rPr>
        <w:t>万元，占</w:t>
      </w:r>
      <w:r>
        <w:rPr>
          <w:rFonts w:ascii="仿宋" w:eastAsia="仿宋" w:hint="eastAsia"/>
          <w:sz w:val="32"/>
          <w:szCs w:val="32"/>
        </w:rPr>
        <w:t>44.21%</w:t>
      </w:r>
      <w:r>
        <w:rPr>
          <w:rFonts w:ascii="仿宋" w:eastAsia="仿宋" w:hint="eastAsia"/>
          <w:sz w:val="32"/>
          <w:szCs w:val="32"/>
        </w:rPr>
        <w:t>；文化旅游体育与传媒支出</w:t>
      </w:r>
      <w:r>
        <w:rPr>
          <w:rFonts w:ascii="仿宋" w:eastAsia="仿宋" w:hint="eastAsia"/>
          <w:sz w:val="32"/>
          <w:szCs w:val="32"/>
        </w:rPr>
        <w:t>104.47</w:t>
      </w:r>
      <w:r>
        <w:rPr>
          <w:rFonts w:ascii="仿宋" w:eastAsia="仿宋" w:hint="eastAsia"/>
          <w:sz w:val="32"/>
          <w:szCs w:val="32"/>
        </w:rPr>
        <w:t>万元，占</w:t>
      </w:r>
      <w:r>
        <w:rPr>
          <w:rFonts w:ascii="仿宋" w:eastAsia="仿宋" w:hint="eastAsia"/>
          <w:sz w:val="32"/>
          <w:szCs w:val="32"/>
        </w:rPr>
        <w:t>3.52%;</w:t>
      </w:r>
      <w:r>
        <w:rPr>
          <w:rFonts w:ascii="仿宋" w:eastAsia="仿宋" w:hint="eastAsia"/>
          <w:sz w:val="32"/>
          <w:szCs w:val="32"/>
        </w:rPr>
        <w:t>社会保障和就业支出</w:t>
      </w:r>
      <w:r>
        <w:rPr>
          <w:rFonts w:ascii="仿宋" w:eastAsia="仿宋" w:hint="eastAsia"/>
          <w:sz w:val="32"/>
          <w:szCs w:val="32"/>
        </w:rPr>
        <w:t>92.1</w:t>
      </w:r>
      <w:r>
        <w:rPr>
          <w:rFonts w:ascii="仿宋" w:eastAsia="仿宋" w:hint="eastAsia"/>
          <w:sz w:val="32"/>
          <w:szCs w:val="32"/>
        </w:rPr>
        <w:t>万元，占</w:t>
      </w:r>
      <w:r>
        <w:rPr>
          <w:rFonts w:ascii="仿宋" w:eastAsia="仿宋" w:hint="eastAsia"/>
          <w:sz w:val="32"/>
          <w:szCs w:val="32"/>
        </w:rPr>
        <w:t>3.1%</w:t>
      </w:r>
      <w:r>
        <w:rPr>
          <w:rFonts w:ascii="仿宋" w:eastAsia="仿宋" w:hint="eastAsia"/>
          <w:sz w:val="32"/>
          <w:szCs w:val="32"/>
        </w:rPr>
        <w:t>；卫生健康支出</w:t>
      </w:r>
      <w:r>
        <w:rPr>
          <w:rFonts w:ascii="仿宋" w:eastAsia="仿宋" w:hint="eastAsia"/>
          <w:sz w:val="32"/>
          <w:szCs w:val="32"/>
        </w:rPr>
        <w:t>22.8</w:t>
      </w:r>
      <w:r>
        <w:rPr>
          <w:rFonts w:ascii="仿宋" w:eastAsia="仿宋" w:hint="eastAsia"/>
          <w:sz w:val="32"/>
          <w:szCs w:val="32"/>
        </w:rPr>
        <w:t>万元，占</w:t>
      </w:r>
      <w:r>
        <w:rPr>
          <w:rFonts w:ascii="仿宋" w:eastAsia="仿宋" w:hint="eastAsia"/>
          <w:sz w:val="32"/>
          <w:szCs w:val="32"/>
        </w:rPr>
        <w:t>0.77%;</w:t>
      </w:r>
      <w:r>
        <w:rPr>
          <w:rFonts w:ascii="仿宋" w:eastAsia="仿宋" w:hint="eastAsia"/>
          <w:sz w:val="32"/>
          <w:szCs w:val="32"/>
        </w:rPr>
        <w:t>节能环保支出</w:t>
      </w:r>
      <w:r>
        <w:rPr>
          <w:rFonts w:ascii="仿宋" w:eastAsia="仿宋" w:hint="eastAsia"/>
          <w:sz w:val="32"/>
          <w:szCs w:val="32"/>
        </w:rPr>
        <w:t>415.89</w:t>
      </w:r>
      <w:r>
        <w:rPr>
          <w:rFonts w:ascii="仿宋" w:eastAsia="仿宋" w:hint="eastAsia"/>
          <w:sz w:val="32"/>
          <w:szCs w:val="32"/>
        </w:rPr>
        <w:t>万元，占</w:t>
      </w:r>
      <w:r>
        <w:rPr>
          <w:rFonts w:ascii="仿宋" w:eastAsia="仿宋" w:hint="eastAsia"/>
          <w:sz w:val="32"/>
          <w:szCs w:val="32"/>
        </w:rPr>
        <w:t>14.01%;</w:t>
      </w:r>
      <w:r>
        <w:rPr>
          <w:rFonts w:ascii="仿宋" w:eastAsia="仿宋" w:hint="eastAsia"/>
          <w:sz w:val="32"/>
          <w:szCs w:val="32"/>
        </w:rPr>
        <w:t>城乡社区支出</w:t>
      </w:r>
      <w:r>
        <w:rPr>
          <w:rFonts w:ascii="仿宋" w:eastAsia="仿宋" w:hint="eastAsia"/>
          <w:sz w:val="32"/>
          <w:szCs w:val="32"/>
        </w:rPr>
        <w:t>528.88</w:t>
      </w:r>
      <w:r>
        <w:rPr>
          <w:rFonts w:ascii="仿宋" w:eastAsia="仿宋" w:hint="eastAsia"/>
          <w:sz w:val="32"/>
          <w:szCs w:val="32"/>
        </w:rPr>
        <w:t>万元，占</w:t>
      </w:r>
      <w:r>
        <w:rPr>
          <w:rFonts w:ascii="仿宋" w:eastAsia="仿宋" w:hint="eastAsia"/>
          <w:sz w:val="32"/>
          <w:szCs w:val="32"/>
        </w:rPr>
        <w:t>17.82%;</w:t>
      </w:r>
      <w:r>
        <w:rPr>
          <w:rFonts w:ascii="仿宋" w:eastAsia="仿宋" w:hint="eastAsia"/>
          <w:sz w:val="32"/>
          <w:szCs w:val="32"/>
        </w:rPr>
        <w:t>农林水支出</w:t>
      </w:r>
      <w:r>
        <w:rPr>
          <w:rFonts w:ascii="仿宋" w:eastAsia="仿宋" w:hint="eastAsia"/>
          <w:sz w:val="32"/>
          <w:szCs w:val="32"/>
        </w:rPr>
        <w:t>457.64</w:t>
      </w:r>
      <w:r>
        <w:rPr>
          <w:rFonts w:ascii="仿宋" w:eastAsia="仿宋" w:hint="eastAsia"/>
          <w:sz w:val="32"/>
          <w:szCs w:val="32"/>
        </w:rPr>
        <w:t>万元，占</w:t>
      </w:r>
      <w:r>
        <w:rPr>
          <w:rFonts w:ascii="仿宋" w:eastAsia="仿宋" w:hint="eastAsia"/>
          <w:sz w:val="32"/>
          <w:szCs w:val="32"/>
        </w:rPr>
        <w:t>15.42%;</w:t>
      </w:r>
      <w:r>
        <w:rPr>
          <w:rFonts w:ascii="仿宋" w:eastAsia="仿宋" w:hint="eastAsia"/>
          <w:sz w:val="32"/>
          <w:szCs w:val="32"/>
        </w:rPr>
        <w:t>灾害防治及应急管理支出</w:t>
      </w:r>
      <w:r>
        <w:rPr>
          <w:rFonts w:ascii="仿宋" w:eastAsia="仿宋" w:hint="eastAsia"/>
          <w:sz w:val="32"/>
          <w:szCs w:val="32"/>
        </w:rPr>
        <w:t>10</w:t>
      </w:r>
      <w:r>
        <w:rPr>
          <w:rFonts w:ascii="仿宋" w:eastAsia="仿宋" w:hint="eastAsia"/>
          <w:sz w:val="32"/>
          <w:szCs w:val="32"/>
        </w:rPr>
        <w:t>万元，占</w:t>
      </w:r>
      <w:r>
        <w:rPr>
          <w:rFonts w:ascii="仿宋" w:eastAsia="仿宋" w:hint="eastAsia"/>
          <w:sz w:val="32"/>
          <w:szCs w:val="32"/>
        </w:rPr>
        <w:t>0.34%;</w:t>
      </w:r>
      <w:r>
        <w:rPr>
          <w:rFonts w:ascii="仿宋" w:eastAsia="仿宋" w:hint="eastAsia"/>
          <w:sz w:val="32"/>
          <w:szCs w:val="32"/>
        </w:rPr>
        <w:t>其他支出</w:t>
      </w:r>
      <w:r>
        <w:rPr>
          <w:rFonts w:ascii="仿宋" w:eastAsia="仿宋" w:hint="eastAsia"/>
          <w:sz w:val="32"/>
          <w:szCs w:val="32"/>
        </w:rPr>
        <w:t>22.55</w:t>
      </w:r>
      <w:r>
        <w:rPr>
          <w:rFonts w:ascii="仿宋" w:eastAsia="仿宋" w:hint="eastAsia"/>
          <w:sz w:val="32"/>
          <w:szCs w:val="32"/>
        </w:rPr>
        <w:t>万元，占</w:t>
      </w:r>
      <w:r>
        <w:rPr>
          <w:rFonts w:ascii="仿宋" w:eastAsia="仿宋" w:hint="eastAsia"/>
          <w:sz w:val="32"/>
          <w:szCs w:val="32"/>
        </w:rPr>
        <w:t>0.76%</w:t>
      </w:r>
      <w:r>
        <w:rPr>
          <w:rFonts w:ascii="仿宋" w:eastAsia="仿宋" w:hint="eastAsia"/>
          <w:sz w:val="32"/>
          <w:szCs w:val="32"/>
        </w:rPr>
        <w:t>。</w:t>
      </w:r>
    </w:p>
    <w:p w:rsidR="00661907" w:rsidRDefault="00661907">
      <w:pPr>
        <w:adjustRightInd w:val="0"/>
        <w:snapToGrid w:val="0"/>
        <w:spacing w:line="580" w:lineRule="exact"/>
        <w:ind w:firstLineChars="200" w:firstLine="640"/>
        <w:rPr>
          <w:rFonts w:ascii="仿宋" w:eastAsia="仿宋"/>
          <w:sz w:val="32"/>
          <w:szCs w:val="32"/>
        </w:rPr>
      </w:pPr>
    </w:p>
    <w:p w:rsidR="00661907" w:rsidRDefault="000B580C">
      <w:pPr>
        <w:adjustRightInd w:val="0"/>
        <w:snapToGrid w:val="0"/>
        <w:spacing w:line="580" w:lineRule="exact"/>
        <w:ind w:firstLineChars="450" w:firstLine="1440"/>
        <w:rPr>
          <w:rFonts w:eastAsia="仿宋_GB2312"/>
          <w:sz w:val="32"/>
          <w:szCs w:val="32"/>
        </w:rPr>
      </w:pPr>
      <w:r>
        <w:rPr>
          <w:rFonts w:eastAsia="仿宋_GB2312" w:hint="eastAsia"/>
          <w:sz w:val="32"/>
          <w:szCs w:val="32"/>
        </w:rPr>
        <w:t>财政拨款支出决算结构（按功能分类）</w:t>
      </w:r>
    </w:p>
    <w:p w:rsidR="00661907" w:rsidRDefault="000B580C">
      <w:pPr>
        <w:adjustRightInd w:val="0"/>
        <w:snapToGrid w:val="0"/>
        <w:spacing w:line="2400" w:lineRule="auto"/>
        <w:rPr>
          <w:rFonts w:ascii="楷体_GB2312" w:eastAsia="楷体_GB2312" w:cs="DengXian-Bold"/>
          <w:b/>
          <w:bCs/>
          <w:sz w:val="32"/>
          <w:szCs w:val="32"/>
        </w:rPr>
      </w:pPr>
      <w:r>
        <w:rPr>
          <w:rFonts w:ascii="楷体_GB2312" w:eastAsia="楷体_GB2312" w:cs="宋体"/>
          <w:b/>
          <w:bCs/>
          <w:noProof/>
          <w:sz w:val="32"/>
          <w:szCs w:val="32"/>
        </w:rPr>
        <w:drawing>
          <wp:inline distT="0" distB="0" distL="0" distR="0">
            <wp:extent cx="5361940" cy="2952115"/>
            <wp:effectExtent l="0" t="0" r="0" b="0"/>
            <wp:docPr id="109"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661907" w:rsidRPr="00661907">
        <w:rPr>
          <w:rFonts w:ascii="Times New Roman" w:eastAsia="宋体" w:cs="Times New Roman"/>
          <w:szCs w:val="24"/>
        </w:rPr>
        <w:pict>
          <v:group id="组合 116" o:spid="_x0000_s2052" style="position:absolute;left:0;text-align:left;margin-left:77.25pt;margin-top:16.6pt;width:281.6pt;height:.2pt;z-index:-251652096;mso-wrap-distance-left:3.17494mm;mso-wrap-distance-right:3.17494mm;mso-position-horizontal-relative:text;mso-position-vertical-relative:text" coordorigin="3132,7070" coordsize="5631,3#_x0000_t1">
            <v:shape id="_s117" o:spid="_x0000_s2054" type="#_x0000_t75" style="position:absolute;left:3358;top:7070;width:5181;height:3">
              <v:imagedata r:id="rId20" o:title="7854688191606121620989" croptop="1490f" cropbottom="5217f" cropleft="2130f" cropright="1217f"/>
            </v:shape>
            <v:shape id="_s118" o:spid="_x0000_s2053" type="#_x0000_t202" style="position:absolute;left:3132;top:7072;width:5631;height:0" stroked="f">
              <v:textbox id="860custom">
                <w:txbxContent>
                  <w:p w:rsidR="00661907" w:rsidRDefault="000B580C">
                    <w:pPr>
                      <w:adjustRightInd w:val="0"/>
                      <w:snapToGrid w:val="0"/>
                      <w:spacing w:after="160" w:line="560" w:lineRule="exact"/>
                      <w:jc w:val="center"/>
                      <w:rPr>
                        <w:rFonts w:ascii="仿宋_GB2312" w:eastAsia="仿宋_GB2312" w:cs="DengXian-Regular"/>
                        <w:sz w:val="28"/>
                        <w:szCs w:val="28"/>
                      </w:rPr>
                    </w:pPr>
                    <w:r>
                      <w:rPr>
                        <w:rFonts w:ascii="仿宋_GB2312" w:eastAsia="仿宋_GB2312" w:cs="DengXian-Regular" w:hint="eastAsia"/>
                        <w:sz w:val="28"/>
                        <w:szCs w:val="28"/>
                      </w:rPr>
                      <w:t>图</w:t>
                    </w:r>
                    <w:r>
                      <w:rPr>
                        <w:rFonts w:ascii="仿宋_GB2312" w:eastAsia="仿宋_GB2312" w:cs="DengXian-Regular" w:hint="eastAsia"/>
                        <w:sz w:val="28"/>
                        <w:szCs w:val="28"/>
                      </w:rPr>
                      <w:t>X</w:t>
                    </w:r>
                    <w:r>
                      <w:rPr>
                        <w:rFonts w:ascii="仿宋_GB2312" w:eastAsia="仿宋_GB2312" w:cs="DengXian-Regular" w:hint="eastAsia"/>
                        <w:sz w:val="28"/>
                        <w:szCs w:val="28"/>
                      </w:rPr>
                      <w:t>：财政拨款支出决算结构（按功能分类）</w:t>
                    </w:r>
                  </w:p>
                  <w:p w:rsidR="00661907" w:rsidRDefault="00661907">
                    <w:pPr>
                      <w:spacing w:after="160" w:line="480" w:lineRule="auto"/>
                      <w:rPr>
                        <w:rFonts w:ascii="Times New Roman" w:eastAsia="宋体" w:cs="Times New Roman"/>
                        <w:sz w:val="20"/>
                      </w:rPr>
                    </w:pPr>
                  </w:p>
                </w:txbxContent>
              </v:textbox>
            </v:shape>
          </v:group>
        </w:pict>
      </w:r>
    </w:p>
    <w:p w:rsidR="00661907" w:rsidRDefault="000B580C">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lastRenderedPageBreak/>
        <w:t>（四）一般公共预算基本支出决算情况说明</w:t>
      </w:r>
    </w:p>
    <w:p w:rsidR="00661907" w:rsidRDefault="000B5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2019 </w:t>
      </w:r>
      <w:r>
        <w:rPr>
          <w:rFonts w:ascii="仿宋_GB2312" w:eastAsia="仿宋_GB2312" w:cs="DengXian-Regular" w:hint="eastAsia"/>
          <w:sz w:val="32"/>
          <w:szCs w:val="32"/>
        </w:rPr>
        <w:t>年度财政拨款基本支出</w:t>
      </w:r>
      <w:r>
        <w:rPr>
          <w:rFonts w:ascii="仿宋_GB2312" w:eastAsia="仿宋_GB2312" w:cs="DengXian-Regular" w:hint="eastAsia"/>
          <w:sz w:val="32"/>
          <w:szCs w:val="32"/>
        </w:rPr>
        <w:t>1029.78</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 xml:space="preserve"> </w:t>
      </w:r>
      <w:r>
        <w:rPr>
          <w:rFonts w:ascii="仿宋_GB2312" w:eastAsia="仿宋_GB2312" w:cs="DengXian-Regular" w:hint="eastAsia"/>
          <w:sz w:val="32"/>
          <w:szCs w:val="32"/>
        </w:rPr>
        <w:t>987.08</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hint="eastAsia"/>
          <w:sz w:val="32"/>
          <w:szCs w:val="32"/>
        </w:rPr>
        <w:t>42.7</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w:t>
      </w:r>
      <w:r>
        <w:rPr>
          <w:rFonts w:ascii="仿宋_GB2312" w:eastAsia="仿宋_GB2312" w:cs="DengXian-Regular" w:hint="eastAsia"/>
          <w:sz w:val="32"/>
          <w:szCs w:val="32"/>
        </w:rPr>
        <w:t>会经费、福利费、公务用车运行维护费、其他交通费用、税金及附加费用、其他商品和服务支出、办公设备购置、专用设备购置、信息网络及软件购置更新、公务用车购置、其他资本性支出。</w:t>
      </w:r>
    </w:p>
    <w:p w:rsidR="00661907" w:rsidRDefault="000B580C">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五、一般公共预算“三公”</w:t>
      </w:r>
      <w:r>
        <w:rPr>
          <w:rFonts w:ascii="黑体" w:eastAsia="黑体" w:cs="Times New Roman" w:hint="eastAsia"/>
          <w:sz w:val="32"/>
          <w:szCs w:val="32"/>
        </w:rPr>
        <w:t xml:space="preserve"> </w:t>
      </w:r>
      <w:r>
        <w:rPr>
          <w:rFonts w:ascii="黑体" w:eastAsia="黑体" w:cs="Times New Roman" w:hint="eastAsia"/>
          <w:sz w:val="32"/>
          <w:szCs w:val="32"/>
        </w:rPr>
        <w:t>经费支出决算情况说明</w:t>
      </w:r>
    </w:p>
    <w:p w:rsidR="00661907" w:rsidRDefault="000B5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年度“三公”经费支出共计</w:t>
      </w:r>
      <w:r>
        <w:rPr>
          <w:rFonts w:ascii="仿宋_GB2312" w:eastAsia="仿宋_GB2312" w:cs="DengXian-Regular" w:hint="eastAsia"/>
          <w:sz w:val="32"/>
          <w:szCs w:val="32"/>
        </w:rPr>
        <w:t>1.68</w:t>
      </w:r>
      <w:r>
        <w:rPr>
          <w:rFonts w:ascii="仿宋_GB2312" w:eastAsia="仿宋_GB2312" w:cs="DengXian-Regular" w:hint="eastAsia"/>
          <w:sz w:val="32"/>
          <w:szCs w:val="32"/>
        </w:rPr>
        <w:t>万元，完成预算的</w:t>
      </w:r>
      <w:r>
        <w:rPr>
          <w:rFonts w:ascii="仿宋_GB2312" w:eastAsia="仿宋_GB2312" w:cs="DengXian-Regular" w:hint="eastAsia"/>
          <w:sz w:val="32"/>
          <w:szCs w:val="32"/>
        </w:rPr>
        <w:t>57.93%,</w:t>
      </w:r>
      <w:r>
        <w:rPr>
          <w:rFonts w:ascii="仿宋_GB2312" w:eastAsia="仿宋_GB2312" w:cs="DengXian-Regular" w:hint="eastAsia"/>
          <w:sz w:val="32"/>
          <w:szCs w:val="32"/>
        </w:rPr>
        <w:t>较预算减少</w:t>
      </w:r>
      <w:r>
        <w:rPr>
          <w:rFonts w:ascii="仿宋_GB2312" w:eastAsia="仿宋_GB2312" w:cs="DengXian-Regular" w:hint="eastAsia"/>
          <w:sz w:val="32"/>
          <w:szCs w:val="32"/>
        </w:rPr>
        <w:t>1.22</w:t>
      </w:r>
      <w:r>
        <w:rPr>
          <w:rFonts w:ascii="仿宋_GB2312" w:eastAsia="仿宋_GB2312" w:cs="DengXian-Regular" w:hint="eastAsia"/>
          <w:sz w:val="32"/>
          <w:szCs w:val="32"/>
        </w:rPr>
        <w:t>万元，降低</w:t>
      </w:r>
      <w:r>
        <w:rPr>
          <w:rFonts w:ascii="仿宋_GB2312" w:eastAsia="仿宋_GB2312" w:cs="DengXian-Regular" w:hint="eastAsia"/>
          <w:sz w:val="32"/>
          <w:szCs w:val="32"/>
        </w:rPr>
        <w:t>42.07%</w:t>
      </w:r>
      <w:r>
        <w:rPr>
          <w:rFonts w:ascii="仿宋_GB2312" w:eastAsia="仿宋_GB2312" w:cs="DengXian-Regular" w:hint="eastAsia"/>
          <w:sz w:val="32"/>
          <w:szCs w:val="32"/>
        </w:rPr>
        <w:t>，主要是公务用车年久失修，不能正常运行；较</w:t>
      </w:r>
      <w:r>
        <w:rPr>
          <w:rFonts w:ascii="仿宋_GB2312" w:eastAsia="仿宋_GB2312" w:cs="DengXian-Regular" w:hint="eastAsia"/>
          <w:sz w:val="32"/>
          <w:szCs w:val="32"/>
        </w:rPr>
        <w:t>2018</w:t>
      </w:r>
      <w:r>
        <w:rPr>
          <w:rFonts w:ascii="仿宋_GB2312" w:eastAsia="仿宋_GB2312" w:cs="DengXian-Regular" w:hint="eastAsia"/>
          <w:sz w:val="32"/>
          <w:szCs w:val="32"/>
        </w:rPr>
        <w:t>年度减少</w:t>
      </w:r>
      <w:r>
        <w:rPr>
          <w:rFonts w:ascii="仿宋_GB2312" w:eastAsia="仿宋_GB2312" w:cs="DengXian-Regular" w:hint="eastAsia"/>
          <w:sz w:val="32"/>
          <w:szCs w:val="32"/>
        </w:rPr>
        <w:t>1.12</w:t>
      </w:r>
      <w:r>
        <w:rPr>
          <w:rFonts w:ascii="仿宋_GB2312" w:eastAsia="仿宋_GB2312" w:cs="DengXian-Regular" w:hint="eastAsia"/>
          <w:sz w:val="32"/>
          <w:szCs w:val="32"/>
        </w:rPr>
        <w:t>万元，增降低</w:t>
      </w:r>
      <w:r>
        <w:rPr>
          <w:rFonts w:ascii="仿宋_GB2312" w:eastAsia="仿宋_GB2312" w:cs="DengXian-Regular" w:hint="eastAsia"/>
          <w:sz w:val="32"/>
          <w:szCs w:val="32"/>
        </w:rPr>
        <w:t>40%</w:t>
      </w:r>
      <w:r>
        <w:rPr>
          <w:rFonts w:ascii="仿宋_GB2312" w:eastAsia="仿宋_GB2312" w:cs="DengXian-Regular" w:hint="eastAsia"/>
          <w:sz w:val="32"/>
          <w:szCs w:val="32"/>
        </w:rPr>
        <w:t>，主要是公务用车年久失修，不能正常运行。具体情况如下：</w:t>
      </w:r>
    </w:p>
    <w:p w:rsidR="00661907" w:rsidRDefault="000B580C" w:rsidP="009A1155">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（一）因公出国（境）费支出</w:t>
      </w:r>
      <w:r>
        <w:rPr>
          <w:rFonts w:ascii="楷体_GB2312" w:eastAsia="楷体_GB2312" w:cs="DengXian-Bold" w:hint="eastAsia"/>
          <w:b/>
          <w:bCs/>
          <w:sz w:val="32"/>
          <w:szCs w:val="32"/>
        </w:rPr>
        <w:t>0</w:t>
      </w:r>
      <w:r>
        <w:rPr>
          <w:rFonts w:ascii="楷体_GB2312" w:eastAsia="楷体_GB2312" w:cs="DengXian-Bold" w:hint="eastAsia"/>
          <w:b/>
          <w:bCs/>
          <w:sz w:val="32"/>
          <w:szCs w:val="32"/>
        </w:rPr>
        <w:t>万元。</w:t>
      </w:r>
      <w:r>
        <w:rPr>
          <w:rFonts w:ascii="仿宋_GB2312" w:eastAsia="仿宋_GB2312" w:cs="DengXian-Regular" w:hint="eastAsia"/>
          <w:sz w:val="32"/>
          <w:szCs w:val="32"/>
        </w:rPr>
        <w:t>本部</w:t>
      </w:r>
      <w:r>
        <w:rPr>
          <w:rFonts w:ascii="仿宋_GB2312" w:eastAsia="仿宋_GB2312" w:cs="DengXian-Regular" w:hint="eastAsia"/>
          <w:sz w:val="32"/>
          <w:szCs w:val="32"/>
        </w:rPr>
        <w:t>门</w:t>
      </w:r>
      <w:r>
        <w:rPr>
          <w:rFonts w:ascii="仿宋_GB2312" w:eastAsia="仿宋_GB2312" w:cs="DengXian-Regular" w:hint="eastAsia"/>
          <w:sz w:val="32"/>
          <w:szCs w:val="32"/>
        </w:rPr>
        <w:t>2019</w:t>
      </w:r>
      <w:r>
        <w:rPr>
          <w:rFonts w:ascii="仿宋_GB2312" w:eastAsia="仿宋_GB2312" w:cs="DengXian-Regular" w:hint="eastAsia"/>
          <w:sz w:val="32"/>
          <w:szCs w:val="32"/>
        </w:rPr>
        <w:t>年度因</w:t>
      </w:r>
      <w:r>
        <w:rPr>
          <w:rFonts w:ascii="仿宋_GB2312" w:eastAsia="仿宋_GB2312" w:cs="DengXian-Regular" w:hint="eastAsia"/>
          <w:sz w:val="32"/>
          <w:szCs w:val="32"/>
        </w:rPr>
        <w:lastRenderedPageBreak/>
        <w:t>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人；参加其他单位组织的因公出国（境）团组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人；无本单位组织的出国（境）团组。因公出国（境）费支出较预算增加</w:t>
      </w:r>
      <w:r>
        <w:rPr>
          <w:rFonts w:ascii="仿宋_GB2312" w:eastAsia="仿宋_GB2312" w:cs="DengXian-Regular" w:hint="eastAsia"/>
          <w:sz w:val="32"/>
          <w:szCs w:val="32"/>
        </w:rPr>
        <w:t>0</w:t>
      </w:r>
      <w:r>
        <w:rPr>
          <w:rFonts w:ascii="仿宋_GB2312" w:eastAsia="仿宋_GB2312" w:cs="DengXian-Regular" w:hint="eastAsia"/>
          <w:sz w:val="32"/>
          <w:szCs w:val="32"/>
        </w:rPr>
        <w:t>万元，增长</w:t>
      </w:r>
      <w:r>
        <w:rPr>
          <w:rFonts w:ascii="仿宋_GB2312" w:eastAsia="仿宋_GB2312" w:cs="DengXian-Regular" w:hint="eastAsia"/>
          <w:sz w:val="32"/>
          <w:szCs w:val="32"/>
        </w:rPr>
        <w:t>0%,</w:t>
      </w:r>
      <w:r>
        <w:rPr>
          <w:rFonts w:ascii="仿宋_GB2312" w:eastAsia="仿宋_GB2312" w:cs="DengXian-Regular" w:hint="eastAsia"/>
          <w:color w:val="000000"/>
          <w:sz w:val="32"/>
          <w:szCs w:val="32"/>
        </w:rPr>
        <w:t>与年初预算持平</w:t>
      </w:r>
      <w:r>
        <w:rPr>
          <w:rFonts w:ascii="仿宋_GB2312" w:eastAsia="仿宋_GB2312" w:cs="DengXian-Regular" w:hint="eastAsia"/>
          <w:sz w:val="32"/>
          <w:szCs w:val="32"/>
        </w:rPr>
        <w:t>；较上年增加</w:t>
      </w:r>
      <w:r>
        <w:rPr>
          <w:rFonts w:ascii="仿宋_GB2312" w:eastAsia="仿宋_GB2312" w:cs="DengXian-Regular" w:hint="eastAsia"/>
          <w:sz w:val="32"/>
          <w:szCs w:val="32"/>
        </w:rPr>
        <w:t>0</w:t>
      </w:r>
      <w:r>
        <w:rPr>
          <w:rFonts w:ascii="仿宋_GB2312" w:eastAsia="仿宋_GB2312" w:cs="DengXian-Regular" w:hint="eastAsia"/>
          <w:sz w:val="32"/>
          <w:szCs w:val="32"/>
        </w:rPr>
        <w:t>万元，增长</w:t>
      </w:r>
      <w:r>
        <w:rPr>
          <w:rFonts w:ascii="仿宋_GB2312" w:eastAsia="仿宋_GB2312" w:cs="DengXian-Regular" w:hint="eastAsia"/>
          <w:sz w:val="32"/>
          <w:szCs w:val="32"/>
        </w:rPr>
        <w:t>0%,</w:t>
      </w:r>
      <w:r>
        <w:rPr>
          <w:rFonts w:ascii="仿宋_GB2312" w:eastAsia="仿宋_GB2312" w:cs="DengXian-Regular" w:hint="eastAsia"/>
          <w:color w:val="000000"/>
          <w:sz w:val="32"/>
          <w:szCs w:val="32"/>
        </w:rPr>
        <w:t>与</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年度决算支出持平</w:t>
      </w:r>
      <w:r>
        <w:rPr>
          <w:rFonts w:ascii="仿宋_GB2312" w:eastAsia="仿宋_GB2312" w:cs="DengXian-Regular" w:hint="eastAsia"/>
          <w:sz w:val="32"/>
          <w:szCs w:val="32"/>
        </w:rPr>
        <w:t>。</w:t>
      </w:r>
    </w:p>
    <w:p w:rsidR="00661907" w:rsidRDefault="000B580C" w:rsidP="009A1155">
      <w:pPr>
        <w:adjustRightInd w:val="0"/>
        <w:snapToGrid w:val="0"/>
        <w:spacing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（二）公务用车购置及运行维护费支出</w:t>
      </w:r>
      <w:r>
        <w:rPr>
          <w:rFonts w:ascii="楷体_GB2312" w:eastAsia="楷体_GB2312" w:cs="DengXian-Bold" w:hint="eastAsia"/>
          <w:b/>
          <w:bCs/>
          <w:sz w:val="32"/>
          <w:szCs w:val="32"/>
        </w:rPr>
        <w:t>1.68</w:t>
      </w:r>
      <w:r>
        <w:rPr>
          <w:rFonts w:ascii="楷体_GB2312" w:eastAsia="楷体_GB2312" w:cs="DengXian-Bold"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年度公务用车购置及运行维护费较预算减少</w:t>
      </w:r>
      <w:r>
        <w:rPr>
          <w:rFonts w:ascii="仿宋_GB2312" w:eastAsia="仿宋_GB2312" w:cs="DengXian-Regular" w:hint="eastAsia"/>
          <w:sz w:val="32"/>
          <w:szCs w:val="32"/>
        </w:rPr>
        <w:t>1.22</w:t>
      </w:r>
      <w:r>
        <w:rPr>
          <w:rFonts w:ascii="仿宋_GB2312" w:eastAsia="仿宋_GB2312" w:cs="DengXian-Regular" w:hint="eastAsia"/>
          <w:sz w:val="32"/>
          <w:szCs w:val="32"/>
        </w:rPr>
        <w:t>万元，降低</w:t>
      </w:r>
      <w:r>
        <w:rPr>
          <w:rFonts w:ascii="仿宋_GB2312" w:eastAsia="仿宋_GB2312" w:cs="DengXian-Regular" w:hint="eastAsia"/>
          <w:sz w:val="32"/>
          <w:szCs w:val="32"/>
        </w:rPr>
        <w:t>42.07%,</w:t>
      </w:r>
      <w:r>
        <w:rPr>
          <w:rFonts w:ascii="仿宋_GB2312" w:eastAsia="仿宋_GB2312" w:cs="DengXian-Regular" w:hint="eastAsia"/>
          <w:sz w:val="32"/>
          <w:szCs w:val="32"/>
        </w:rPr>
        <w:t>主要是公务用车年久失修，不能正常运行；较上年减少</w:t>
      </w:r>
      <w:r>
        <w:rPr>
          <w:rFonts w:ascii="仿宋_GB2312" w:eastAsia="仿宋_GB2312" w:cs="DengXian-Regular" w:hint="eastAsia"/>
          <w:sz w:val="32"/>
          <w:szCs w:val="32"/>
        </w:rPr>
        <w:t>1.12</w:t>
      </w:r>
      <w:r>
        <w:rPr>
          <w:rFonts w:ascii="仿宋_GB2312" w:eastAsia="仿宋_GB2312" w:cs="DengXian-Regular" w:hint="eastAsia"/>
          <w:sz w:val="32"/>
          <w:szCs w:val="32"/>
        </w:rPr>
        <w:t>万元，降低</w:t>
      </w:r>
      <w:r>
        <w:rPr>
          <w:rFonts w:ascii="仿宋_GB2312" w:eastAsia="仿宋_GB2312" w:cs="DengXian-Regular" w:hint="eastAsia"/>
          <w:sz w:val="32"/>
          <w:szCs w:val="32"/>
        </w:rPr>
        <w:t>40%,</w:t>
      </w:r>
      <w:r>
        <w:rPr>
          <w:rFonts w:ascii="仿宋_GB2312" w:eastAsia="仿宋_GB2312" w:cs="DengXian-Regular" w:hint="eastAsia"/>
          <w:sz w:val="32"/>
          <w:szCs w:val="32"/>
        </w:rPr>
        <w:t>主要是公务用车年久失修，不能正常运行。</w:t>
      </w:r>
      <w:r>
        <w:rPr>
          <w:rFonts w:ascii="仿宋_GB2312" w:eastAsia="仿宋_GB2312" w:cs="DengXian-Bold" w:hint="eastAsia"/>
          <w:b/>
          <w:bCs/>
          <w:sz w:val="32"/>
          <w:szCs w:val="32"/>
        </w:rPr>
        <w:t>其中：</w:t>
      </w:r>
    </w:p>
    <w:p w:rsidR="00661907" w:rsidRDefault="000B580C" w:rsidP="009A1155">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公务用车购置费：</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年度公务用车购置量</w:t>
      </w:r>
      <w:r>
        <w:rPr>
          <w:rFonts w:ascii="仿宋_GB2312" w:eastAsia="仿宋_GB2312" w:cs="DengXian-Regular" w:hint="eastAsia"/>
          <w:sz w:val="32"/>
          <w:szCs w:val="32"/>
        </w:rPr>
        <w:t>0</w:t>
      </w:r>
      <w:r>
        <w:rPr>
          <w:rFonts w:ascii="仿宋_GB2312" w:eastAsia="仿宋_GB2312" w:cs="DengXian-Regular" w:hint="eastAsia"/>
          <w:sz w:val="32"/>
          <w:szCs w:val="32"/>
        </w:rPr>
        <w:t>辆，发生“公务用车购置”经费支出</w:t>
      </w:r>
      <w:r>
        <w:rPr>
          <w:rFonts w:ascii="仿宋_GB2312" w:eastAsia="仿宋_GB2312" w:cs="DengXian-Regular" w:hint="eastAsia"/>
          <w:sz w:val="32"/>
          <w:szCs w:val="32"/>
        </w:rPr>
        <w:t>0</w:t>
      </w:r>
      <w:r>
        <w:rPr>
          <w:rFonts w:ascii="仿宋_GB2312" w:eastAsia="仿宋_GB2312" w:cs="DengXian-Regular" w:hint="eastAsia"/>
          <w:sz w:val="32"/>
          <w:szCs w:val="32"/>
        </w:rPr>
        <w:t>万元。公务用车购置费支出较预算增加</w:t>
      </w:r>
      <w:r>
        <w:rPr>
          <w:rFonts w:ascii="仿宋_GB2312" w:eastAsia="仿宋_GB2312" w:cs="DengXian-Regular" w:hint="eastAsia"/>
          <w:sz w:val="32"/>
          <w:szCs w:val="32"/>
        </w:rPr>
        <w:t>0</w:t>
      </w:r>
      <w:r>
        <w:rPr>
          <w:rFonts w:ascii="仿宋_GB2312" w:eastAsia="仿宋_GB2312" w:cs="DengXian-Regular" w:hint="eastAsia"/>
          <w:sz w:val="32"/>
          <w:szCs w:val="32"/>
        </w:rPr>
        <w:t>万元，增长</w:t>
      </w:r>
      <w:r>
        <w:rPr>
          <w:rFonts w:ascii="仿宋_GB2312" w:eastAsia="仿宋_GB2312" w:cs="DengXian-Regular" w:hint="eastAsia"/>
          <w:sz w:val="32"/>
          <w:szCs w:val="32"/>
        </w:rPr>
        <w:t>0%,</w:t>
      </w:r>
      <w:r>
        <w:rPr>
          <w:rFonts w:ascii="仿宋_GB2312" w:eastAsia="仿宋_GB2312" w:cs="DengXian-Regular" w:hint="eastAsia"/>
          <w:sz w:val="32"/>
          <w:szCs w:val="32"/>
        </w:rPr>
        <w:t>与年初预算持平；较上年增加</w:t>
      </w:r>
      <w:r>
        <w:rPr>
          <w:rFonts w:ascii="仿宋_GB2312" w:eastAsia="仿宋_GB2312" w:cs="DengXian-Regular" w:hint="eastAsia"/>
          <w:sz w:val="32"/>
          <w:szCs w:val="32"/>
        </w:rPr>
        <w:t>0</w:t>
      </w:r>
      <w:r>
        <w:rPr>
          <w:rFonts w:ascii="仿宋_GB2312" w:eastAsia="仿宋_GB2312" w:cs="DengXian-Regular" w:hint="eastAsia"/>
          <w:sz w:val="32"/>
          <w:szCs w:val="32"/>
        </w:rPr>
        <w:t>万元，增长</w:t>
      </w:r>
      <w:r>
        <w:rPr>
          <w:rFonts w:ascii="仿宋_GB2312" w:eastAsia="仿宋_GB2312" w:cs="DengXian-Regular" w:hint="eastAsia"/>
          <w:sz w:val="32"/>
          <w:szCs w:val="32"/>
        </w:rPr>
        <w:t>0%,</w:t>
      </w:r>
      <w:r>
        <w:rPr>
          <w:rFonts w:ascii="仿宋_GB2312" w:eastAsia="仿宋_GB2312" w:cs="DengXian-Regular" w:hint="eastAsia"/>
          <w:color w:val="000000"/>
          <w:sz w:val="32"/>
          <w:szCs w:val="32"/>
        </w:rPr>
        <w:t>与</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年度决算支出持平</w:t>
      </w:r>
      <w:r>
        <w:rPr>
          <w:rFonts w:ascii="仿宋_GB2312" w:eastAsia="仿宋_GB2312" w:cs="DengXian-Regular" w:hint="eastAsia"/>
          <w:sz w:val="32"/>
          <w:szCs w:val="32"/>
        </w:rPr>
        <w:t>。</w:t>
      </w:r>
    </w:p>
    <w:p w:rsidR="00661907" w:rsidRDefault="000B580C" w:rsidP="009A1155">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年度单位公务用车保有量</w:t>
      </w:r>
      <w:r>
        <w:rPr>
          <w:rFonts w:ascii="仿宋_GB2312" w:eastAsia="仿宋_GB2312" w:cs="DengXian-Regular" w:hint="eastAsia"/>
          <w:sz w:val="32"/>
          <w:szCs w:val="32"/>
        </w:rPr>
        <w:t>2</w:t>
      </w:r>
      <w:r>
        <w:rPr>
          <w:rFonts w:ascii="仿宋_GB2312" w:eastAsia="仿宋_GB2312" w:cs="DengXian-Regular" w:hint="eastAsia"/>
          <w:sz w:val="32"/>
          <w:szCs w:val="32"/>
        </w:rPr>
        <w:t>辆。公车运行维护费支出较预算减少</w:t>
      </w:r>
      <w:r>
        <w:rPr>
          <w:rFonts w:ascii="仿宋_GB2312" w:eastAsia="仿宋_GB2312" w:cs="DengXian-Regular" w:hint="eastAsia"/>
          <w:sz w:val="32"/>
          <w:szCs w:val="32"/>
        </w:rPr>
        <w:t>1.22</w:t>
      </w:r>
      <w:r>
        <w:rPr>
          <w:rFonts w:ascii="仿宋_GB2312" w:eastAsia="仿宋_GB2312" w:cs="DengXian-Regular" w:hint="eastAsia"/>
          <w:sz w:val="32"/>
          <w:szCs w:val="32"/>
        </w:rPr>
        <w:t>万元，降低</w:t>
      </w:r>
      <w:r>
        <w:rPr>
          <w:rFonts w:ascii="仿宋_GB2312" w:eastAsia="仿宋_GB2312" w:cs="DengXian-Regular" w:hint="eastAsia"/>
          <w:sz w:val="32"/>
          <w:szCs w:val="32"/>
        </w:rPr>
        <w:t>42.07%,</w:t>
      </w:r>
      <w:r>
        <w:rPr>
          <w:rFonts w:ascii="仿宋_GB2312" w:eastAsia="仿宋_GB2312" w:cs="DengXian-Regular" w:hint="eastAsia"/>
          <w:sz w:val="32"/>
          <w:szCs w:val="32"/>
        </w:rPr>
        <w:t>主要是公务用车年久失修，不能正常运行；较上年减少</w:t>
      </w:r>
      <w:r>
        <w:rPr>
          <w:rFonts w:ascii="仿宋_GB2312" w:eastAsia="仿宋_GB2312" w:cs="DengXian-Regular" w:hint="eastAsia"/>
          <w:sz w:val="32"/>
          <w:szCs w:val="32"/>
        </w:rPr>
        <w:t>1.12</w:t>
      </w:r>
      <w:r>
        <w:rPr>
          <w:rFonts w:ascii="仿宋_GB2312" w:eastAsia="仿宋_GB2312" w:cs="DengXian-Regular" w:hint="eastAsia"/>
          <w:sz w:val="32"/>
          <w:szCs w:val="32"/>
        </w:rPr>
        <w:t>万元，降低</w:t>
      </w:r>
      <w:r>
        <w:rPr>
          <w:rFonts w:ascii="仿宋_GB2312" w:eastAsia="仿宋_GB2312" w:cs="DengXian-Regular" w:hint="eastAsia"/>
          <w:sz w:val="32"/>
          <w:szCs w:val="32"/>
        </w:rPr>
        <w:t>40%</w:t>
      </w:r>
      <w:r>
        <w:rPr>
          <w:rFonts w:ascii="仿宋_GB2312" w:eastAsia="仿宋_GB2312" w:cs="DengXian-Regular" w:hint="eastAsia"/>
          <w:sz w:val="32"/>
          <w:szCs w:val="32"/>
        </w:rPr>
        <w:t>，主要是公务用车年久失修，不能正常运行。</w:t>
      </w:r>
    </w:p>
    <w:p w:rsidR="00661907" w:rsidRDefault="000B580C" w:rsidP="009A1155">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（三）公务接待费支出</w:t>
      </w:r>
      <w:r>
        <w:rPr>
          <w:rFonts w:ascii="楷体_GB2312" w:eastAsia="楷体_GB2312" w:cs="DengXian-Bold" w:hint="eastAsia"/>
          <w:b/>
          <w:bCs/>
          <w:sz w:val="32"/>
          <w:szCs w:val="32"/>
        </w:rPr>
        <w:t>0</w:t>
      </w:r>
      <w:r>
        <w:rPr>
          <w:rFonts w:ascii="楷体_GB2312" w:eastAsia="楷体_GB2312" w:cs="DengXian-Bold"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年度公务接待共</w:t>
      </w:r>
      <w:r>
        <w:rPr>
          <w:rFonts w:ascii="仿宋_GB2312" w:eastAsia="仿宋_GB2312" w:cs="DengXian-Regular" w:hint="eastAsia"/>
          <w:sz w:val="32"/>
          <w:szCs w:val="32"/>
        </w:rPr>
        <w:t>0</w:t>
      </w:r>
      <w:r>
        <w:rPr>
          <w:rFonts w:ascii="仿宋_GB2312" w:eastAsia="仿宋_GB2312" w:cs="DengXian-Regular" w:hint="eastAsia"/>
          <w:sz w:val="32"/>
          <w:szCs w:val="32"/>
        </w:rPr>
        <w:t>批次、</w:t>
      </w:r>
      <w:r>
        <w:rPr>
          <w:rFonts w:ascii="仿宋_GB2312" w:eastAsia="仿宋_GB2312" w:cs="DengXian-Regular" w:hint="eastAsia"/>
          <w:sz w:val="32"/>
          <w:szCs w:val="32"/>
        </w:rPr>
        <w:t>0</w:t>
      </w:r>
      <w:r>
        <w:rPr>
          <w:rFonts w:ascii="仿宋_GB2312" w:eastAsia="仿宋_GB2312" w:cs="DengXian-Regular" w:hint="eastAsia"/>
          <w:sz w:val="32"/>
          <w:szCs w:val="32"/>
        </w:rPr>
        <w:t>人次。公务接待费支出较预算减少</w:t>
      </w:r>
      <w:r>
        <w:rPr>
          <w:rFonts w:ascii="仿宋_GB2312" w:eastAsia="仿宋_GB2312" w:cs="DengXian-Regular" w:hint="eastAsia"/>
          <w:sz w:val="32"/>
          <w:szCs w:val="32"/>
        </w:rPr>
        <w:t>0</w:t>
      </w:r>
      <w:r>
        <w:rPr>
          <w:rFonts w:ascii="仿宋_GB2312" w:eastAsia="仿宋_GB2312" w:cs="DengXian-Regular" w:hint="eastAsia"/>
          <w:sz w:val="32"/>
          <w:szCs w:val="32"/>
        </w:rPr>
        <w:t>万元，降低</w:t>
      </w:r>
      <w:r>
        <w:rPr>
          <w:rFonts w:ascii="仿宋_GB2312" w:eastAsia="仿宋_GB2312" w:cs="DengXian-Regular" w:hint="eastAsia"/>
          <w:sz w:val="32"/>
          <w:szCs w:val="32"/>
        </w:rPr>
        <w:t>0%,</w:t>
      </w:r>
      <w:r>
        <w:rPr>
          <w:rFonts w:ascii="仿宋_GB2312" w:eastAsia="仿宋_GB2312" w:cs="DengXian-Regular" w:hint="eastAsia"/>
          <w:sz w:val="32"/>
          <w:szCs w:val="32"/>
        </w:rPr>
        <w:t>于年初与；较上年度减少</w:t>
      </w:r>
      <w:r>
        <w:rPr>
          <w:rFonts w:ascii="仿宋_GB2312" w:eastAsia="仿宋_GB2312" w:cs="DengXian-Regular" w:hint="eastAsia"/>
          <w:sz w:val="32"/>
          <w:szCs w:val="32"/>
        </w:rPr>
        <w:t>0</w:t>
      </w:r>
      <w:r>
        <w:rPr>
          <w:rFonts w:ascii="仿宋_GB2312" w:eastAsia="仿宋_GB2312" w:cs="DengXian-Regular" w:hint="eastAsia"/>
          <w:sz w:val="32"/>
          <w:szCs w:val="32"/>
        </w:rPr>
        <w:t>万元，降低</w:t>
      </w:r>
      <w:r>
        <w:rPr>
          <w:rFonts w:ascii="仿宋_GB2312" w:eastAsia="仿宋_GB2312" w:cs="DengXian-Regular" w:hint="eastAsia"/>
          <w:sz w:val="32"/>
          <w:szCs w:val="32"/>
        </w:rPr>
        <w:t>0%,</w:t>
      </w:r>
      <w:r>
        <w:rPr>
          <w:rFonts w:ascii="仿宋_GB2312" w:eastAsia="仿宋_GB2312" w:cs="DengXian-Regular" w:hint="eastAsia"/>
          <w:color w:val="000000"/>
          <w:sz w:val="32"/>
          <w:szCs w:val="32"/>
        </w:rPr>
        <w:t>与</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年度决算支出持平</w:t>
      </w:r>
      <w:r>
        <w:rPr>
          <w:rFonts w:ascii="仿宋_GB2312" w:eastAsia="仿宋_GB2312" w:cs="DengXian-Regular" w:hint="eastAsia"/>
          <w:sz w:val="32"/>
          <w:szCs w:val="32"/>
        </w:rPr>
        <w:t>。</w:t>
      </w:r>
    </w:p>
    <w:p w:rsidR="00661907" w:rsidRDefault="000B580C">
      <w:pPr>
        <w:adjustRightInd w:val="0"/>
        <w:snapToGrid w:val="0"/>
        <w:spacing w:line="580" w:lineRule="exact"/>
        <w:ind w:firstLineChars="200" w:firstLine="640"/>
        <w:rPr>
          <w:rFonts w:ascii="黑体" w:eastAsia="黑体" w:cs="Times New Roman"/>
          <w:sz w:val="32"/>
          <w:szCs w:val="40"/>
        </w:rPr>
      </w:pPr>
      <w:r>
        <w:rPr>
          <w:rFonts w:ascii="黑体" w:eastAsia="黑体" w:cs="Times New Roman" w:hint="eastAsia"/>
          <w:sz w:val="32"/>
          <w:szCs w:val="40"/>
        </w:rPr>
        <w:lastRenderedPageBreak/>
        <w:t>六、预算绩效情况说明</w:t>
      </w:r>
    </w:p>
    <w:p w:rsidR="00661907" w:rsidRDefault="000B580C" w:rsidP="009A1155">
      <w:pPr>
        <w:adjustRightInd w:val="0"/>
        <w:snapToGrid w:val="0"/>
        <w:spacing w:line="58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 xml:space="preserve">1. </w:t>
      </w:r>
      <w:r>
        <w:rPr>
          <w:rFonts w:ascii="仿宋_GB2312" w:eastAsia="仿宋_GB2312" w:cs="仿宋_GB2312" w:hint="eastAsia"/>
          <w:b/>
          <w:bCs/>
          <w:sz w:val="32"/>
          <w:szCs w:val="32"/>
        </w:rPr>
        <w:t>预算绩效管理工作开展情况。</w:t>
      </w:r>
    </w:p>
    <w:p w:rsidR="00661907" w:rsidRDefault="000B580C">
      <w:pPr>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根据预算绩效管理要求，本部门组织对</w:t>
      </w:r>
      <w:r>
        <w:rPr>
          <w:rFonts w:ascii="仿宋_GB2312" w:eastAsia="仿宋_GB2312" w:cs="仿宋_GB2312" w:hint="eastAsia"/>
          <w:sz w:val="32"/>
          <w:szCs w:val="32"/>
        </w:rPr>
        <w:t>2019</w:t>
      </w:r>
      <w:r>
        <w:rPr>
          <w:rFonts w:ascii="仿宋_GB2312" w:eastAsia="仿宋_GB2312" w:cs="仿宋_GB2312" w:hint="eastAsia"/>
          <w:sz w:val="32"/>
          <w:szCs w:val="32"/>
        </w:rPr>
        <w:t>年度一般公共预算项目支出全面开展绩效自评，其中，项目</w:t>
      </w:r>
      <w:r>
        <w:rPr>
          <w:rFonts w:ascii="仿宋_GB2312" w:eastAsia="仿宋_GB2312" w:cs="仿宋_GB2312" w:hint="eastAsia"/>
          <w:sz w:val="32"/>
          <w:szCs w:val="32"/>
        </w:rPr>
        <w:t>11</w:t>
      </w:r>
      <w:r>
        <w:rPr>
          <w:rFonts w:ascii="仿宋_GB2312" w:eastAsia="仿宋_GB2312" w:cs="仿宋_GB2312" w:hint="eastAsia"/>
          <w:sz w:val="32"/>
          <w:szCs w:val="32"/>
        </w:rPr>
        <w:t>个，共涉及资金</w:t>
      </w:r>
      <w:r>
        <w:rPr>
          <w:rFonts w:ascii="仿宋_GB2312" w:eastAsia="仿宋_GB2312" w:cs="仿宋_GB2312" w:hint="eastAsia"/>
          <w:sz w:val="32"/>
          <w:szCs w:val="32"/>
        </w:rPr>
        <w:t>670.25</w:t>
      </w:r>
      <w:r>
        <w:rPr>
          <w:rFonts w:ascii="仿宋_GB2312" w:eastAsia="仿宋_GB2312" w:cs="仿宋_GB2312" w:hint="eastAsia"/>
          <w:sz w:val="32"/>
          <w:szCs w:val="32"/>
        </w:rPr>
        <w:t>万元，占一般公共预算财政拨款项目支出总额的</w:t>
      </w:r>
      <w:r>
        <w:rPr>
          <w:rFonts w:ascii="仿宋_GB2312" w:eastAsia="仿宋_GB2312" w:cs="仿宋_GB2312" w:hint="eastAsia"/>
          <w:sz w:val="32"/>
          <w:szCs w:val="32"/>
        </w:rPr>
        <w:t>41.07%</w:t>
      </w:r>
      <w:r>
        <w:rPr>
          <w:rFonts w:ascii="仿宋_GB2312" w:eastAsia="仿宋_GB2312" w:cs="仿宋_GB2312" w:hint="eastAsia"/>
          <w:sz w:val="32"/>
          <w:szCs w:val="32"/>
        </w:rPr>
        <w:t>。从评价情况来看，个别项目存在评价资料不足、</w:t>
      </w:r>
      <w:r>
        <w:rPr>
          <w:rFonts w:ascii="仿宋_GB2312" w:eastAsia="仿宋_GB2312" w:hint="eastAsia"/>
          <w:sz w:val="32"/>
          <w:szCs w:val="32"/>
        </w:rPr>
        <w:t>绩效目标设定的不全面、不合理、项目绩效标准相对模糊，难以或无法进行准确评价等问题，但</w:t>
      </w:r>
      <w:r>
        <w:rPr>
          <w:rFonts w:ascii="仿宋_GB2312" w:eastAsia="仿宋_GB2312" w:cs="仿宋_GB2312" w:hint="eastAsia"/>
          <w:sz w:val="32"/>
          <w:szCs w:val="32"/>
        </w:rPr>
        <w:t>大部分项目基本达到预期设定的绩效目标及指标值，整体绩效评价结果较为良好。</w:t>
      </w:r>
    </w:p>
    <w:p w:rsidR="00661907" w:rsidRDefault="000B580C" w:rsidP="009A1155">
      <w:pPr>
        <w:adjustRightInd w:val="0"/>
        <w:snapToGrid w:val="0"/>
        <w:spacing w:line="580" w:lineRule="exact"/>
        <w:ind w:leftChars="200" w:left="420" w:firstLineChars="100" w:firstLine="321"/>
        <w:rPr>
          <w:rFonts w:ascii="仿宋_GB2312" w:eastAsia="仿宋_GB2312" w:cs="仿宋_GB2312"/>
          <w:b/>
          <w:bCs/>
          <w:sz w:val="32"/>
          <w:szCs w:val="32"/>
        </w:rPr>
      </w:pPr>
      <w:r>
        <w:rPr>
          <w:rFonts w:ascii="仿宋_GB2312" w:eastAsia="仿宋_GB2312" w:cs="仿宋_GB2312" w:hint="eastAsia"/>
          <w:b/>
          <w:bCs/>
          <w:sz w:val="32"/>
          <w:szCs w:val="32"/>
        </w:rPr>
        <w:t xml:space="preserve"> 2. </w:t>
      </w:r>
      <w:r>
        <w:rPr>
          <w:rFonts w:ascii="仿宋_GB2312" w:eastAsia="仿宋_GB2312" w:cs="仿宋_GB2312" w:hint="eastAsia"/>
          <w:b/>
          <w:bCs/>
          <w:sz w:val="32"/>
          <w:szCs w:val="32"/>
        </w:rPr>
        <w:t>部门决算中项目绩效自评结果。</w:t>
      </w:r>
    </w:p>
    <w:p w:rsidR="00661907" w:rsidRDefault="000B580C">
      <w:pPr>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本部门在今年部门决算公开中反映农村环境整治经费项目等</w:t>
      </w:r>
      <w:r>
        <w:rPr>
          <w:rFonts w:ascii="仿宋_GB2312" w:eastAsia="仿宋_GB2312" w:cs="仿宋_GB2312" w:hint="eastAsia"/>
          <w:sz w:val="32"/>
          <w:szCs w:val="32"/>
        </w:rPr>
        <w:t>3</w:t>
      </w:r>
      <w:r>
        <w:rPr>
          <w:rFonts w:ascii="仿宋_GB2312" w:eastAsia="仿宋_GB2312" w:cs="仿宋_GB2312" w:hint="eastAsia"/>
          <w:sz w:val="32"/>
          <w:szCs w:val="32"/>
        </w:rPr>
        <w:t>个项目绩效自评结果。</w:t>
      </w:r>
    </w:p>
    <w:p w:rsidR="00661907" w:rsidRDefault="000B580C">
      <w:pPr>
        <w:numPr>
          <w:ilvl w:val="0"/>
          <w:numId w:val="4"/>
        </w:numPr>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安监经费项目绩效自评综述：根据年初设定的绩效目标，安监经费项目绩效自评得分为</w:t>
      </w:r>
      <w:r>
        <w:rPr>
          <w:rFonts w:ascii="仿宋_GB2312" w:eastAsia="仿宋_GB2312" w:cs="仿宋_GB2312" w:hint="eastAsia"/>
          <w:sz w:val="32"/>
          <w:szCs w:val="32"/>
        </w:rPr>
        <w:t>100</w:t>
      </w:r>
      <w:r>
        <w:rPr>
          <w:rFonts w:ascii="仿宋_GB2312" w:eastAsia="仿宋_GB2312" w:cs="仿宋_GB2312" w:hint="eastAsia"/>
          <w:sz w:val="32"/>
          <w:szCs w:val="32"/>
        </w:rPr>
        <w:t>分（绩效自评表附后）。全年预算数为</w:t>
      </w:r>
      <w:r>
        <w:rPr>
          <w:rFonts w:ascii="仿宋_GB2312" w:eastAsia="仿宋_GB2312" w:cs="仿宋_GB2312" w:hint="eastAsia"/>
          <w:sz w:val="32"/>
          <w:szCs w:val="32"/>
        </w:rPr>
        <w:t>10</w:t>
      </w:r>
      <w:r>
        <w:rPr>
          <w:rFonts w:ascii="仿宋_GB2312" w:eastAsia="仿宋_GB2312" w:cs="仿宋_GB2312" w:hint="eastAsia"/>
          <w:sz w:val="32"/>
          <w:szCs w:val="32"/>
        </w:rPr>
        <w:t>万元，执行数为</w:t>
      </w:r>
      <w:r>
        <w:rPr>
          <w:rFonts w:ascii="仿宋_GB2312" w:eastAsia="仿宋_GB2312" w:cs="仿宋_GB2312" w:hint="eastAsia"/>
          <w:sz w:val="32"/>
          <w:szCs w:val="32"/>
        </w:rPr>
        <w:t>10</w:t>
      </w:r>
      <w:r>
        <w:rPr>
          <w:rFonts w:ascii="仿宋_GB2312" w:eastAsia="仿宋_GB2312" w:cs="仿宋_GB2312" w:hint="eastAsia"/>
          <w:sz w:val="32"/>
          <w:szCs w:val="32"/>
        </w:rPr>
        <w:t>万元，完成预算的</w:t>
      </w:r>
      <w:r>
        <w:rPr>
          <w:rFonts w:ascii="仿宋_GB2312" w:eastAsia="仿宋_GB2312" w:cs="仿宋_GB2312" w:hint="eastAsia"/>
          <w:sz w:val="32"/>
          <w:szCs w:val="32"/>
        </w:rPr>
        <w:t>100%</w:t>
      </w:r>
      <w:r>
        <w:rPr>
          <w:rFonts w:ascii="仿宋_GB2312" w:eastAsia="仿宋_GB2312" w:cs="仿宋_GB2312" w:hint="eastAsia"/>
          <w:sz w:val="32"/>
          <w:szCs w:val="32"/>
        </w:rPr>
        <w:t>。项目绩效目标完成情况：处理镇区出现的安全生产、食品药品等安全隐患，提高群众及企业安全生产意识，保证镇区内企业安全生产有效提升。发现的主要问题及原因：一是存在绩效指标设定不全面、不合理现象；二是部分绩效指标完成资料、依据不充分。下一步改进措施：一是完善项目相关评价资料及依据；二是新预算年度对类似项目预算绩效指标设定进行严格审核。</w:t>
      </w:r>
    </w:p>
    <w:p w:rsidR="00661907" w:rsidRDefault="000B580C">
      <w:pPr>
        <w:numPr>
          <w:ilvl w:val="0"/>
          <w:numId w:val="5"/>
        </w:numPr>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坑塘治理资金项目绩</w:t>
      </w:r>
      <w:r>
        <w:rPr>
          <w:rFonts w:ascii="仿宋_GB2312" w:eastAsia="仿宋_GB2312" w:cs="仿宋_GB2312" w:hint="eastAsia"/>
          <w:sz w:val="32"/>
          <w:szCs w:val="32"/>
        </w:rPr>
        <w:t>效自评综述：根据年初设定的绩效目标，坑塘治理资金项目绩效自评得分为</w:t>
      </w:r>
      <w:r>
        <w:rPr>
          <w:rFonts w:ascii="仿宋_GB2312" w:eastAsia="仿宋_GB2312" w:cs="仿宋_GB2312" w:hint="eastAsia"/>
          <w:sz w:val="32"/>
          <w:szCs w:val="32"/>
        </w:rPr>
        <w:t>100</w:t>
      </w:r>
      <w:r>
        <w:rPr>
          <w:rFonts w:ascii="仿宋_GB2312" w:eastAsia="仿宋_GB2312" w:cs="仿宋_GB2312" w:hint="eastAsia"/>
          <w:sz w:val="32"/>
          <w:szCs w:val="32"/>
        </w:rPr>
        <w:t>分（绩效自评表附后）。全年预算数为</w:t>
      </w:r>
      <w:r>
        <w:rPr>
          <w:rFonts w:ascii="仿宋_GB2312" w:eastAsia="仿宋_GB2312" w:cs="仿宋_GB2312" w:hint="eastAsia"/>
          <w:sz w:val="32"/>
          <w:szCs w:val="32"/>
        </w:rPr>
        <w:t>60</w:t>
      </w:r>
      <w:r>
        <w:rPr>
          <w:rFonts w:ascii="仿宋_GB2312" w:eastAsia="仿宋_GB2312" w:cs="仿宋_GB2312" w:hint="eastAsia"/>
          <w:sz w:val="32"/>
          <w:szCs w:val="32"/>
        </w:rPr>
        <w:t>万元，执行数为</w:t>
      </w:r>
      <w:r>
        <w:rPr>
          <w:rFonts w:ascii="仿宋_GB2312" w:eastAsia="仿宋_GB2312" w:cs="仿宋_GB2312" w:hint="eastAsia"/>
          <w:sz w:val="32"/>
          <w:szCs w:val="32"/>
        </w:rPr>
        <w:t>60</w:t>
      </w:r>
      <w:r>
        <w:rPr>
          <w:rFonts w:ascii="仿宋_GB2312" w:eastAsia="仿宋_GB2312" w:cs="仿宋_GB2312" w:hint="eastAsia"/>
          <w:sz w:val="32"/>
          <w:szCs w:val="32"/>
        </w:rPr>
        <w:t>万元，完成预算的</w:t>
      </w:r>
      <w:r>
        <w:rPr>
          <w:rFonts w:ascii="仿宋_GB2312" w:eastAsia="仿宋_GB2312" w:cs="仿宋_GB2312" w:hint="eastAsia"/>
          <w:sz w:val="32"/>
          <w:szCs w:val="32"/>
        </w:rPr>
        <w:t>100%</w:t>
      </w:r>
      <w:r>
        <w:rPr>
          <w:rFonts w:ascii="仿宋_GB2312" w:eastAsia="仿宋_GB2312" w:cs="仿宋_GB2312" w:hint="eastAsia"/>
          <w:sz w:val="32"/>
          <w:szCs w:val="32"/>
        </w:rPr>
        <w:t>。项目绩效目标完成情况：坑塘垃圾及时有效处理，坑塘环境明显改善，建立坑塘治理长效管理机制，实现群众满意的效果目标。发现的主要问题及原因：一是存在绩效指标设定不全面、不合理现象；二是部分绩效指标完成资料、依据不充分。下一步改进措施：一是完善项目相关评价资料及依据；二是新预算年度对类似项目预算绩效指标设定进行严格审核。</w:t>
      </w:r>
    </w:p>
    <w:p w:rsidR="00661907" w:rsidRDefault="000B580C">
      <w:pPr>
        <w:numPr>
          <w:ilvl w:val="0"/>
          <w:numId w:val="5"/>
        </w:numPr>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农村环境整治经费项目绩效自评综述：根据年初</w:t>
      </w:r>
      <w:r>
        <w:rPr>
          <w:rFonts w:ascii="仿宋_GB2312" w:eastAsia="仿宋_GB2312" w:cs="仿宋_GB2312" w:hint="eastAsia"/>
          <w:sz w:val="32"/>
          <w:szCs w:val="32"/>
        </w:rPr>
        <w:t>设定的绩效目标，农村环境整治经费项目绩效自评得分为</w:t>
      </w:r>
      <w:r>
        <w:rPr>
          <w:rFonts w:ascii="仿宋_GB2312" w:eastAsia="仿宋_GB2312" w:cs="仿宋_GB2312" w:hint="eastAsia"/>
          <w:sz w:val="32"/>
          <w:szCs w:val="32"/>
        </w:rPr>
        <w:t>100</w:t>
      </w:r>
      <w:r>
        <w:rPr>
          <w:rFonts w:ascii="仿宋_GB2312" w:eastAsia="仿宋_GB2312" w:cs="仿宋_GB2312" w:hint="eastAsia"/>
          <w:sz w:val="32"/>
          <w:szCs w:val="32"/>
        </w:rPr>
        <w:t>分（绩效自评表附后）。全年预算数为</w:t>
      </w:r>
      <w:r>
        <w:rPr>
          <w:rFonts w:ascii="仿宋_GB2312" w:eastAsia="仿宋_GB2312" w:cs="仿宋_GB2312" w:hint="eastAsia"/>
          <w:sz w:val="32"/>
          <w:szCs w:val="32"/>
        </w:rPr>
        <w:t>62</w:t>
      </w:r>
      <w:r>
        <w:rPr>
          <w:rFonts w:ascii="仿宋_GB2312" w:eastAsia="仿宋_GB2312" w:cs="仿宋_GB2312" w:hint="eastAsia"/>
          <w:sz w:val="32"/>
          <w:szCs w:val="32"/>
        </w:rPr>
        <w:t>万元，执行数为</w:t>
      </w:r>
      <w:r>
        <w:rPr>
          <w:rFonts w:ascii="仿宋_GB2312" w:eastAsia="仿宋_GB2312" w:cs="仿宋_GB2312" w:hint="eastAsia"/>
          <w:sz w:val="32"/>
          <w:szCs w:val="32"/>
        </w:rPr>
        <w:t>62</w:t>
      </w:r>
      <w:r>
        <w:rPr>
          <w:rFonts w:ascii="仿宋_GB2312" w:eastAsia="仿宋_GB2312" w:cs="仿宋_GB2312" w:hint="eastAsia"/>
          <w:sz w:val="32"/>
          <w:szCs w:val="32"/>
        </w:rPr>
        <w:t>万元，完成预算的</w:t>
      </w:r>
      <w:r>
        <w:rPr>
          <w:rFonts w:ascii="仿宋_GB2312" w:eastAsia="仿宋_GB2312" w:cs="仿宋_GB2312" w:hint="eastAsia"/>
          <w:sz w:val="32"/>
          <w:szCs w:val="32"/>
        </w:rPr>
        <w:t>100%</w:t>
      </w:r>
      <w:r>
        <w:rPr>
          <w:rFonts w:ascii="仿宋_GB2312" w:eastAsia="仿宋_GB2312" w:cs="仿宋_GB2312" w:hint="eastAsia"/>
          <w:sz w:val="32"/>
          <w:szCs w:val="32"/>
        </w:rPr>
        <w:t>。项目绩效目标完成情况：保持镇区环境卫生、整洁，提升群众提升群众自觉爱护环境的意识、提升群众生活质量。发现的主要问题及原因：一是存在绩效指标设定不全面、不合理现象；二是部分绩效指标完成资料、依据不充分。下一步改进措施：一是完善项目相关评价资料及依据；二是新预算年度对类似项目预算绩效指标设定进行严格审核。</w:t>
      </w:r>
    </w:p>
    <w:p w:rsidR="00661907" w:rsidRDefault="000B580C">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七、其他重要事项的说明</w:t>
      </w:r>
    </w:p>
    <w:p w:rsidR="00661907" w:rsidRDefault="000B580C" w:rsidP="009A1155">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（一）机关运行经费情况</w:t>
      </w:r>
    </w:p>
    <w:p w:rsidR="00661907" w:rsidRDefault="000B5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年度机关</w:t>
      </w:r>
      <w:r>
        <w:rPr>
          <w:rFonts w:ascii="仿宋_GB2312" w:eastAsia="仿宋_GB2312" w:cs="DengXian-Regular" w:hint="eastAsia"/>
          <w:sz w:val="32"/>
          <w:szCs w:val="32"/>
        </w:rPr>
        <w:t>运行经费支出</w:t>
      </w:r>
      <w:r>
        <w:rPr>
          <w:rFonts w:ascii="仿宋_GB2312" w:eastAsia="仿宋_GB2312" w:cs="DengXian-Regular" w:hint="eastAsia"/>
          <w:sz w:val="32"/>
          <w:szCs w:val="32"/>
        </w:rPr>
        <w:t>42.7</w:t>
      </w:r>
      <w:r>
        <w:rPr>
          <w:rFonts w:ascii="仿宋_GB2312" w:eastAsia="仿宋_GB2312" w:cs="DengXian-Regular" w:hint="eastAsia"/>
          <w:sz w:val="32"/>
          <w:szCs w:val="32"/>
        </w:rPr>
        <w:t>万元，比</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lastRenderedPageBreak/>
        <w:t>度减少</w:t>
      </w:r>
      <w:r>
        <w:rPr>
          <w:rFonts w:ascii="仿宋_GB2312" w:eastAsia="仿宋_GB2312" w:cs="DengXian-Regular" w:hint="eastAsia"/>
          <w:sz w:val="32"/>
          <w:szCs w:val="32"/>
        </w:rPr>
        <w:t>22.26</w:t>
      </w:r>
      <w:r>
        <w:rPr>
          <w:rFonts w:ascii="仿宋_GB2312" w:eastAsia="仿宋_GB2312" w:cs="DengXian-Regular" w:hint="eastAsia"/>
          <w:sz w:val="32"/>
          <w:szCs w:val="32"/>
        </w:rPr>
        <w:t>万元，降低</w:t>
      </w:r>
      <w:r>
        <w:rPr>
          <w:rFonts w:ascii="仿宋_GB2312" w:eastAsia="仿宋_GB2312" w:cs="DengXian-Regular" w:hint="eastAsia"/>
          <w:sz w:val="32"/>
          <w:szCs w:val="32"/>
        </w:rPr>
        <w:t>34.27%</w:t>
      </w:r>
      <w:r>
        <w:rPr>
          <w:rFonts w:ascii="仿宋_GB2312" w:eastAsia="仿宋_GB2312" w:cs="DengXian-Regular" w:hint="eastAsia"/>
          <w:sz w:val="32"/>
          <w:szCs w:val="32"/>
        </w:rPr>
        <w:t>。主要原因是</w:t>
      </w:r>
      <w:r>
        <w:rPr>
          <w:rFonts w:ascii="仿宋" w:eastAsia="仿宋" w:hint="eastAsia"/>
          <w:sz w:val="32"/>
          <w:szCs w:val="32"/>
        </w:rPr>
        <w:t>我单位厉行节约，严格控制办公经费支出。</w:t>
      </w:r>
    </w:p>
    <w:p w:rsidR="00661907" w:rsidRDefault="000B580C" w:rsidP="009A1155">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（二）政府采购情况</w:t>
      </w:r>
    </w:p>
    <w:p w:rsidR="00661907" w:rsidRDefault="000B580C">
      <w:pPr>
        <w:snapToGrid w:val="0"/>
        <w:spacing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246</w:t>
      </w:r>
      <w:r>
        <w:rPr>
          <w:rFonts w:ascii="仿宋_GB2312" w:eastAsia="仿宋_GB2312" w:cs="DengXian-Regular" w:hint="eastAsia"/>
          <w:sz w:val="32"/>
          <w:szCs w:val="32"/>
        </w:rPr>
        <w:t>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246</w:t>
      </w:r>
      <w:r>
        <w:rPr>
          <w:rFonts w:ascii="仿宋_GB2312" w:eastAsia="仿宋_GB2312" w:cs="仿宋_GB2312"/>
          <w:color w:val="000000"/>
          <w:kern w:val="0"/>
          <w:sz w:val="32"/>
          <w:szCs w:val="32"/>
        </w:rPr>
        <w:t xml:space="preserve"> </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万元、政府采购服务支出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246</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100%</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其中授予小微企业合同金额</w:t>
      </w:r>
      <w:r>
        <w:rPr>
          <w:rFonts w:ascii="仿宋_GB2312" w:eastAsia="仿宋_GB2312" w:cs="仿宋_GB2312" w:hint="eastAsia"/>
          <w:color w:val="000000"/>
          <w:kern w:val="0"/>
          <w:sz w:val="32"/>
          <w:szCs w:val="32"/>
        </w:rPr>
        <w:t>246</w:t>
      </w:r>
      <w:r>
        <w:rPr>
          <w:rFonts w:ascii="仿宋_GB2312" w:eastAsia="仿宋_GB2312" w:cs="仿宋_GB2312"/>
          <w:color w:val="000000"/>
          <w:kern w:val="0"/>
          <w:sz w:val="32"/>
          <w:szCs w:val="32"/>
        </w:rPr>
        <w:t>万元，占政府采购支出总额的</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100</w:t>
      </w:r>
      <w:r>
        <w:rPr>
          <w:rFonts w:ascii="仿宋_GB2312" w:eastAsia="仿宋_GB2312" w:cs="仿宋_GB2312"/>
          <w:color w:val="000000"/>
          <w:kern w:val="0"/>
          <w:sz w:val="32"/>
          <w:szCs w:val="32"/>
        </w:rPr>
        <w:t>%</w:t>
      </w:r>
      <w:r>
        <w:rPr>
          <w:rFonts w:ascii="仿宋_GB2312" w:eastAsia="仿宋_GB2312" w:cs="仿宋_GB2312"/>
          <w:color w:val="000000"/>
          <w:kern w:val="0"/>
          <w:sz w:val="32"/>
          <w:szCs w:val="32"/>
        </w:rPr>
        <w:t>。</w:t>
      </w:r>
    </w:p>
    <w:p w:rsidR="00661907" w:rsidRDefault="000B580C" w:rsidP="009A1155">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（三）国有资产占用情况</w:t>
      </w:r>
    </w:p>
    <w:p w:rsidR="00661907" w:rsidRDefault="000B5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2019</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2</w:t>
      </w:r>
      <w:r>
        <w:rPr>
          <w:rFonts w:ascii="仿宋_GB2312" w:eastAsia="仿宋_GB2312" w:cs="DengXian-Regular" w:hint="eastAsia"/>
          <w:sz w:val="32"/>
          <w:szCs w:val="32"/>
        </w:rPr>
        <w:t>辆，比上年无增减变化。其中，副部（省）级及以上领导用车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Pr>
          <w:rFonts w:ascii="仿宋_GB2312" w:eastAsia="仿宋_GB2312" w:cs="DengXian-Regular" w:hint="eastAsia"/>
          <w:sz w:val="32"/>
          <w:szCs w:val="32"/>
        </w:rPr>
        <w:t>2</w:t>
      </w:r>
      <w:r>
        <w:rPr>
          <w:rFonts w:ascii="仿宋_GB2312" w:eastAsia="仿宋_GB2312" w:cs="DengXian-Regular" w:hint="eastAsia"/>
          <w:sz w:val="32"/>
          <w:szCs w:val="32"/>
        </w:rPr>
        <w:t>辆，应急保障用车</w:t>
      </w:r>
      <w:r>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w:t>
      </w:r>
      <w:r>
        <w:rPr>
          <w:rFonts w:ascii="仿宋_GB2312" w:eastAsia="仿宋_GB2312" w:cs="DengXian-Regular" w:hint="eastAsia"/>
          <w:sz w:val="32"/>
          <w:szCs w:val="32"/>
        </w:rPr>
        <w:t>0</w:t>
      </w:r>
      <w:r>
        <w:rPr>
          <w:rFonts w:ascii="仿宋_GB2312" w:eastAsia="仿宋_GB2312" w:cs="DengXian-Regular" w:hint="eastAsia"/>
          <w:sz w:val="32"/>
          <w:szCs w:val="32"/>
        </w:rPr>
        <w:t>辆，无其他用车；</w:t>
      </w:r>
    </w:p>
    <w:p w:rsidR="00661907" w:rsidRDefault="000B580C">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台（套），比上年无增减变化，单位价值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台（套），比上年无增减变化。</w:t>
      </w:r>
    </w:p>
    <w:p w:rsidR="00661907" w:rsidRDefault="000B580C" w:rsidP="009A1155">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（四）其他需要说明的情况</w:t>
      </w:r>
    </w:p>
    <w:p w:rsidR="00661907" w:rsidRDefault="000B5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1. </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年度国有资本经营预算财政拨款无收支及结转结余情况，故国有资本经营预算财政拨款支出决算表以空表列示</w:t>
      </w:r>
      <w:r>
        <w:rPr>
          <w:rFonts w:ascii="仿宋_GB2312" w:eastAsia="仿宋_GB2312" w:cs="DengXian-Regular" w:hint="eastAsia"/>
          <w:sz w:val="32"/>
          <w:szCs w:val="32"/>
        </w:rPr>
        <w:t>。</w:t>
      </w:r>
    </w:p>
    <w:p w:rsidR="00661907" w:rsidRDefault="000B580C">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 xml:space="preserve">2. </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661907" w:rsidRDefault="00661907" w:rsidP="009A1155">
      <w:pPr>
        <w:widowControl/>
        <w:spacing w:line="580" w:lineRule="exact"/>
        <w:ind w:firstLineChars="200" w:firstLine="883"/>
        <w:jc w:val="left"/>
        <w:rPr>
          <w:rFonts w:ascii="宋体" w:eastAsia="宋体" w:cs="MS-UIGothic,Bold"/>
          <w:b/>
          <w:bCs/>
          <w:kern w:val="0"/>
          <w:sz w:val="44"/>
          <w:szCs w:val="44"/>
        </w:rPr>
        <w:sectPr w:rsidR="00661907">
          <w:type w:val="continuous"/>
          <w:pgSz w:w="11906" w:h="16838"/>
          <w:pgMar w:top="2098" w:right="1474" w:bottom="1984" w:left="1588" w:header="851" w:footer="992" w:gutter="0"/>
          <w:pgNumType w:fmt="numberInDash"/>
          <w:cols w:space="720"/>
          <w:docGrid w:type="lines" w:linePitch="312"/>
        </w:sectPr>
      </w:pPr>
    </w:p>
    <w:p w:rsidR="00661907" w:rsidRDefault="00661907">
      <w:pPr>
        <w:jc w:val="center"/>
        <w:rPr>
          <w:rFonts w:ascii="黑体" w:eastAsia="黑体" w:cs="黑体"/>
          <w:sz w:val="56"/>
          <w:szCs w:val="72"/>
        </w:rPr>
      </w:pPr>
    </w:p>
    <w:p w:rsidR="00661907" w:rsidRDefault="00661907">
      <w:pPr>
        <w:jc w:val="center"/>
        <w:rPr>
          <w:rFonts w:ascii="黑体" w:eastAsia="黑体" w:cs="黑体"/>
          <w:sz w:val="56"/>
          <w:szCs w:val="72"/>
        </w:rPr>
        <w:sectPr w:rsidR="00661907">
          <w:type w:val="continuous"/>
          <w:pgSz w:w="11906" w:h="16838"/>
          <w:pgMar w:top="2041" w:right="1531" w:bottom="2041" w:left="1531" w:header="851" w:footer="992" w:gutter="0"/>
          <w:pgNumType w:fmt="numberInDash"/>
          <w:cols w:space="720"/>
          <w:titlePg/>
          <w:docGrid w:type="lines" w:linePitch="312"/>
        </w:sectPr>
      </w:pPr>
    </w:p>
    <w:p w:rsidR="00661907" w:rsidRDefault="000B580C">
      <w:pPr>
        <w:rPr>
          <w:rFonts w:ascii="黑体" w:eastAsia="黑体" w:cs="黑体"/>
          <w:sz w:val="56"/>
          <w:szCs w:val="72"/>
        </w:rPr>
        <w:sectPr w:rsidR="00661907">
          <w:headerReference w:type="default" r:id="rId24"/>
          <w:footerReference w:type="default" r:id="rId25"/>
          <w:headerReference w:type="first" r:id="rId26"/>
          <w:footerReference w:type="first" r:id="rId27"/>
          <w:type w:val="continuous"/>
          <w:pgSz w:w="11906" w:h="16838"/>
          <w:pgMar w:top="2041" w:right="1531" w:bottom="2041" w:left="1531" w:header="851" w:footer="992" w:gutter="0"/>
          <w:pgNumType w:fmt="numberInDash"/>
          <w:cols w:space="720"/>
          <w:titlePg/>
          <w:docGrid w:type="lines" w:linePitch="312"/>
        </w:sectPr>
      </w:pPr>
      <w:r>
        <w:rPr>
          <w:rFonts w:ascii="黑体" w:eastAsia="黑体" w:cs="黑体"/>
          <w:sz w:val="56"/>
          <w:szCs w:val="72"/>
        </w:rPr>
        <w:lastRenderedPageBreak/>
        <w:br w:type="page"/>
      </w:r>
    </w:p>
    <w:tbl>
      <w:tblPr>
        <w:tblW w:w="8715" w:type="dxa"/>
        <w:tblInd w:w="15" w:type="dxa"/>
        <w:tblLayout w:type="fixed"/>
        <w:tblCellMar>
          <w:left w:w="0" w:type="dxa"/>
          <w:right w:w="0" w:type="dxa"/>
        </w:tblCellMar>
        <w:tblLook w:val="0000"/>
      </w:tblPr>
      <w:tblGrid>
        <w:gridCol w:w="575"/>
        <w:gridCol w:w="616"/>
        <w:gridCol w:w="63"/>
        <w:gridCol w:w="1114"/>
        <w:gridCol w:w="698"/>
        <w:gridCol w:w="1114"/>
        <w:gridCol w:w="124"/>
        <w:gridCol w:w="1005"/>
        <w:gridCol w:w="911"/>
        <w:gridCol w:w="193"/>
        <w:gridCol w:w="330"/>
        <w:gridCol w:w="427"/>
        <w:gridCol w:w="59"/>
        <w:gridCol w:w="822"/>
        <w:gridCol w:w="638"/>
        <w:gridCol w:w="26"/>
      </w:tblGrid>
      <w:tr w:rsidR="00661907">
        <w:trPr>
          <w:gridAfter w:val="1"/>
          <w:wAfter w:w="26" w:type="dxa"/>
          <w:trHeight w:val="383"/>
        </w:trPr>
        <w:tc>
          <w:tcPr>
            <w:tcW w:w="8689" w:type="dxa"/>
            <w:gridSpan w:val="15"/>
            <w:tcMar>
              <w:top w:w="15" w:type="dxa"/>
              <w:left w:w="15" w:type="dxa"/>
              <w:right w:w="15" w:type="dxa"/>
            </w:tcMar>
            <w:vAlign w:val="center"/>
          </w:tcPr>
          <w:p w:rsidR="00661907" w:rsidRDefault="000B580C">
            <w:pPr>
              <w:widowControl/>
              <w:jc w:val="center"/>
              <w:textAlignment w:val="center"/>
              <w:rPr>
                <w:rFonts w:ascii="仿宋" w:eastAsia="仿宋"/>
                <w:color w:val="000000"/>
                <w:sz w:val="22"/>
              </w:rPr>
            </w:pPr>
            <w:r>
              <w:rPr>
                <w:rFonts w:ascii="仿宋" w:eastAsia="仿宋" w:hint="eastAsia"/>
                <w:kern w:val="0"/>
                <w:sz w:val="22"/>
              </w:rPr>
              <w:lastRenderedPageBreak/>
              <w:t>项目支出绩效自评表</w:t>
            </w:r>
          </w:p>
        </w:tc>
      </w:tr>
      <w:tr w:rsidR="00661907">
        <w:trPr>
          <w:trHeight w:val="352"/>
        </w:trPr>
        <w:tc>
          <w:tcPr>
            <w:tcW w:w="8715" w:type="dxa"/>
            <w:gridSpan w:val="16"/>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r>
              <w:rPr>
                <w:rFonts w:ascii="仿宋" w:eastAsia="仿宋" w:hint="eastAsia"/>
                <w:kern w:val="0"/>
                <w:sz w:val="22"/>
              </w:rPr>
              <w:t>2019</w:t>
            </w:r>
            <w:r>
              <w:rPr>
                <w:rFonts w:ascii="仿宋" w:eastAsia="仿宋" w:hint="eastAsia"/>
                <w:kern w:val="0"/>
                <w:sz w:val="22"/>
              </w:rPr>
              <w:t>年度）</w:t>
            </w:r>
          </w:p>
        </w:tc>
      </w:tr>
      <w:tr w:rsidR="00661907">
        <w:trPr>
          <w:trHeight w:val="369"/>
        </w:trPr>
        <w:tc>
          <w:tcPr>
            <w:tcW w:w="1254" w:type="dxa"/>
            <w:gridSpan w:val="3"/>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项目名称</w:t>
            </w:r>
          </w:p>
        </w:tc>
        <w:tc>
          <w:tcPr>
            <w:tcW w:w="7461" w:type="dxa"/>
            <w:gridSpan w:val="1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安监经费</w:t>
            </w:r>
          </w:p>
        </w:tc>
      </w:tr>
      <w:tr w:rsidR="00661907">
        <w:trPr>
          <w:trHeight w:val="340"/>
        </w:trPr>
        <w:tc>
          <w:tcPr>
            <w:tcW w:w="1254" w:type="dxa"/>
            <w:gridSpan w:val="3"/>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主管部门</w:t>
            </w:r>
          </w:p>
        </w:tc>
        <w:tc>
          <w:tcPr>
            <w:tcW w:w="4055" w:type="dxa"/>
            <w:gridSpan w:val="5"/>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旺村镇人民政府</w:t>
            </w:r>
          </w:p>
        </w:tc>
        <w:tc>
          <w:tcPr>
            <w:tcW w:w="110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实施单位</w:t>
            </w:r>
          </w:p>
        </w:tc>
        <w:tc>
          <w:tcPr>
            <w:tcW w:w="2302" w:type="dxa"/>
            <w:gridSpan w:val="6"/>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旺村镇人民政府</w:t>
            </w:r>
          </w:p>
        </w:tc>
      </w:tr>
      <w:tr w:rsidR="00661907">
        <w:trPr>
          <w:trHeight w:val="636"/>
        </w:trPr>
        <w:tc>
          <w:tcPr>
            <w:tcW w:w="1254" w:type="dxa"/>
            <w:gridSpan w:val="3"/>
            <w:vMerge w:val="restart"/>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项目资金</w:t>
            </w:r>
            <w:r>
              <w:rPr>
                <w:rFonts w:ascii="仿宋" w:eastAsia="仿宋" w:hint="eastAsia"/>
                <w:kern w:val="0"/>
                <w:sz w:val="22"/>
              </w:rPr>
              <w:br/>
            </w:r>
            <w:r>
              <w:rPr>
                <w:rFonts w:ascii="仿宋" w:eastAsia="仿宋" w:hint="eastAsia"/>
                <w:kern w:val="0"/>
                <w:sz w:val="22"/>
              </w:rPr>
              <w:t>（万元）</w:t>
            </w:r>
          </w:p>
        </w:tc>
        <w:tc>
          <w:tcPr>
            <w:tcW w:w="1812" w:type="dxa"/>
            <w:gridSpan w:val="2"/>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14"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年初</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预算数</w:t>
            </w:r>
          </w:p>
        </w:tc>
        <w:tc>
          <w:tcPr>
            <w:tcW w:w="1129"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全年</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预算数</w:t>
            </w:r>
          </w:p>
        </w:tc>
        <w:tc>
          <w:tcPr>
            <w:tcW w:w="110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全年</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执行数</w:t>
            </w: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分值</w:t>
            </w:r>
          </w:p>
        </w:tc>
        <w:tc>
          <w:tcPr>
            <w:tcW w:w="881"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执行率</w:t>
            </w: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得分</w:t>
            </w:r>
          </w:p>
        </w:tc>
      </w:tr>
      <w:tr w:rsidR="00661907">
        <w:trPr>
          <w:trHeight w:val="393"/>
        </w:trPr>
        <w:tc>
          <w:tcPr>
            <w:tcW w:w="1254" w:type="dxa"/>
            <w:gridSpan w:val="3"/>
            <w:vMerge/>
            <w:tcBorders>
              <w:top w:val="single" w:sz="4" w:space="0" w:color="auto"/>
              <w:left w:val="single" w:sz="4" w:space="0" w:color="auto"/>
              <w:bottom w:val="single" w:sz="4" w:space="0" w:color="auto"/>
              <w:right w:val="single" w:sz="4" w:space="0" w:color="auto"/>
            </w:tcBorders>
            <w:vAlign w:val="center"/>
          </w:tcPr>
          <w:p w:rsidR="00661907" w:rsidRDefault="00661907"/>
        </w:tc>
        <w:tc>
          <w:tcPr>
            <w:tcW w:w="1812"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rPr>
                <w:rFonts w:ascii="仿宋" w:eastAsia="仿宋"/>
                <w:kern w:val="0"/>
                <w:sz w:val="22"/>
              </w:rPr>
            </w:pPr>
            <w:r>
              <w:rPr>
                <w:rFonts w:ascii="仿宋" w:eastAsia="仿宋" w:hint="eastAsia"/>
                <w:kern w:val="0"/>
                <w:sz w:val="22"/>
              </w:rPr>
              <w:t>年度资金总额</w:t>
            </w:r>
          </w:p>
        </w:tc>
        <w:tc>
          <w:tcPr>
            <w:tcW w:w="1114"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129"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10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881"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100%</w:t>
            </w: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r>
      <w:tr w:rsidR="00661907">
        <w:trPr>
          <w:trHeight w:val="340"/>
        </w:trPr>
        <w:tc>
          <w:tcPr>
            <w:tcW w:w="1254" w:type="dxa"/>
            <w:gridSpan w:val="3"/>
            <w:vMerge/>
            <w:tcBorders>
              <w:top w:val="single" w:sz="4" w:space="0" w:color="auto"/>
              <w:left w:val="single" w:sz="4" w:space="0" w:color="auto"/>
              <w:bottom w:val="single" w:sz="4" w:space="0" w:color="auto"/>
              <w:right w:val="single" w:sz="4" w:space="0" w:color="auto"/>
            </w:tcBorders>
            <w:vAlign w:val="center"/>
          </w:tcPr>
          <w:p w:rsidR="00661907" w:rsidRDefault="00661907"/>
        </w:tc>
        <w:tc>
          <w:tcPr>
            <w:tcW w:w="1812"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left"/>
              <w:rPr>
                <w:rFonts w:ascii="仿宋" w:eastAsia="仿宋"/>
                <w:kern w:val="0"/>
                <w:sz w:val="22"/>
              </w:rPr>
            </w:pPr>
            <w:r>
              <w:rPr>
                <w:rFonts w:ascii="仿宋" w:eastAsia="仿宋" w:hint="eastAsia"/>
                <w:kern w:val="0"/>
                <w:sz w:val="22"/>
              </w:rPr>
              <w:t>其中：当年财政拨款</w:t>
            </w:r>
          </w:p>
        </w:tc>
        <w:tc>
          <w:tcPr>
            <w:tcW w:w="1114"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29"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04"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c>
          <w:tcPr>
            <w:tcW w:w="881" w:type="dxa"/>
            <w:gridSpan w:val="2"/>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r>
      <w:tr w:rsidR="00661907">
        <w:trPr>
          <w:trHeight w:val="340"/>
        </w:trPr>
        <w:tc>
          <w:tcPr>
            <w:tcW w:w="1254" w:type="dxa"/>
            <w:gridSpan w:val="3"/>
            <w:vMerge/>
            <w:tcBorders>
              <w:top w:val="single" w:sz="4" w:space="0" w:color="auto"/>
              <w:left w:val="single" w:sz="4" w:space="0" w:color="auto"/>
              <w:bottom w:val="single" w:sz="4" w:space="0" w:color="auto"/>
              <w:right w:val="single" w:sz="4" w:space="0" w:color="auto"/>
            </w:tcBorders>
            <w:vAlign w:val="center"/>
          </w:tcPr>
          <w:p w:rsidR="00661907" w:rsidRDefault="00661907"/>
        </w:tc>
        <w:tc>
          <w:tcPr>
            <w:tcW w:w="1812"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left"/>
              <w:rPr>
                <w:rFonts w:ascii="仿宋" w:eastAsia="仿宋"/>
                <w:kern w:val="0"/>
                <w:sz w:val="22"/>
              </w:rPr>
            </w:pPr>
            <w:r>
              <w:rPr>
                <w:rFonts w:ascii="仿宋" w:eastAsia="仿宋" w:hint="eastAsia"/>
                <w:kern w:val="0"/>
                <w:sz w:val="22"/>
              </w:rPr>
              <w:t xml:space="preserve">      </w:t>
            </w:r>
            <w:r>
              <w:rPr>
                <w:rFonts w:ascii="仿宋" w:eastAsia="仿宋" w:hint="eastAsia"/>
                <w:kern w:val="0"/>
                <w:sz w:val="22"/>
              </w:rPr>
              <w:t>上年结转资金</w:t>
            </w:r>
          </w:p>
        </w:tc>
        <w:tc>
          <w:tcPr>
            <w:tcW w:w="1114"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29"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04"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c>
          <w:tcPr>
            <w:tcW w:w="881" w:type="dxa"/>
            <w:gridSpan w:val="2"/>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r>
      <w:tr w:rsidR="00661907">
        <w:trPr>
          <w:trHeight w:val="340"/>
        </w:trPr>
        <w:tc>
          <w:tcPr>
            <w:tcW w:w="1254" w:type="dxa"/>
            <w:gridSpan w:val="3"/>
            <w:vMerge/>
            <w:tcBorders>
              <w:top w:val="single" w:sz="4" w:space="0" w:color="auto"/>
              <w:left w:val="single" w:sz="4" w:space="0" w:color="auto"/>
              <w:bottom w:val="single" w:sz="4" w:space="0" w:color="auto"/>
              <w:right w:val="single" w:sz="4" w:space="0" w:color="auto"/>
            </w:tcBorders>
            <w:vAlign w:val="center"/>
          </w:tcPr>
          <w:p w:rsidR="00661907" w:rsidRDefault="00661907"/>
        </w:tc>
        <w:tc>
          <w:tcPr>
            <w:tcW w:w="1812"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 xml:space="preserve">  </w:t>
            </w:r>
            <w:r>
              <w:rPr>
                <w:rFonts w:ascii="仿宋" w:eastAsia="仿宋" w:hint="eastAsia"/>
                <w:kern w:val="0"/>
                <w:sz w:val="22"/>
              </w:rPr>
              <w:t>其他资金</w:t>
            </w:r>
          </w:p>
        </w:tc>
        <w:tc>
          <w:tcPr>
            <w:tcW w:w="1114"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29"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04"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c>
          <w:tcPr>
            <w:tcW w:w="881" w:type="dxa"/>
            <w:gridSpan w:val="2"/>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r>
      <w:tr w:rsidR="00661907">
        <w:trPr>
          <w:trHeight w:val="340"/>
        </w:trPr>
        <w:tc>
          <w:tcPr>
            <w:tcW w:w="575" w:type="dxa"/>
            <w:vMerge w:val="restart"/>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年度总体目标</w:t>
            </w:r>
          </w:p>
        </w:tc>
        <w:tc>
          <w:tcPr>
            <w:tcW w:w="4734" w:type="dxa"/>
            <w:gridSpan w:val="7"/>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预期目标</w:t>
            </w:r>
          </w:p>
        </w:tc>
        <w:tc>
          <w:tcPr>
            <w:tcW w:w="3406" w:type="dxa"/>
            <w:gridSpan w:val="8"/>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实际完成情况</w:t>
            </w:r>
          </w:p>
        </w:tc>
      </w:tr>
      <w:tr w:rsidR="00661907">
        <w:trPr>
          <w:trHeight w:val="20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4734" w:type="dxa"/>
            <w:gridSpan w:val="7"/>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eastAsia="仿宋_GB2312" w:hint="eastAsia"/>
                <w:color w:val="000000"/>
                <w:kern w:val="0"/>
                <w:szCs w:val="21"/>
              </w:rPr>
              <w:t>对辖区内企业进行安全生产巡查，进行食品药品安全巡查、宣传安全生产及日常生活中的应注意的安全问题，及时处理发生的安全事故，保证辖区内安全生产及日常生活的安全。</w:t>
            </w:r>
          </w:p>
        </w:tc>
        <w:tc>
          <w:tcPr>
            <w:tcW w:w="3406" w:type="dxa"/>
            <w:gridSpan w:val="8"/>
            <w:tcBorders>
              <w:top w:val="single" w:sz="4" w:space="0" w:color="auto"/>
              <w:left w:val="nil"/>
              <w:bottom w:val="single" w:sz="4" w:space="0" w:color="auto"/>
              <w:right w:val="single" w:sz="4" w:space="0" w:color="auto"/>
            </w:tcBorders>
            <w:vAlign w:val="center"/>
          </w:tcPr>
          <w:p w:rsidR="00661907" w:rsidRDefault="000B580C">
            <w:pPr>
              <w:pStyle w:val="2"/>
              <w:widowControl/>
              <w:shd w:val="clear" w:color="auto" w:fill="FFFFFF"/>
              <w:spacing w:line="240" w:lineRule="exact"/>
              <w:rPr>
                <w:rFonts w:eastAsia="仿宋_GB2312"/>
                <w:color w:val="000000"/>
                <w:sz w:val="22"/>
                <w:szCs w:val="22"/>
              </w:rPr>
            </w:pPr>
            <w:r>
              <w:rPr>
                <w:rFonts w:ascii="等线" w:eastAsia="仿宋_GB2312" w:hAnsi="等线" w:cs="Arial" w:hint="eastAsia"/>
                <w:b w:val="0"/>
                <w:bCs w:val="0"/>
                <w:color w:val="000000"/>
                <w:kern w:val="0"/>
                <w:sz w:val="21"/>
                <w:szCs w:val="21"/>
              </w:rPr>
              <w:t>通过开展本项目主要解决镇区内企业存在的安全隐患及食品药品等安全问题，确保有效降低安全生产事故及日常食品药品安全事故发生率，创造一个安全的生产生活环境。</w:t>
            </w:r>
          </w:p>
        </w:tc>
      </w:tr>
      <w:tr w:rsidR="00661907">
        <w:trPr>
          <w:trHeight w:val="667"/>
        </w:trPr>
        <w:tc>
          <w:tcPr>
            <w:tcW w:w="575" w:type="dxa"/>
            <w:vMerge w:val="restart"/>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绩</w:t>
            </w:r>
            <w:r>
              <w:rPr>
                <w:rFonts w:ascii="仿宋" w:eastAsia="仿宋" w:hint="eastAsia"/>
                <w:kern w:val="0"/>
                <w:sz w:val="22"/>
              </w:rPr>
              <w:br/>
            </w:r>
            <w:r>
              <w:rPr>
                <w:rFonts w:ascii="仿宋" w:eastAsia="仿宋" w:hint="eastAsia"/>
                <w:kern w:val="0"/>
                <w:sz w:val="22"/>
              </w:rPr>
              <w:t>效</w:t>
            </w:r>
            <w:r>
              <w:rPr>
                <w:rFonts w:ascii="仿宋" w:eastAsia="仿宋" w:hint="eastAsia"/>
                <w:kern w:val="0"/>
                <w:sz w:val="22"/>
              </w:rPr>
              <w:br/>
            </w:r>
            <w:r>
              <w:rPr>
                <w:rFonts w:ascii="仿宋" w:eastAsia="仿宋" w:hint="eastAsia"/>
                <w:kern w:val="0"/>
                <w:sz w:val="22"/>
              </w:rPr>
              <w:t>指</w:t>
            </w:r>
            <w:r>
              <w:rPr>
                <w:rFonts w:ascii="仿宋" w:eastAsia="仿宋" w:hint="eastAsia"/>
                <w:kern w:val="0"/>
                <w:sz w:val="22"/>
              </w:rPr>
              <w:br/>
            </w:r>
            <w:r>
              <w:rPr>
                <w:rFonts w:ascii="仿宋" w:eastAsia="仿宋" w:hint="eastAsia"/>
                <w:kern w:val="0"/>
                <w:sz w:val="22"/>
              </w:rPr>
              <w:t>标</w:t>
            </w:r>
          </w:p>
        </w:tc>
        <w:tc>
          <w:tcPr>
            <w:tcW w:w="616"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一级指标</w:t>
            </w:r>
          </w:p>
        </w:tc>
        <w:tc>
          <w:tcPr>
            <w:tcW w:w="117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二级指标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三级指标</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年度</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指标值</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实际</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完成值</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分值</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得分</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偏差原因分析及改进措施</w:t>
            </w:r>
          </w:p>
        </w:tc>
      </w:tr>
      <w:tr w:rsidR="00661907">
        <w:trPr>
          <w:trHeight w:val="4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val="restart"/>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产出指标</w:t>
            </w:r>
          </w:p>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数量指标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 w:val="22"/>
              </w:rPr>
              <w:t>巡查次数</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48</w:t>
            </w:r>
            <w:r>
              <w:rPr>
                <w:rFonts w:ascii="仿宋" w:eastAsia="仿宋" w:hint="eastAsia"/>
                <w:kern w:val="0"/>
                <w:sz w:val="22"/>
              </w:rPr>
              <w:t>次</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48</w:t>
            </w:r>
            <w:r>
              <w:rPr>
                <w:rFonts w:ascii="仿宋" w:eastAsia="仿宋" w:hint="eastAsia"/>
                <w:kern w:val="0"/>
                <w:sz w:val="22"/>
              </w:rPr>
              <w:t>次</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4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质量指标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 w:val="22"/>
              </w:rPr>
              <w:t>安全生产标准达标率</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100%</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100%</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20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20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4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时效指标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 w:val="22"/>
              </w:rPr>
              <w:t>事故处理及时率</w:t>
            </w:r>
          </w:p>
        </w:tc>
        <w:tc>
          <w:tcPr>
            <w:tcW w:w="1005" w:type="dxa"/>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100%</w:t>
            </w:r>
          </w:p>
        </w:tc>
        <w:tc>
          <w:tcPr>
            <w:tcW w:w="911" w:type="dxa"/>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100%</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4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成本指标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 w:val="22"/>
              </w:rPr>
              <w:t>成本节约量</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r>
              <w:rPr>
                <w:rFonts w:ascii="仿宋" w:eastAsia="仿宋" w:hint="eastAsia"/>
                <w:kern w:val="0"/>
                <w:sz w:val="22"/>
              </w:rPr>
              <w:t>万元</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r>
              <w:rPr>
                <w:rFonts w:ascii="仿宋" w:eastAsia="仿宋" w:hint="eastAsia"/>
                <w:kern w:val="0"/>
                <w:sz w:val="22"/>
              </w:rPr>
              <w:t>万元</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660"/>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val="restart"/>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效益指标</w:t>
            </w:r>
          </w:p>
          <w:p w:rsidR="00661907" w:rsidRDefault="00661907">
            <w:pPr>
              <w:widowControl/>
              <w:spacing w:line="240" w:lineRule="exact"/>
              <w:jc w:val="center"/>
              <w:rPr>
                <w:rFonts w:ascii="仿宋" w:eastAsia="仿宋"/>
                <w:kern w:val="0"/>
                <w:sz w:val="22"/>
              </w:rPr>
            </w:pPr>
          </w:p>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社会效益</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 w:val="22"/>
              </w:rPr>
              <w:t>企业安全生产生活意识提升情况</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显著提升</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显著提升</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463"/>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经济效益</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661907">
            <w:pPr>
              <w:widowControl/>
              <w:jc w:val="center"/>
              <w:rPr>
                <w:rFonts w:ascii="仿宋" w:eastAsia="仿宋"/>
                <w:color w:val="000000"/>
                <w:kern w:val="0"/>
                <w:sz w:val="22"/>
              </w:rPr>
            </w:pPr>
          </w:p>
        </w:tc>
        <w:tc>
          <w:tcPr>
            <w:tcW w:w="1005"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911"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523"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486"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486" w:type="dxa"/>
            <w:gridSpan w:val="3"/>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r>
      <w:tr w:rsidR="00661907">
        <w:trPr>
          <w:trHeight w:val="581"/>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生态效益</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 w:val="22"/>
              </w:rPr>
              <w:t>隐患整改率</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547"/>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可持续影响</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 w:val="22"/>
              </w:rPr>
              <w:t>安监制度</w:t>
            </w:r>
          </w:p>
        </w:tc>
        <w:tc>
          <w:tcPr>
            <w:tcW w:w="1005" w:type="dxa"/>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ind w:firstLineChars="100" w:firstLine="220"/>
              <w:rPr>
                <w:rFonts w:ascii="仿宋" w:eastAsia="仿宋"/>
                <w:kern w:val="0"/>
                <w:sz w:val="22"/>
              </w:rPr>
            </w:pPr>
            <w:r>
              <w:rPr>
                <w:rFonts w:ascii="仿宋" w:eastAsia="仿宋" w:hint="eastAsia"/>
                <w:kern w:val="0"/>
                <w:sz w:val="22"/>
              </w:rPr>
              <w:t>健全</w:t>
            </w:r>
          </w:p>
        </w:tc>
        <w:tc>
          <w:tcPr>
            <w:tcW w:w="911" w:type="dxa"/>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健全</w:t>
            </w:r>
          </w:p>
        </w:tc>
        <w:tc>
          <w:tcPr>
            <w:tcW w:w="523"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667"/>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tcBorders>
              <w:top w:val="nil"/>
              <w:left w:val="single" w:sz="4" w:space="0" w:color="auto"/>
              <w:bottom w:val="nil"/>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满意度</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服务对象满意度指标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 w:val="22"/>
              </w:rPr>
              <w:t>群众满意度</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354"/>
        </w:trPr>
        <w:tc>
          <w:tcPr>
            <w:tcW w:w="6220" w:type="dxa"/>
            <w:gridSpan w:val="9"/>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color w:val="000000"/>
                <w:kern w:val="0"/>
                <w:sz w:val="22"/>
              </w:rPr>
            </w:pPr>
            <w:r>
              <w:rPr>
                <w:rFonts w:ascii="仿宋" w:eastAsia="仿宋" w:hint="eastAsia"/>
                <w:color w:val="000000"/>
                <w:kern w:val="0"/>
                <w:sz w:val="22"/>
              </w:rPr>
              <w:t>总分</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r>
      <w:tr w:rsidR="00661907">
        <w:trPr>
          <w:gridAfter w:val="1"/>
          <w:wAfter w:w="26" w:type="dxa"/>
          <w:trHeight w:val="383"/>
        </w:trPr>
        <w:tc>
          <w:tcPr>
            <w:tcW w:w="8689" w:type="dxa"/>
            <w:gridSpan w:val="15"/>
            <w:tcMar>
              <w:top w:w="15" w:type="dxa"/>
              <w:left w:w="15" w:type="dxa"/>
              <w:right w:w="15" w:type="dxa"/>
            </w:tcMar>
            <w:vAlign w:val="center"/>
          </w:tcPr>
          <w:p w:rsidR="00661907" w:rsidRDefault="00661907">
            <w:pPr>
              <w:widowControl/>
              <w:jc w:val="center"/>
              <w:textAlignment w:val="center"/>
              <w:rPr>
                <w:rFonts w:ascii="仿宋" w:eastAsia="仿宋"/>
                <w:kern w:val="0"/>
                <w:sz w:val="22"/>
              </w:rPr>
            </w:pPr>
          </w:p>
          <w:p w:rsidR="00661907" w:rsidRDefault="000B580C">
            <w:pPr>
              <w:widowControl/>
              <w:jc w:val="center"/>
              <w:textAlignment w:val="center"/>
              <w:rPr>
                <w:rFonts w:ascii="仿宋" w:eastAsia="仿宋"/>
                <w:color w:val="000000"/>
                <w:sz w:val="22"/>
              </w:rPr>
            </w:pPr>
            <w:r>
              <w:rPr>
                <w:rFonts w:ascii="仿宋" w:eastAsia="仿宋" w:hint="eastAsia"/>
                <w:kern w:val="0"/>
                <w:sz w:val="22"/>
              </w:rPr>
              <w:lastRenderedPageBreak/>
              <w:t>项目支出绩效自评表</w:t>
            </w:r>
          </w:p>
        </w:tc>
      </w:tr>
      <w:tr w:rsidR="00661907">
        <w:trPr>
          <w:trHeight w:val="352"/>
        </w:trPr>
        <w:tc>
          <w:tcPr>
            <w:tcW w:w="8715" w:type="dxa"/>
            <w:gridSpan w:val="16"/>
          </w:tcPr>
          <w:p w:rsidR="00661907" w:rsidRDefault="000B580C">
            <w:pPr>
              <w:widowControl/>
              <w:spacing w:line="240" w:lineRule="exact"/>
              <w:jc w:val="center"/>
              <w:rPr>
                <w:rFonts w:ascii="仿宋" w:eastAsia="仿宋"/>
                <w:kern w:val="0"/>
                <w:sz w:val="22"/>
              </w:rPr>
            </w:pPr>
            <w:r>
              <w:rPr>
                <w:rFonts w:ascii="仿宋" w:eastAsia="仿宋" w:hint="eastAsia"/>
                <w:kern w:val="0"/>
                <w:sz w:val="22"/>
              </w:rPr>
              <w:lastRenderedPageBreak/>
              <w:t>（</w:t>
            </w:r>
            <w:r>
              <w:rPr>
                <w:rFonts w:ascii="仿宋" w:eastAsia="仿宋" w:hint="eastAsia"/>
                <w:kern w:val="0"/>
                <w:sz w:val="22"/>
              </w:rPr>
              <w:t>2019</w:t>
            </w:r>
            <w:r>
              <w:rPr>
                <w:rFonts w:ascii="仿宋" w:eastAsia="仿宋" w:hint="eastAsia"/>
                <w:kern w:val="0"/>
                <w:sz w:val="22"/>
              </w:rPr>
              <w:t>年度）</w:t>
            </w:r>
          </w:p>
        </w:tc>
      </w:tr>
      <w:tr w:rsidR="00661907">
        <w:trPr>
          <w:trHeight w:val="369"/>
        </w:trPr>
        <w:tc>
          <w:tcPr>
            <w:tcW w:w="1254" w:type="dxa"/>
            <w:gridSpan w:val="3"/>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项目名称</w:t>
            </w:r>
          </w:p>
        </w:tc>
        <w:tc>
          <w:tcPr>
            <w:tcW w:w="7461" w:type="dxa"/>
            <w:gridSpan w:val="1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坑塘治理资金</w:t>
            </w:r>
          </w:p>
        </w:tc>
      </w:tr>
      <w:tr w:rsidR="00661907">
        <w:trPr>
          <w:trHeight w:val="340"/>
        </w:trPr>
        <w:tc>
          <w:tcPr>
            <w:tcW w:w="1254" w:type="dxa"/>
            <w:gridSpan w:val="3"/>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主管部门</w:t>
            </w:r>
          </w:p>
        </w:tc>
        <w:tc>
          <w:tcPr>
            <w:tcW w:w="4055" w:type="dxa"/>
            <w:gridSpan w:val="5"/>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旺村镇人民政府</w:t>
            </w:r>
          </w:p>
        </w:tc>
        <w:tc>
          <w:tcPr>
            <w:tcW w:w="110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实施单位</w:t>
            </w:r>
          </w:p>
        </w:tc>
        <w:tc>
          <w:tcPr>
            <w:tcW w:w="2302" w:type="dxa"/>
            <w:gridSpan w:val="6"/>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旺村镇人民政府</w:t>
            </w:r>
          </w:p>
        </w:tc>
      </w:tr>
      <w:tr w:rsidR="00661907">
        <w:trPr>
          <w:trHeight w:val="636"/>
        </w:trPr>
        <w:tc>
          <w:tcPr>
            <w:tcW w:w="1254" w:type="dxa"/>
            <w:gridSpan w:val="3"/>
            <w:vMerge w:val="restart"/>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项目资金</w:t>
            </w:r>
            <w:r>
              <w:rPr>
                <w:rFonts w:ascii="仿宋" w:eastAsia="仿宋" w:hint="eastAsia"/>
                <w:kern w:val="0"/>
                <w:sz w:val="22"/>
              </w:rPr>
              <w:br/>
            </w:r>
            <w:r>
              <w:rPr>
                <w:rFonts w:ascii="仿宋" w:eastAsia="仿宋" w:hint="eastAsia"/>
                <w:kern w:val="0"/>
                <w:sz w:val="22"/>
              </w:rPr>
              <w:t>（万元）</w:t>
            </w:r>
          </w:p>
        </w:tc>
        <w:tc>
          <w:tcPr>
            <w:tcW w:w="1812" w:type="dxa"/>
            <w:gridSpan w:val="2"/>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14"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年初</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预算数</w:t>
            </w:r>
          </w:p>
        </w:tc>
        <w:tc>
          <w:tcPr>
            <w:tcW w:w="1129"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全年</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预算数</w:t>
            </w:r>
          </w:p>
        </w:tc>
        <w:tc>
          <w:tcPr>
            <w:tcW w:w="110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全年</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执行数</w:t>
            </w: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分值</w:t>
            </w:r>
          </w:p>
        </w:tc>
        <w:tc>
          <w:tcPr>
            <w:tcW w:w="881"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执行率</w:t>
            </w: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得分</w:t>
            </w:r>
          </w:p>
        </w:tc>
      </w:tr>
      <w:tr w:rsidR="00661907">
        <w:trPr>
          <w:trHeight w:val="393"/>
        </w:trPr>
        <w:tc>
          <w:tcPr>
            <w:tcW w:w="1254" w:type="dxa"/>
            <w:gridSpan w:val="3"/>
            <w:vMerge/>
            <w:tcBorders>
              <w:top w:val="single" w:sz="4" w:space="0" w:color="auto"/>
              <w:left w:val="single" w:sz="4" w:space="0" w:color="auto"/>
              <w:bottom w:val="single" w:sz="4" w:space="0" w:color="auto"/>
              <w:right w:val="single" w:sz="4" w:space="0" w:color="auto"/>
            </w:tcBorders>
            <w:vAlign w:val="center"/>
          </w:tcPr>
          <w:p w:rsidR="00661907" w:rsidRDefault="00661907"/>
        </w:tc>
        <w:tc>
          <w:tcPr>
            <w:tcW w:w="1812"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rPr>
                <w:rFonts w:ascii="仿宋" w:eastAsia="仿宋"/>
                <w:kern w:val="0"/>
                <w:sz w:val="22"/>
              </w:rPr>
            </w:pPr>
            <w:r>
              <w:rPr>
                <w:rFonts w:ascii="仿宋" w:eastAsia="仿宋" w:hint="eastAsia"/>
                <w:kern w:val="0"/>
                <w:sz w:val="22"/>
              </w:rPr>
              <w:t>年度资金总额</w:t>
            </w:r>
          </w:p>
        </w:tc>
        <w:tc>
          <w:tcPr>
            <w:tcW w:w="1114"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60</w:t>
            </w:r>
          </w:p>
        </w:tc>
        <w:tc>
          <w:tcPr>
            <w:tcW w:w="1129"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60</w:t>
            </w:r>
          </w:p>
        </w:tc>
        <w:tc>
          <w:tcPr>
            <w:tcW w:w="110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60</w:t>
            </w: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881"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100%</w:t>
            </w: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r>
      <w:tr w:rsidR="00661907">
        <w:trPr>
          <w:trHeight w:val="340"/>
        </w:trPr>
        <w:tc>
          <w:tcPr>
            <w:tcW w:w="1254" w:type="dxa"/>
            <w:gridSpan w:val="3"/>
            <w:vMerge/>
            <w:tcBorders>
              <w:top w:val="single" w:sz="4" w:space="0" w:color="auto"/>
              <w:left w:val="single" w:sz="4" w:space="0" w:color="auto"/>
              <w:bottom w:val="single" w:sz="4" w:space="0" w:color="auto"/>
              <w:right w:val="single" w:sz="4" w:space="0" w:color="auto"/>
            </w:tcBorders>
            <w:vAlign w:val="center"/>
          </w:tcPr>
          <w:p w:rsidR="00661907" w:rsidRDefault="00661907"/>
        </w:tc>
        <w:tc>
          <w:tcPr>
            <w:tcW w:w="1812"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left"/>
              <w:rPr>
                <w:rFonts w:ascii="仿宋" w:eastAsia="仿宋"/>
                <w:kern w:val="0"/>
                <w:sz w:val="22"/>
              </w:rPr>
            </w:pPr>
            <w:r>
              <w:rPr>
                <w:rFonts w:ascii="仿宋" w:eastAsia="仿宋" w:hint="eastAsia"/>
                <w:kern w:val="0"/>
                <w:sz w:val="22"/>
              </w:rPr>
              <w:t>其中：当年财政拨款</w:t>
            </w:r>
          </w:p>
        </w:tc>
        <w:tc>
          <w:tcPr>
            <w:tcW w:w="1114"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29"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04"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c>
          <w:tcPr>
            <w:tcW w:w="881" w:type="dxa"/>
            <w:gridSpan w:val="2"/>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r>
      <w:tr w:rsidR="00661907">
        <w:trPr>
          <w:trHeight w:val="340"/>
        </w:trPr>
        <w:tc>
          <w:tcPr>
            <w:tcW w:w="1254" w:type="dxa"/>
            <w:gridSpan w:val="3"/>
            <w:vMerge/>
            <w:tcBorders>
              <w:top w:val="single" w:sz="4" w:space="0" w:color="auto"/>
              <w:left w:val="single" w:sz="4" w:space="0" w:color="auto"/>
              <w:bottom w:val="single" w:sz="4" w:space="0" w:color="auto"/>
              <w:right w:val="single" w:sz="4" w:space="0" w:color="auto"/>
            </w:tcBorders>
            <w:vAlign w:val="center"/>
          </w:tcPr>
          <w:p w:rsidR="00661907" w:rsidRDefault="00661907"/>
        </w:tc>
        <w:tc>
          <w:tcPr>
            <w:tcW w:w="1812"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left"/>
              <w:rPr>
                <w:rFonts w:ascii="仿宋" w:eastAsia="仿宋"/>
                <w:kern w:val="0"/>
                <w:sz w:val="22"/>
              </w:rPr>
            </w:pPr>
            <w:r>
              <w:rPr>
                <w:rFonts w:ascii="仿宋" w:eastAsia="仿宋" w:hint="eastAsia"/>
                <w:kern w:val="0"/>
                <w:sz w:val="22"/>
              </w:rPr>
              <w:t xml:space="preserve">      </w:t>
            </w:r>
            <w:r>
              <w:rPr>
                <w:rFonts w:ascii="仿宋" w:eastAsia="仿宋" w:hint="eastAsia"/>
                <w:kern w:val="0"/>
                <w:sz w:val="22"/>
              </w:rPr>
              <w:t>上年结转资金</w:t>
            </w:r>
          </w:p>
        </w:tc>
        <w:tc>
          <w:tcPr>
            <w:tcW w:w="1114"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29"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04"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c>
          <w:tcPr>
            <w:tcW w:w="881" w:type="dxa"/>
            <w:gridSpan w:val="2"/>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r>
      <w:tr w:rsidR="00661907">
        <w:trPr>
          <w:trHeight w:val="340"/>
        </w:trPr>
        <w:tc>
          <w:tcPr>
            <w:tcW w:w="1254" w:type="dxa"/>
            <w:gridSpan w:val="3"/>
            <w:vMerge/>
            <w:tcBorders>
              <w:top w:val="single" w:sz="4" w:space="0" w:color="auto"/>
              <w:left w:val="single" w:sz="4" w:space="0" w:color="auto"/>
              <w:bottom w:val="single" w:sz="4" w:space="0" w:color="auto"/>
              <w:right w:val="single" w:sz="4" w:space="0" w:color="auto"/>
            </w:tcBorders>
            <w:vAlign w:val="center"/>
          </w:tcPr>
          <w:p w:rsidR="00661907" w:rsidRDefault="00661907"/>
        </w:tc>
        <w:tc>
          <w:tcPr>
            <w:tcW w:w="1812"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 xml:space="preserve">  </w:t>
            </w:r>
            <w:r>
              <w:rPr>
                <w:rFonts w:ascii="仿宋" w:eastAsia="仿宋" w:hint="eastAsia"/>
                <w:kern w:val="0"/>
                <w:sz w:val="22"/>
              </w:rPr>
              <w:t>其他资金</w:t>
            </w:r>
          </w:p>
        </w:tc>
        <w:tc>
          <w:tcPr>
            <w:tcW w:w="1114"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29"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04"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c>
          <w:tcPr>
            <w:tcW w:w="881" w:type="dxa"/>
            <w:gridSpan w:val="2"/>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r>
      <w:tr w:rsidR="00661907">
        <w:trPr>
          <w:trHeight w:val="340"/>
        </w:trPr>
        <w:tc>
          <w:tcPr>
            <w:tcW w:w="575" w:type="dxa"/>
            <w:vMerge w:val="restart"/>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年度总体目标</w:t>
            </w:r>
          </w:p>
        </w:tc>
        <w:tc>
          <w:tcPr>
            <w:tcW w:w="4734" w:type="dxa"/>
            <w:gridSpan w:val="7"/>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预期目标</w:t>
            </w:r>
          </w:p>
        </w:tc>
        <w:tc>
          <w:tcPr>
            <w:tcW w:w="3406" w:type="dxa"/>
            <w:gridSpan w:val="8"/>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实际完成情况</w:t>
            </w:r>
          </w:p>
        </w:tc>
      </w:tr>
      <w:tr w:rsidR="00661907">
        <w:trPr>
          <w:trHeight w:val="20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4734" w:type="dxa"/>
            <w:gridSpan w:val="7"/>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eastAsia="仿宋_GB2312" w:hint="eastAsia"/>
                <w:color w:val="000000"/>
                <w:kern w:val="0"/>
                <w:szCs w:val="21"/>
              </w:rPr>
              <w:t>对镇区内坑塘进行治理，宣传坑塘治理政策，保持镇区内坑塘水体清澈</w:t>
            </w:r>
            <w:r>
              <w:rPr>
                <w:rFonts w:eastAsia="仿宋_GB2312" w:hint="eastAsia"/>
                <w:color w:val="000000"/>
                <w:kern w:val="0"/>
                <w:szCs w:val="21"/>
              </w:rPr>
              <w:t>,</w:t>
            </w:r>
            <w:r>
              <w:rPr>
                <w:rFonts w:eastAsia="仿宋_GB2312" w:hint="eastAsia"/>
                <w:color w:val="000000"/>
                <w:kern w:val="0"/>
                <w:szCs w:val="21"/>
              </w:rPr>
              <w:t>坑塘周边无生活建筑工业垃圾。</w:t>
            </w:r>
          </w:p>
        </w:tc>
        <w:tc>
          <w:tcPr>
            <w:tcW w:w="3406" w:type="dxa"/>
            <w:gridSpan w:val="8"/>
            <w:tcBorders>
              <w:top w:val="single" w:sz="4" w:space="0" w:color="auto"/>
              <w:left w:val="nil"/>
              <w:bottom w:val="single" w:sz="4" w:space="0" w:color="auto"/>
              <w:right w:val="single" w:sz="4" w:space="0" w:color="auto"/>
            </w:tcBorders>
            <w:vAlign w:val="center"/>
          </w:tcPr>
          <w:p w:rsidR="00661907" w:rsidRDefault="000B580C">
            <w:pPr>
              <w:pStyle w:val="2"/>
              <w:widowControl/>
              <w:shd w:val="clear" w:color="auto" w:fill="FFFFFF"/>
              <w:spacing w:line="240" w:lineRule="exact"/>
              <w:rPr>
                <w:rFonts w:eastAsia="仿宋_GB2312"/>
                <w:color w:val="000000"/>
                <w:sz w:val="22"/>
                <w:szCs w:val="22"/>
              </w:rPr>
            </w:pPr>
            <w:r>
              <w:rPr>
                <w:rFonts w:ascii="等线" w:eastAsia="仿宋_GB2312" w:hAnsi="等线" w:cs="Arial" w:hint="eastAsia"/>
                <w:b w:val="0"/>
                <w:bCs w:val="0"/>
                <w:color w:val="000000"/>
                <w:kern w:val="0"/>
                <w:sz w:val="21"/>
                <w:szCs w:val="21"/>
              </w:rPr>
              <w:t>辖区内坑塘周边垃圾污染问题，做到垃圾及时清理，宣传坑塘治理政策，确保镇区内坑塘水体清澈</w:t>
            </w:r>
            <w:r>
              <w:rPr>
                <w:rFonts w:ascii="等线" w:eastAsia="仿宋_GB2312" w:hAnsi="等线" w:cs="Arial" w:hint="eastAsia"/>
                <w:b w:val="0"/>
                <w:bCs w:val="0"/>
                <w:color w:val="000000"/>
                <w:kern w:val="0"/>
                <w:sz w:val="21"/>
                <w:szCs w:val="21"/>
              </w:rPr>
              <w:t>,</w:t>
            </w:r>
            <w:r>
              <w:rPr>
                <w:rFonts w:ascii="等线" w:eastAsia="仿宋_GB2312" w:hAnsi="等线" w:cs="Arial" w:hint="eastAsia"/>
                <w:b w:val="0"/>
                <w:bCs w:val="0"/>
                <w:color w:val="000000"/>
                <w:kern w:val="0"/>
                <w:sz w:val="21"/>
                <w:szCs w:val="21"/>
              </w:rPr>
              <w:t>坑塘周边无生活建筑工业垃圾</w:t>
            </w:r>
            <w:r>
              <w:rPr>
                <w:rFonts w:ascii="等线" w:eastAsia="仿宋_GB2312" w:hAnsi="等线" w:cs="Arial" w:hint="eastAsia"/>
                <w:b w:val="0"/>
                <w:bCs w:val="0"/>
                <w:color w:val="000000"/>
                <w:kern w:val="0"/>
                <w:sz w:val="21"/>
                <w:szCs w:val="21"/>
              </w:rPr>
              <w:t>,</w:t>
            </w:r>
            <w:r>
              <w:rPr>
                <w:rFonts w:ascii="等线" w:eastAsia="仿宋_GB2312" w:hAnsi="等线" w:cs="Arial" w:hint="eastAsia"/>
                <w:b w:val="0"/>
                <w:bCs w:val="0"/>
                <w:color w:val="000000"/>
                <w:kern w:val="0"/>
                <w:sz w:val="21"/>
                <w:szCs w:val="21"/>
              </w:rPr>
              <w:t>提高群众环境保护意识，创造良好的人居环境。</w:t>
            </w:r>
          </w:p>
        </w:tc>
      </w:tr>
      <w:tr w:rsidR="00661907">
        <w:trPr>
          <w:trHeight w:val="667"/>
        </w:trPr>
        <w:tc>
          <w:tcPr>
            <w:tcW w:w="575" w:type="dxa"/>
            <w:vMerge w:val="restart"/>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绩</w:t>
            </w:r>
            <w:r>
              <w:rPr>
                <w:rFonts w:ascii="仿宋" w:eastAsia="仿宋" w:hint="eastAsia"/>
                <w:kern w:val="0"/>
                <w:sz w:val="22"/>
              </w:rPr>
              <w:br/>
            </w:r>
            <w:r>
              <w:rPr>
                <w:rFonts w:ascii="仿宋" w:eastAsia="仿宋" w:hint="eastAsia"/>
                <w:kern w:val="0"/>
                <w:sz w:val="22"/>
              </w:rPr>
              <w:t>效</w:t>
            </w:r>
            <w:r>
              <w:rPr>
                <w:rFonts w:ascii="仿宋" w:eastAsia="仿宋" w:hint="eastAsia"/>
                <w:kern w:val="0"/>
                <w:sz w:val="22"/>
              </w:rPr>
              <w:br/>
            </w:r>
            <w:r>
              <w:rPr>
                <w:rFonts w:ascii="仿宋" w:eastAsia="仿宋" w:hint="eastAsia"/>
                <w:kern w:val="0"/>
                <w:sz w:val="22"/>
              </w:rPr>
              <w:t>指</w:t>
            </w:r>
            <w:r>
              <w:rPr>
                <w:rFonts w:ascii="仿宋" w:eastAsia="仿宋" w:hint="eastAsia"/>
                <w:kern w:val="0"/>
                <w:sz w:val="22"/>
              </w:rPr>
              <w:br/>
            </w:r>
            <w:r>
              <w:rPr>
                <w:rFonts w:ascii="仿宋" w:eastAsia="仿宋" w:hint="eastAsia"/>
                <w:kern w:val="0"/>
                <w:sz w:val="22"/>
              </w:rPr>
              <w:t>标</w:t>
            </w:r>
          </w:p>
        </w:tc>
        <w:tc>
          <w:tcPr>
            <w:tcW w:w="616"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一级指标</w:t>
            </w:r>
          </w:p>
        </w:tc>
        <w:tc>
          <w:tcPr>
            <w:tcW w:w="117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二级指标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三级指标</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年度</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指标值</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实际</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完成值</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分值</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得分</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偏差原因分析及改进措施</w:t>
            </w:r>
          </w:p>
        </w:tc>
      </w:tr>
      <w:tr w:rsidR="00661907">
        <w:trPr>
          <w:trHeight w:val="4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val="restart"/>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产出指标</w:t>
            </w:r>
          </w:p>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数量指标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Cs w:val="21"/>
              </w:rPr>
              <w:t>排查坑塘数量</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120</w:t>
            </w:r>
            <w:r>
              <w:rPr>
                <w:rFonts w:ascii="仿宋" w:eastAsia="仿宋" w:hint="eastAsia"/>
                <w:kern w:val="0"/>
                <w:sz w:val="22"/>
              </w:rPr>
              <w:t>个</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120</w:t>
            </w:r>
            <w:r>
              <w:rPr>
                <w:rFonts w:ascii="仿宋" w:eastAsia="仿宋" w:hint="eastAsia"/>
                <w:kern w:val="0"/>
                <w:sz w:val="22"/>
              </w:rPr>
              <w:t>个</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4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质量指标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Cs w:val="21"/>
              </w:rPr>
              <w:t>水体质量达标率</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100%</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100%</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20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20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4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时效指标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Cs w:val="21"/>
              </w:rPr>
              <w:t>坑塘垃圾及时处理率</w:t>
            </w:r>
          </w:p>
        </w:tc>
        <w:tc>
          <w:tcPr>
            <w:tcW w:w="1005" w:type="dxa"/>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11" w:type="dxa"/>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4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成本指标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 w:val="22"/>
              </w:rPr>
              <w:t>成本节约量</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60</w:t>
            </w:r>
            <w:r>
              <w:rPr>
                <w:rFonts w:ascii="仿宋" w:eastAsia="仿宋" w:hint="eastAsia"/>
                <w:kern w:val="0"/>
                <w:sz w:val="22"/>
              </w:rPr>
              <w:t>万元</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60</w:t>
            </w:r>
            <w:r>
              <w:rPr>
                <w:rFonts w:ascii="仿宋" w:eastAsia="仿宋" w:hint="eastAsia"/>
                <w:kern w:val="0"/>
                <w:sz w:val="22"/>
              </w:rPr>
              <w:t>万元</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660"/>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val="restart"/>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效益指标</w:t>
            </w:r>
          </w:p>
          <w:p w:rsidR="00661907" w:rsidRDefault="00661907">
            <w:pPr>
              <w:widowControl/>
              <w:spacing w:line="240" w:lineRule="exact"/>
              <w:jc w:val="center"/>
              <w:rPr>
                <w:rFonts w:ascii="仿宋" w:eastAsia="仿宋"/>
                <w:kern w:val="0"/>
                <w:sz w:val="22"/>
              </w:rPr>
            </w:pPr>
          </w:p>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社会效益</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Cs w:val="21"/>
              </w:rPr>
              <w:t>受益人口数量</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3</w:t>
            </w:r>
            <w:r>
              <w:rPr>
                <w:rFonts w:ascii="仿宋" w:eastAsia="仿宋" w:hint="eastAsia"/>
                <w:kern w:val="0"/>
                <w:sz w:val="22"/>
              </w:rPr>
              <w:t>万人</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3</w:t>
            </w:r>
            <w:r>
              <w:rPr>
                <w:rFonts w:ascii="仿宋" w:eastAsia="仿宋" w:hint="eastAsia"/>
                <w:kern w:val="0"/>
                <w:sz w:val="22"/>
              </w:rPr>
              <w:t>万人</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463"/>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经济效益</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661907">
            <w:pPr>
              <w:widowControl/>
              <w:jc w:val="center"/>
              <w:rPr>
                <w:rFonts w:ascii="仿宋" w:eastAsia="仿宋"/>
                <w:color w:val="000000"/>
                <w:kern w:val="0"/>
                <w:sz w:val="22"/>
              </w:rPr>
            </w:pPr>
          </w:p>
        </w:tc>
        <w:tc>
          <w:tcPr>
            <w:tcW w:w="1005"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911"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523"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486"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486" w:type="dxa"/>
            <w:gridSpan w:val="3"/>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r>
      <w:tr w:rsidR="00661907">
        <w:trPr>
          <w:trHeight w:val="581"/>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生态效益</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Cs w:val="21"/>
              </w:rPr>
              <w:t>环境提升情况</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改善</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改善</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547"/>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可持续影响</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Cs w:val="21"/>
              </w:rPr>
              <w:t>长效管理机制</w:t>
            </w:r>
          </w:p>
        </w:tc>
        <w:tc>
          <w:tcPr>
            <w:tcW w:w="1005" w:type="dxa"/>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ind w:firstLineChars="100" w:firstLine="220"/>
              <w:rPr>
                <w:rFonts w:ascii="仿宋" w:eastAsia="仿宋"/>
                <w:kern w:val="0"/>
                <w:sz w:val="22"/>
              </w:rPr>
            </w:pPr>
            <w:r>
              <w:rPr>
                <w:rFonts w:ascii="仿宋" w:eastAsia="仿宋" w:hint="eastAsia"/>
                <w:kern w:val="0"/>
                <w:sz w:val="22"/>
              </w:rPr>
              <w:t>健全</w:t>
            </w:r>
          </w:p>
        </w:tc>
        <w:tc>
          <w:tcPr>
            <w:tcW w:w="911" w:type="dxa"/>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健全</w:t>
            </w:r>
          </w:p>
        </w:tc>
        <w:tc>
          <w:tcPr>
            <w:tcW w:w="523"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667"/>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tcBorders>
              <w:top w:val="nil"/>
              <w:left w:val="single" w:sz="4" w:space="0" w:color="auto"/>
              <w:bottom w:val="nil"/>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满意度</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服务对象满意度指标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 w:val="22"/>
              </w:rPr>
              <w:t>群众满意度</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90%</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354"/>
        </w:trPr>
        <w:tc>
          <w:tcPr>
            <w:tcW w:w="6220" w:type="dxa"/>
            <w:gridSpan w:val="9"/>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color w:val="000000"/>
                <w:kern w:val="0"/>
                <w:sz w:val="22"/>
              </w:rPr>
            </w:pPr>
            <w:r>
              <w:rPr>
                <w:rFonts w:ascii="仿宋" w:eastAsia="仿宋" w:hint="eastAsia"/>
                <w:color w:val="000000"/>
                <w:kern w:val="0"/>
                <w:sz w:val="22"/>
              </w:rPr>
              <w:t>总分</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r>
      <w:tr w:rsidR="00661907">
        <w:trPr>
          <w:gridAfter w:val="1"/>
          <w:wAfter w:w="26" w:type="dxa"/>
          <w:trHeight w:val="383"/>
        </w:trPr>
        <w:tc>
          <w:tcPr>
            <w:tcW w:w="8689" w:type="dxa"/>
            <w:gridSpan w:val="15"/>
            <w:tcMar>
              <w:top w:w="15" w:type="dxa"/>
              <w:left w:w="15" w:type="dxa"/>
              <w:right w:w="15" w:type="dxa"/>
            </w:tcMar>
            <w:vAlign w:val="center"/>
          </w:tcPr>
          <w:p w:rsidR="00661907" w:rsidRDefault="00661907">
            <w:pPr>
              <w:widowControl/>
              <w:jc w:val="center"/>
              <w:textAlignment w:val="center"/>
              <w:rPr>
                <w:rFonts w:ascii="仿宋" w:eastAsia="仿宋"/>
                <w:kern w:val="0"/>
                <w:sz w:val="22"/>
              </w:rPr>
            </w:pPr>
          </w:p>
          <w:p w:rsidR="00661907" w:rsidRDefault="000B580C">
            <w:pPr>
              <w:widowControl/>
              <w:jc w:val="center"/>
              <w:textAlignment w:val="center"/>
              <w:rPr>
                <w:rFonts w:ascii="仿宋" w:eastAsia="仿宋"/>
                <w:color w:val="000000"/>
                <w:sz w:val="22"/>
              </w:rPr>
            </w:pPr>
            <w:r>
              <w:rPr>
                <w:rFonts w:ascii="仿宋" w:eastAsia="仿宋" w:hint="eastAsia"/>
                <w:kern w:val="0"/>
                <w:sz w:val="22"/>
              </w:rPr>
              <w:lastRenderedPageBreak/>
              <w:t>项目支出绩效自评表</w:t>
            </w:r>
          </w:p>
        </w:tc>
      </w:tr>
      <w:tr w:rsidR="00661907">
        <w:trPr>
          <w:trHeight w:val="352"/>
        </w:trPr>
        <w:tc>
          <w:tcPr>
            <w:tcW w:w="8715" w:type="dxa"/>
            <w:gridSpan w:val="16"/>
          </w:tcPr>
          <w:p w:rsidR="00661907" w:rsidRDefault="000B580C">
            <w:pPr>
              <w:widowControl/>
              <w:spacing w:line="240" w:lineRule="exact"/>
              <w:jc w:val="center"/>
              <w:rPr>
                <w:rFonts w:ascii="仿宋" w:eastAsia="仿宋"/>
                <w:kern w:val="0"/>
                <w:sz w:val="22"/>
              </w:rPr>
            </w:pPr>
            <w:r>
              <w:rPr>
                <w:rFonts w:ascii="仿宋" w:eastAsia="仿宋" w:hint="eastAsia"/>
                <w:kern w:val="0"/>
                <w:sz w:val="22"/>
              </w:rPr>
              <w:lastRenderedPageBreak/>
              <w:t>（</w:t>
            </w:r>
            <w:r>
              <w:rPr>
                <w:rFonts w:ascii="仿宋" w:eastAsia="仿宋" w:hint="eastAsia"/>
                <w:kern w:val="0"/>
                <w:sz w:val="22"/>
              </w:rPr>
              <w:t>2019</w:t>
            </w:r>
            <w:r>
              <w:rPr>
                <w:rFonts w:ascii="仿宋" w:eastAsia="仿宋" w:hint="eastAsia"/>
                <w:kern w:val="0"/>
                <w:sz w:val="22"/>
              </w:rPr>
              <w:t>年度）</w:t>
            </w:r>
          </w:p>
        </w:tc>
      </w:tr>
      <w:tr w:rsidR="00661907">
        <w:trPr>
          <w:trHeight w:val="369"/>
        </w:trPr>
        <w:tc>
          <w:tcPr>
            <w:tcW w:w="1254" w:type="dxa"/>
            <w:gridSpan w:val="3"/>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项目名称</w:t>
            </w:r>
          </w:p>
        </w:tc>
        <w:tc>
          <w:tcPr>
            <w:tcW w:w="7461" w:type="dxa"/>
            <w:gridSpan w:val="1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农村环境整治经费</w:t>
            </w:r>
          </w:p>
        </w:tc>
      </w:tr>
      <w:tr w:rsidR="00661907">
        <w:trPr>
          <w:trHeight w:val="340"/>
        </w:trPr>
        <w:tc>
          <w:tcPr>
            <w:tcW w:w="1254" w:type="dxa"/>
            <w:gridSpan w:val="3"/>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主管部门</w:t>
            </w:r>
          </w:p>
        </w:tc>
        <w:tc>
          <w:tcPr>
            <w:tcW w:w="4055" w:type="dxa"/>
            <w:gridSpan w:val="5"/>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旺村镇人民政府</w:t>
            </w:r>
          </w:p>
        </w:tc>
        <w:tc>
          <w:tcPr>
            <w:tcW w:w="110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实施单位</w:t>
            </w:r>
          </w:p>
        </w:tc>
        <w:tc>
          <w:tcPr>
            <w:tcW w:w="2302" w:type="dxa"/>
            <w:gridSpan w:val="6"/>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旺村镇人民政府</w:t>
            </w:r>
          </w:p>
        </w:tc>
      </w:tr>
      <w:tr w:rsidR="00661907">
        <w:trPr>
          <w:trHeight w:val="636"/>
        </w:trPr>
        <w:tc>
          <w:tcPr>
            <w:tcW w:w="1254" w:type="dxa"/>
            <w:gridSpan w:val="3"/>
            <w:vMerge w:val="restart"/>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项目资金</w:t>
            </w:r>
            <w:r>
              <w:rPr>
                <w:rFonts w:ascii="仿宋" w:eastAsia="仿宋" w:hint="eastAsia"/>
                <w:kern w:val="0"/>
                <w:sz w:val="22"/>
              </w:rPr>
              <w:br/>
            </w:r>
            <w:r>
              <w:rPr>
                <w:rFonts w:ascii="仿宋" w:eastAsia="仿宋" w:hint="eastAsia"/>
                <w:kern w:val="0"/>
                <w:sz w:val="22"/>
              </w:rPr>
              <w:t>（万元）</w:t>
            </w:r>
          </w:p>
        </w:tc>
        <w:tc>
          <w:tcPr>
            <w:tcW w:w="1812" w:type="dxa"/>
            <w:gridSpan w:val="2"/>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14"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年初</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预算数</w:t>
            </w:r>
          </w:p>
        </w:tc>
        <w:tc>
          <w:tcPr>
            <w:tcW w:w="1129"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全年</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预算数</w:t>
            </w:r>
          </w:p>
        </w:tc>
        <w:tc>
          <w:tcPr>
            <w:tcW w:w="110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全年</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执行数</w:t>
            </w: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分值</w:t>
            </w:r>
          </w:p>
        </w:tc>
        <w:tc>
          <w:tcPr>
            <w:tcW w:w="881"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执行率</w:t>
            </w: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得分</w:t>
            </w:r>
          </w:p>
        </w:tc>
      </w:tr>
      <w:tr w:rsidR="00661907">
        <w:trPr>
          <w:trHeight w:val="393"/>
        </w:trPr>
        <w:tc>
          <w:tcPr>
            <w:tcW w:w="1254" w:type="dxa"/>
            <w:gridSpan w:val="3"/>
            <w:vMerge/>
            <w:tcBorders>
              <w:top w:val="single" w:sz="4" w:space="0" w:color="auto"/>
              <w:left w:val="single" w:sz="4" w:space="0" w:color="auto"/>
              <w:bottom w:val="single" w:sz="4" w:space="0" w:color="auto"/>
              <w:right w:val="single" w:sz="4" w:space="0" w:color="auto"/>
            </w:tcBorders>
            <w:vAlign w:val="center"/>
          </w:tcPr>
          <w:p w:rsidR="00661907" w:rsidRDefault="00661907"/>
        </w:tc>
        <w:tc>
          <w:tcPr>
            <w:tcW w:w="1812"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rPr>
                <w:rFonts w:ascii="仿宋" w:eastAsia="仿宋"/>
                <w:kern w:val="0"/>
                <w:sz w:val="22"/>
              </w:rPr>
            </w:pPr>
            <w:r>
              <w:rPr>
                <w:rFonts w:ascii="仿宋" w:eastAsia="仿宋" w:hint="eastAsia"/>
                <w:kern w:val="0"/>
                <w:sz w:val="22"/>
              </w:rPr>
              <w:t>年度资金总额</w:t>
            </w:r>
          </w:p>
        </w:tc>
        <w:tc>
          <w:tcPr>
            <w:tcW w:w="1114"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62</w:t>
            </w:r>
          </w:p>
        </w:tc>
        <w:tc>
          <w:tcPr>
            <w:tcW w:w="1129"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62</w:t>
            </w:r>
          </w:p>
        </w:tc>
        <w:tc>
          <w:tcPr>
            <w:tcW w:w="110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62</w:t>
            </w: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881"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100%</w:t>
            </w: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r>
      <w:tr w:rsidR="00661907">
        <w:trPr>
          <w:trHeight w:val="340"/>
        </w:trPr>
        <w:tc>
          <w:tcPr>
            <w:tcW w:w="1254" w:type="dxa"/>
            <w:gridSpan w:val="3"/>
            <w:vMerge/>
            <w:tcBorders>
              <w:top w:val="single" w:sz="4" w:space="0" w:color="auto"/>
              <w:left w:val="single" w:sz="4" w:space="0" w:color="auto"/>
              <w:bottom w:val="single" w:sz="4" w:space="0" w:color="auto"/>
              <w:right w:val="single" w:sz="4" w:space="0" w:color="auto"/>
            </w:tcBorders>
            <w:vAlign w:val="center"/>
          </w:tcPr>
          <w:p w:rsidR="00661907" w:rsidRDefault="00661907"/>
        </w:tc>
        <w:tc>
          <w:tcPr>
            <w:tcW w:w="1812"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left"/>
              <w:rPr>
                <w:rFonts w:ascii="仿宋" w:eastAsia="仿宋"/>
                <w:kern w:val="0"/>
                <w:sz w:val="22"/>
              </w:rPr>
            </w:pPr>
            <w:r>
              <w:rPr>
                <w:rFonts w:ascii="仿宋" w:eastAsia="仿宋" w:hint="eastAsia"/>
                <w:kern w:val="0"/>
                <w:sz w:val="22"/>
              </w:rPr>
              <w:t>其中：当年财政拨款</w:t>
            </w:r>
          </w:p>
        </w:tc>
        <w:tc>
          <w:tcPr>
            <w:tcW w:w="1114"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29"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04"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c>
          <w:tcPr>
            <w:tcW w:w="881" w:type="dxa"/>
            <w:gridSpan w:val="2"/>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r>
      <w:tr w:rsidR="00661907">
        <w:trPr>
          <w:trHeight w:val="340"/>
        </w:trPr>
        <w:tc>
          <w:tcPr>
            <w:tcW w:w="1254" w:type="dxa"/>
            <w:gridSpan w:val="3"/>
            <w:vMerge/>
            <w:tcBorders>
              <w:top w:val="single" w:sz="4" w:space="0" w:color="auto"/>
              <w:left w:val="single" w:sz="4" w:space="0" w:color="auto"/>
              <w:bottom w:val="single" w:sz="4" w:space="0" w:color="auto"/>
              <w:right w:val="single" w:sz="4" w:space="0" w:color="auto"/>
            </w:tcBorders>
            <w:vAlign w:val="center"/>
          </w:tcPr>
          <w:p w:rsidR="00661907" w:rsidRDefault="00661907"/>
        </w:tc>
        <w:tc>
          <w:tcPr>
            <w:tcW w:w="1812"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left"/>
              <w:rPr>
                <w:rFonts w:ascii="仿宋" w:eastAsia="仿宋"/>
                <w:kern w:val="0"/>
                <w:sz w:val="22"/>
              </w:rPr>
            </w:pPr>
            <w:r>
              <w:rPr>
                <w:rFonts w:ascii="仿宋" w:eastAsia="仿宋" w:hint="eastAsia"/>
                <w:kern w:val="0"/>
                <w:sz w:val="22"/>
              </w:rPr>
              <w:t xml:space="preserve">      </w:t>
            </w:r>
            <w:r>
              <w:rPr>
                <w:rFonts w:ascii="仿宋" w:eastAsia="仿宋" w:hint="eastAsia"/>
                <w:kern w:val="0"/>
                <w:sz w:val="22"/>
              </w:rPr>
              <w:t>上年结转资金</w:t>
            </w:r>
          </w:p>
        </w:tc>
        <w:tc>
          <w:tcPr>
            <w:tcW w:w="1114"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29"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04"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c>
          <w:tcPr>
            <w:tcW w:w="881" w:type="dxa"/>
            <w:gridSpan w:val="2"/>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r>
      <w:tr w:rsidR="00661907">
        <w:trPr>
          <w:trHeight w:val="340"/>
        </w:trPr>
        <w:tc>
          <w:tcPr>
            <w:tcW w:w="1254" w:type="dxa"/>
            <w:gridSpan w:val="3"/>
            <w:vMerge/>
            <w:tcBorders>
              <w:top w:val="single" w:sz="4" w:space="0" w:color="auto"/>
              <w:left w:val="single" w:sz="4" w:space="0" w:color="auto"/>
              <w:bottom w:val="single" w:sz="4" w:space="0" w:color="auto"/>
              <w:right w:val="single" w:sz="4" w:space="0" w:color="auto"/>
            </w:tcBorders>
            <w:vAlign w:val="center"/>
          </w:tcPr>
          <w:p w:rsidR="00661907" w:rsidRDefault="00661907"/>
        </w:tc>
        <w:tc>
          <w:tcPr>
            <w:tcW w:w="1812"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 xml:space="preserve">  </w:t>
            </w:r>
            <w:r>
              <w:rPr>
                <w:rFonts w:ascii="仿宋" w:eastAsia="仿宋" w:hint="eastAsia"/>
                <w:kern w:val="0"/>
                <w:sz w:val="22"/>
              </w:rPr>
              <w:t>其他资金</w:t>
            </w:r>
          </w:p>
        </w:tc>
        <w:tc>
          <w:tcPr>
            <w:tcW w:w="1114"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29"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104"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75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c>
          <w:tcPr>
            <w:tcW w:w="881" w:type="dxa"/>
            <w:gridSpan w:val="2"/>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664"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w:t>
            </w:r>
          </w:p>
        </w:tc>
      </w:tr>
      <w:tr w:rsidR="00661907">
        <w:trPr>
          <w:trHeight w:val="340"/>
        </w:trPr>
        <w:tc>
          <w:tcPr>
            <w:tcW w:w="575" w:type="dxa"/>
            <w:vMerge w:val="restart"/>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年度总体目标</w:t>
            </w:r>
          </w:p>
        </w:tc>
        <w:tc>
          <w:tcPr>
            <w:tcW w:w="4734" w:type="dxa"/>
            <w:gridSpan w:val="7"/>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预期目标</w:t>
            </w:r>
          </w:p>
        </w:tc>
        <w:tc>
          <w:tcPr>
            <w:tcW w:w="3406" w:type="dxa"/>
            <w:gridSpan w:val="8"/>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实际完成情况</w:t>
            </w:r>
          </w:p>
        </w:tc>
      </w:tr>
      <w:tr w:rsidR="00661907">
        <w:trPr>
          <w:trHeight w:val="20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4734" w:type="dxa"/>
            <w:gridSpan w:val="7"/>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eastAsia="仿宋_GB2312" w:hint="eastAsia"/>
                <w:color w:val="000000"/>
                <w:kern w:val="0"/>
                <w:szCs w:val="21"/>
              </w:rPr>
              <w:t>对镇区内</w:t>
            </w:r>
            <w:r>
              <w:rPr>
                <w:rFonts w:eastAsia="仿宋_GB2312" w:hint="eastAsia"/>
                <w:color w:val="000000"/>
                <w:kern w:val="0"/>
                <w:szCs w:val="21"/>
              </w:rPr>
              <w:t>40</w:t>
            </w:r>
            <w:r>
              <w:rPr>
                <w:rFonts w:eastAsia="仿宋_GB2312" w:hint="eastAsia"/>
                <w:color w:val="000000"/>
                <w:kern w:val="0"/>
                <w:szCs w:val="21"/>
              </w:rPr>
              <w:t>个村街进行环境治理，宣传环境治理政策，保持镇区内环境卫生、整洁</w:t>
            </w:r>
            <w:r>
              <w:rPr>
                <w:rFonts w:eastAsia="仿宋_GB2312" w:hint="eastAsia"/>
                <w:color w:val="000000"/>
                <w:kern w:val="0"/>
                <w:szCs w:val="21"/>
              </w:rPr>
              <w:t>,</w:t>
            </w:r>
            <w:r>
              <w:rPr>
                <w:rFonts w:eastAsia="仿宋_GB2312" w:hint="eastAsia"/>
                <w:color w:val="000000"/>
                <w:kern w:val="0"/>
                <w:szCs w:val="21"/>
              </w:rPr>
              <w:t>创造良好的人居环境。</w:t>
            </w:r>
          </w:p>
        </w:tc>
        <w:tc>
          <w:tcPr>
            <w:tcW w:w="3406" w:type="dxa"/>
            <w:gridSpan w:val="8"/>
            <w:tcBorders>
              <w:top w:val="single" w:sz="4" w:space="0" w:color="auto"/>
              <w:left w:val="nil"/>
              <w:bottom w:val="single" w:sz="4" w:space="0" w:color="auto"/>
              <w:right w:val="single" w:sz="4" w:space="0" w:color="auto"/>
            </w:tcBorders>
            <w:vAlign w:val="center"/>
          </w:tcPr>
          <w:p w:rsidR="00661907" w:rsidRDefault="000B580C">
            <w:pPr>
              <w:pStyle w:val="2"/>
              <w:widowControl/>
              <w:shd w:val="clear" w:color="auto" w:fill="FFFFFF"/>
              <w:spacing w:line="240" w:lineRule="exact"/>
              <w:rPr>
                <w:rFonts w:eastAsia="仿宋_GB2312"/>
                <w:color w:val="000000"/>
                <w:sz w:val="22"/>
                <w:szCs w:val="22"/>
              </w:rPr>
            </w:pPr>
            <w:r>
              <w:rPr>
                <w:rFonts w:ascii="等线" w:eastAsia="仿宋_GB2312" w:hAnsi="等线" w:cs="Arial" w:hint="eastAsia"/>
                <w:b w:val="0"/>
                <w:bCs w:val="0"/>
                <w:color w:val="000000"/>
                <w:kern w:val="0"/>
                <w:sz w:val="21"/>
                <w:szCs w:val="21"/>
              </w:rPr>
              <w:t>解决辖区内</w:t>
            </w:r>
            <w:r>
              <w:rPr>
                <w:rFonts w:ascii="等线" w:eastAsia="仿宋_GB2312" w:hAnsi="等线" w:cs="Arial" w:hint="eastAsia"/>
                <w:b w:val="0"/>
                <w:bCs w:val="0"/>
                <w:color w:val="000000"/>
                <w:kern w:val="0"/>
                <w:sz w:val="21"/>
                <w:szCs w:val="21"/>
              </w:rPr>
              <w:t>40</w:t>
            </w:r>
            <w:r>
              <w:rPr>
                <w:rFonts w:ascii="等线" w:eastAsia="仿宋_GB2312" w:hAnsi="等线" w:cs="Arial" w:hint="eastAsia"/>
                <w:b w:val="0"/>
                <w:bCs w:val="0"/>
                <w:color w:val="000000"/>
                <w:kern w:val="0"/>
                <w:sz w:val="21"/>
                <w:szCs w:val="21"/>
              </w:rPr>
              <w:t>个村街垃圾露天堆放问题，及时清理，宣传环境治理政策，确保镇区内环境整洁、卫生，创造良好的人居环境</w:t>
            </w:r>
            <w:r>
              <w:rPr>
                <w:rFonts w:ascii="等线" w:eastAsia="仿宋_GB2312" w:hAnsi="等线" w:cs="Arial" w:hint="eastAsia"/>
                <w:b w:val="0"/>
                <w:bCs w:val="0"/>
                <w:color w:val="000000"/>
                <w:kern w:val="0"/>
                <w:sz w:val="21"/>
                <w:szCs w:val="21"/>
              </w:rPr>
              <w:t>,</w:t>
            </w:r>
            <w:r>
              <w:rPr>
                <w:rFonts w:ascii="等线" w:eastAsia="仿宋_GB2312" w:hAnsi="等线" w:cs="Arial" w:hint="eastAsia"/>
                <w:b w:val="0"/>
                <w:bCs w:val="0"/>
                <w:color w:val="000000"/>
                <w:kern w:val="0"/>
                <w:sz w:val="21"/>
                <w:szCs w:val="21"/>
              </w:rPr>
              <w:t>提高群众及企业环境保护意识，创造良好的人居环境。</w:t>
            </w:r>
          </w:p>
        </w:tc>
      </w:tr>
      <w:tr w:rsidR="00661907">
        <w:trPr>
          <w:trHeight w:val="667"/>
        </w:trPr>
        <w:tc>
          <w:tcPr>
            <w:tcW w:w="575" w:type="dxa"/>
            <w:vMerge w:val="restart"/>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绩</w:t>
            </w:r>
            <w:r>
              <w:rPr>
                <w:rFonts w:ascii="仿宋" w:eastAsia="仿宋" w:hint="eastAsia"/>
                <w:kern w:val="0"/>
                <w:sz w:val="22"/>
              </w:rPr>
              <w:br/>
            </w:r>
            <w:r>
              <w:rPr>
                <w:rFonts w:ascii="仿宋" w:eastAsia="仿宋" w:hint="eastAsia"/>
                <w:kern w:val="0"/>
                <w:sz w:val="22"/>
              </w:rPr>
              <w:t>效</w:t>
            </w:r>
            <w:r>
              <w:rPr>
                <w:rFonts w:ascii="仿宋" w:eastAsia="仿宋" w:hint="eastAsia"/>
                <w:kern w:val="0"/>
                <w:sz w:val="22"/>
              </w:rPr>
              <w:br/>
            </w:r>
            <w:r>
              <w:rPr>
                <w:rFonts w:ascii="仿宋" w:eastAsia="仿宋" w:hint="eastAsia"/>
                <w:kern w:val="0"/>
                <w:sz w:val="22"/>
              </w:rPr>
              <w:t>指</w:t>
            </w:r>
            <w:r>
              <w:rPr>
                <w:rFonts w:ascii="仿宋" w:eastAsia="仿宋" w:hint="eastAsia"/>
                <w:kern w:val="0"/>
                <w:sz w:val="22"/>
              </w:rPr>
              <w:br/>
            </w:r>
            <w:r>
              <w:rPr>
                <w:rFonts w:ascii="仿宋" w:eastAsia="仿宋" w:hint="eastAsia"/>
                <w:kern w:val="0"/>
                <w:sz w:val="22"/>
              </w:rPr>
              <w:t>标</w:t>
            </w:r>
          </w:p>
        </w:tc>
        <w:tc>
          <w:tcPr>
            <w:tcW w:w="616"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一级指标</w:t>
            </w:r>
          </w:p>
        </w:tc>
        <w:tc>
          <w:tcPr>
            <w:tcW w:w="1177"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二级指标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三级指标</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年度</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指标值</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实际</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完成值</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分值</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得分</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偏差原因分析及改进措施</w:t>
            </w:r>
          </w:p>
        </w:tc>
      </w:tr>
      <w:tr w:rsidR="00661907">
        <w:trPr>
          <w:trHeight w:val="4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val="restart"/>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产出指标</w:t>
            </w:r>
          </w:p>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数量指标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Cs w:val="21"/>
              </w:rPr>
              <w:t>排查垃圾处理点数量</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40</w:t>
            </w:r>
            <w:r>
              <w:rPr>
                <w:rFonts w:ascii="仿宋" w:eastAsia="仿宋" w:hint="eastAsia"/>
                <w:kern w:val="0"/>
                <w:sz w:val="22"/>
              </w:rPr>
              <w:t>次</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40</w:t>
            </w:r>
            <w:r>
              <w:rPr>
                <w:rFonts w:ascii="仿宋" w:eastAsia="仿宋" w:hint="eastAsia"/>
                <w:kern w:val="0"/>
                <w:sz w:val="22"/>
              </w:rPr>
              <w:t>次</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4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质量指标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Cs w:val="21"/>
              </w:rPr>
              <w:t>环境质量达标率</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100%</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100%</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20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20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4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时效指标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Cs w:val="21"/>
              </w:rPr>
              <w:t>垃圾及时处理性</w:t>
            </w:r>
          </w:p>
        </w:tc>
        <w:tc>
          <w:tcPr>
            <w:tcW w:w="1005" w:type="dxa"/>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2019</w:t>
            </w:r>
            <w:r>
              <w:rPr>
                <w:rFonts w:ascii="仿宋" w:eastAsia="仿宋" w:hint="eastAsia"/>
                <w:kern w:val="0"/>
                <w:sz w:val="22"/>
              </w:rPr>
              <w:t>年</w:t>
            </w:r>
            <w:r>
              <w:rPr>
                <w:rFonts w:ascii="仿宋" w:eastAsia="仿宋" w:hint="eastAsia"/>
                <w:kern w:val="0"/>
                <w:sz w:val="22"/>
              </w:rPr>
              <w:t>11</w:t>
            </w:r>
            <w:r>
              <w:rPr>
                <w:rFonts w:ascii="仿宋" w:eastAsia="仿宋" w:hint="eastAsia"/>
                <w:kern w:val="0"/>
                <w:sz w:val="22"/>
              </w:rPr>
              <w:t>月底</w:t>
            </w:r>
          </w:p>
        </w:tc>
        <w:tc>
          <w:tcPr>
            <w:tcW w:w="911" w:type="dxa"/>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2019</w:t>
            </w:r>
            <w:r>
              <w:rPr>
                <w:rFonts w:ascii="仿宋" w:eastAsia="仿宋" w:hint="eastAsia"/>
                <w:kern w:val="0"/>
                <w:sz w:val="22"/>
              </w:rPr>
              <w:t>年</w:t>
            </w:r>
            <w:r>
              <w:rPr>
                <w:rFonts w:ascii="仿宋" w:eastAsia="仿宋" w:hint="eastAsia"/>
                <w:kern w:val="0"/>
                <w:sz w:val="22"/>
              </w:rPr>
              <w:t>11</w:t>
            </w:r>
            <w:r>
              <w:rPr>
                <w:rFonts w:ascii="仿宋" w:eastAsia="仿宋" w:hint="eastAsia"/>
                <w:kern w:val="0"/>
                <w:sz w:val="22"/>
              </w:rPr>
              <w:t>月底</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438"/>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成本指标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 w:val="22"/>
              </w:rPr>
              <w:t>成本节约量</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62</w:t>
            </w:r>
            <w:r>
              <w:rPr>
                <w:rFonts w:ascii="仿宋" w:eastAsia="仿宋" w:hint="eastAsia"/>
                <w:kern w:val="0"/>
                <w:sz w:val="22"/>
              </w:rPr>
              <w:t>万元</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62</w:t>
            </w:r>
            <w:r>
              <w:rPr>
                <w:rFonts w:ascii="仿宋" w:eastAsia="仿宋" w:hint="eastAsia"/>
                <w:kern w:val="0"/>
                <w:sz w:val="22"/>
              </w:rPr>
              <w:t>万元</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660"/>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val="restart"/>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效益指标</w:t>
            </w:r>
          </w:p>
          <w:p w:rsidR="00661907" w:rsidRDefault="00661907">
            <w:pPr>
              <w:widowControl/>
              <w:spacing w:line="240" w:lineRule="exact"/>
              <w:jc w:val="center"/>
              <w:rPr>
                <w:rFonts w:ascii="仿宋" w:eastAsia="仿宋"/>
                <w:kern w:val="0"/>
                <w:sz w:val="22"/>
              </w:rPr>
            </w:pPr>
          </w:p>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社会效益</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Cs w:val="21"/>
              </w:rPr>
              <w:t>受益人口数量</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3</w:t>
            </w:r>
            <w:r>
              <w:rPr>
                <w:rFonts w:ascii="仿宋" w:eastAsia="仿宋" w:hint="eastAsia"/>
                <w:kern w:val="0"/>
                <w:sz w:val="22"/>
              </w:rPr>
              <w:t>万人</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3</w:t>
            </w:r>
            <w:r>
              <w:rPr>
                <w:rFonts w:ascii="仿宋" w:eastAsia="仿宋" w:hint="eastAsia"/>
                <w:kern w:val="0"/>
                <w:sz w:val="22"/>
              </w:rPr>
              <w:t>万人</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463"/>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经济效益</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661907">
            <w:pPr>
              <w:widowControl/>
              <w:jc w:val="center"/>
              <w:rPr>
                <w:rFonts w:ascii="仿宋" w:eastAsia="仿宋"/>
                <w:color w:val="000000"/>
                <w:kern w:val="0"/>
                <w:sz w:val="22"/>
              </w:rPr>
            </w:pPr>
          </w:p>
        </w:tc>
        <w:tc>
          <w:tcPr>
            <w:tcW w:w="1005"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911" w:type="dxa"/>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523"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486" w:type="dxa"/>
            <w:gridSpan w:val="2"/>
            <w:tcBorders>
              <w:top w:val="nil"/>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c>
          <w:tcPr>
            <w:tcW w:w="1486" w:type="dxa"/>
            <w:gridSpan w:val="3"/>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r>
      <w:tr w:rsidR="00661907">
        <w:trPr>
          <w:trHeight w:val="581"/>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生态效益</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Cs w:val="21"/>
              </w:rPr>
              <w:t>环境提升情况</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改善</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改善</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547"/>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vMerge/>
            <w:tcBorders>
              <w:top w:val="nil"/>
              <w:left w:val="single" w:sz="4" w:space="0" w:color="auto"/>
              <w:bottom w:val="single" w:sz="4" w:space="0" w:color="auto"/>
              <w:right w:val="single" w:sz="4" w:space="0" w:color="auto"/>
            </w:tcBorders>
            <w:vAlign w:val="center"/>
          </w:tcPr>
          <w:p w:rsidR="00661907" w:rsidRDefault="00661907"/>
        </w:tc>
        <w:tc>
          <w:tcPr>
            <w:tcW w:w="1177" w:type="dxa"/>
            <w:gridSpan w:val="2"/>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可持续影响</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Cs w:val="21"/>
              </w:rPr>
              <w:t>长效管理机制</w:t>
            </w:r>
          </w:p>
        </w:tc>
        <w:tc>
          <w:tcPr>
            <w:tcW w:w="1005" w:type="dxa"/>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ind w:firstLineChars="100" w:firstLine="220"/>
              <w:rPr>
                <w:rFonts w:ascii="仿宋" w:eastAsia="仿宋"/>
                <w:kern w:val="0"/>
                <w:sz w:val="22"/>
              </w:rPr>
            </w:pPr>
            <w:r>
              <w:rPr>
                <w:rFonts w:ascii="仿宋" w:eastAsia="仿宋" w:hint="eastAsia"/>
                <w:kern w:val="0"/>
                <w:sz w:val="22"/>
              </w:rPr>
              <w:t>健全</w:t>
            </w:r>
          </w:p>
        </w:tc>
        <w:tc>
          <w:tcPr>
            <w:tcW w:w="911" w:type="dxa"/>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健全</w:t>
            </w:r>
          </w:p>
        </w:tc>
        <w:tc>
          <w:tcPr>
            <w:tcW w:w="523"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667"/>
        </w:trPr>
        <w:tc>
          <w:tcPr>
            <w:tcW w:w="575" w:type="dxa"/>
            <w:vMerge/>
            <w:tcBorders>
              <w:top w:val="nil"/>
              <w:left w:val="single" w:sz="4" w:space="0" w:color="auto"/>
              <w:bottom w:val="single" w:sz="4" w:space="0" w:color="auto"/>
              <w:right w:val="single" w:sz="4" w:space="0" w:color="auto"/>
            </w:tcBorders>
            <w:vAlign w:val="center"/>
          </w:tcPr>
          <w:p w:rsidR="00661907" w:rsidRDefault="00661907"/>
        </w:tc>
        <w:tc>
          <w:tcPr>
            <w:tcW w:w="616" w:type="dxa"/>
            <w:tcBorders>
              <w:top w:val="nil"/>
              <w:left w:val="single" w:sz="4" w:space="0" w:color="auto"/>
              <w:bottom w:val="nil"/>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满意度</w:t>
            </w:r>
          </w:p>
          <w:p w:rsidR="00661907" w:rsidRDefault="000B580C">
            <w:pPr>
              <w:widowControl/>
              <w:spacing w:line="240" w:lineRule="exact"/>
              <w:jc w:val="center"/>
              <w:rPr>
                <w:rFonts w:ascii="仿宋" w:eastAsia="仿宋"/>
                <w:kern w:val="0"/>
                <w:sz w:val="22"/>
              </w:rPr>
            </w:pPr>
            <w:r>
              <w:rPr>
                <w:rFonts w:ascii="仿宋" w:eastAsia="仿宋" w:hint="eastAsia"/>
                <w:kern w:val="0"/>
                <w:sz w:val="22"/>
              </w:rPr>
              <w:t>指标</w:t>
            </w:r>
          </w:p>
        </w:tc>
        <w:tc>
          <w:tcPr>
            <w:tcW w:w="1177" w:type="dxa"/>
            <w:gridSpan w:val="2"/>
            <w:tcBorders>
              <w:top w:val="nil"/>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服务对象满意度指标</w:t>
            </w:r>
          </w:p>
        </w:tc>
        <w:tc>
          <w:tcPr>
            <w:tcW w:w="1936" w:type="dxa"/>
            <w:gridSpan w:val="3"/>
            <w:tcBorders>
              <w:top w:val="single" w:sz="4" w:space="0" w:color="auto"/>
              <w:left w:val="nil"/>
              <w:bottom w:val="single" w:sz="4" w:space="0" w:color="auto"/>
              <w:right w:val="single" w:sz="4" w:space="0" w:color="auto"/>
            </w:tcBorders>
            <w:vAlign w:val="center"/>
          </w:tcPr>
          <w:p w:rsidR="00661907" w:rsidRDefault="000B580C">
            <w:pPr>
              <w:widowControl/>
              <w:jc w:val="center"/>
              <w:rPr>
                <w:rFonts w:ascii="仿宋" w:eastAsia="仿宋"/>
                <w:color w:val="000000"/>
                <w:kern w:val="0"/>
                <w:sz w:val="22"/>
              </w:rPr>
            </w:pPr>
            <w:r>
              <w:rPr>
                <w:rFonts w:eastAsia="仿宋_GB2312" w:hint="eastAsia"/>
                <w:color w:val="000000"/>
                <w:kern w:val="0"/>
                <w:sz w:val="22"/>
              </w:rPr>
              <w:t>群众满意度</w:t>
            </w:r>
          </w:p>
        </w:tc>
        <w:tc>
          <w:tcPr>
            <w:tcW w:w="1005"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95%</w:t>
            </w:r>
          </w:p>
        </w:tc>
        <w:tc>
          <w:tcPr>
            <w:tcW w:w="911" w:type="dxa"/>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大于</w:t>
            </w:r>
            <w:r>
              <w:rPr>
                <w:rFonts w:ascii="仿宋" w:eastAsia="仿宋" w:hint="eastAsia"/>
                <w:kern w:val="0"/>
                <w:sz w:val="22"/>
              </w:rPr>
              <w:t>95%</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10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kern w:val="0"/>
                <w:sz w:val="22"/>
              </w:rPr>
            </w:pPr>
            <w:r>
              <w:rPr>
                <w:rFonts w:ascii="仿宋" w:eastAsia="仿宋" w:hint="eastAsia"/>
                <w:kern w:val="0"/>
                <w:sz w:val="22"/>
              </w:rPr>
              <w:t>无</w:t>
            </w:r>
          </w:p>
        </w:tc>
      </w:tr>
      <w:tr w:rsidR="00661907">
        <w:trPr>
          <w:trHeight w:val="354"/>
        </w:trPr>
        <w:tc>
          <w:tcPr>
            <w:tcW w:w="6220" w:type="dxa"/>
            <w:gridSpan w:val="9"/>
            <w:tcBorders>
              <w:top w:val="single" w:sz="4" w:space="0" w:color="auto"/>
              <w:left w:val="single" w:sz="4" w:space="0" w:color="auto"/>
              <w:bottom w:val="single" w:sz="4" w:space="0" w:color="auto"/>
              <w:right w:val="single" w:sz="4" w:space="0" w:color="auto"/>
            </w:tcBorders>
            <w:vAlign w:val="center"/>
          </w:tcPr>
          <w:p w:rsidR="00661907" w:rsidRDefault="000B580C">
            <w:pPr>
              <w:widowControl/>
              <w:spacing w:line="240" w:lineRule="exact"/>
              <w:jc w:val="center"/>
              <w:rPr>
                <w:rFonts w:ascii="仿宋" w:eastAsia="仿宋"/>
                <w:color w:val="000000"/>
                <w:kern w:val="0"/>
                <w:sz w:val="22"/>
              </w:rPr>
            </w:pPr>
            <w:r>
              <w:rPr>
                <w:rFonts w:ascii="仿宋" w:eastAsia="仿宋" w:hint="eastAsia"/>
                <w:color w:val="000000"/>
                <w:kern w:val="0"/>
                <w:sz w:val="22"/>
              </w:rPr>
              <w:t>总分</w:t>
            </w:r>
          </w:p>
        </w:tc>
        <w:tc>
          <w:tcPr>
            <w:tcW w:w="523"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486" w:type="dxa"/>
            <w:gridSpan w:val="2"/>
            <w:tcBorders>
              <w:top w:val="nil"/>
              <w:left w:val="nil"/>
              <w:bottom w:val="single" w:sz="4" w:space="0" w:color="auto"/>
              <w:right w:val="single" w:sz="4" w:space="0" w:color="auto"/>
            </w:tcBorders>
            <w:vAlign w:val="center"/>
          </w:tcPr>
          <w:p w:rsidR="00661907" w:rsidRDefault="000B580C">
            <w:pPr>
              <w:widowControl/>
              <w:spacing w:line="240" w:lineRule="exact"/>
              <w:jc w:val="center"/>
              <w:rPr>
                <w:rFonts w:ascii="仿宋" w:eastAsia="仿宋"/>
                <w:color w:val="000000"/>
                <w:kern w:val="0"/>
                <w:sz w:val="22"/>
              </w:rPr>
            </w:pPr>
            <w:r>
              <w:rPr>
                <w:rFonts w:ascii="仿宋" w:eastAsia="仿宋" w:hint="eastAsia"/>
                <w:color w:val="000000"/>
                <w:kern w:val="0"/>
                <w:sz w:val="22"/>
              </w:rPr>
              <w:t>100</w:t>
            </w:r>
          </w:p>
        </w:tc>
        <w:tc>
          <w:tcPr>
            <w:tcW w:w="1486" w:type="dxa"/>
            <w:gridSpan w:val="3"/>
            <w:tcBorders>
              <w:top w:val="single" w:sz="4" w:space="0" w:color="auto"/>
              <w:left w:val="nil"/>
              <w:bottom w:val="single" w:sz="4" w:space="0" w:color="auto"/>
              <w:right w:val="single" w:sz="4" w:space="0" w:color="auto"/>
            </w:tcBorders>
            <w:vAlign w:val="center"/>
          </w:tcPr>
          <w:p w:rsidR="00661907" w:rsidRDefault="00661907">
            <w:pPr>
              <w:widowControl/>
              <w:spacing w:line="240" w:lineRule="exact"/>
              <w:jc w:val="center"/>
              <w:rPr>
                <w:rFonts w:ascii="仿宋" w:eastAsia="仿宋"/>
                <w:kern w:val="0"/>
                <w:sz w:val="22"/>
              </w:rPr>
            </w:pPr>
          </w:p>
        </w:tc>
      </w:tr>
    </w:tbl>
    <w:p w:rsidR="00661907" w:rsidRDefault="00661907">
      <w:pPr>
        <w:rPr>
          <w:rFonts w:ascii="黑体" w:eastAsia="黑体" w:cs="黑体"/>
          <w:sz w:val="56"/>
          <w:szCs w:val="72"/>
        </w:rPr>
      </w:pPr>
    </w:p>
    <w:p w:rsidR="00661907" w:rsidRDefault="00661907">
      <w:pPr>
        <w:widowControl/>
        <w:jc w:val="left"/>
        <w:rPr>
          <w:rFonts w:ascii="黑体" w:eastAsia="黑体" w:cs="黑体"/>
          <w:sz w:val="56"/>
          <w:szCs w:val="72"/>
        </w:rPr>
      </w:pPr>
    </w:p>
    <w:p w:rsidR="00661907" w:rsidRDefault="00661907">
      <w:pPr>
        <w:jc w:val="center"/>
        <w:rPr>
          <w:rFonts w:ascii="黑体" w:eastAsia="黑体" w:cs="黑体"/>
          <w:sz w:val="56"/>
          <w:szCs w:val="72"/>
        </w:rPr>
      </w:pPr>
    </w:p>
    <w:p w:rsidR="00661907" w:rsidRDefault="00661907">
      <w:pPr>
        <w:jc w:val="center"/>
        <w:rPr>
          <w:rFonts w:ascii="黑体" w:eastAsia="黑体" w:cs="黑体"/>
          <w:sz w:val="56"/>
          <w:szCs w:val="72"/>
        </w:rPr>
      </w:pPr>
    </w:p>
    <w:p w:rsidR="00661907" w:rsidRDefault="00661907">
      <w:pPr>
        <w:jc w:val="center"/>
        <w:rPr>
          <w:sz w:val="72"/>
        </w:rPr>
      </w:pPr>
      <w:r>
        <w:rPr>
          <w:sz w:val="72"/>
        </w:rPr>
        <w:pict>
          <v:shape id="文本框 161" o:spid="_x0000_s2051" type="#_x0000_t202" style="position:absolute;left:0;text-align:left;margin-left:-80.45pt;margin-top:34.8pt;width:613.65pt;height:263.1pt;z-index:251660288;mso-wrap-distance-left:3.17494mm;mso-wrap-distance-right:3.17494mm;v-text-anchor:middle" stroked="f">
            <v:textbox id="861custom">
              <w:txbxContent>
                <w:p w:rsidR="00661907" w:rsidRDefault="000B580C">
                  <w:pPr>
                    <w:widowControl/>
                    <w:jc w:val="center"/>
                  </w:pPr>
                  <w:r>
                    <w:rPr>
                      <w:rFonts w:ascii="黑体" w:eastAsia="黑体" w:cs="黑体" w:hint="eastAsia"/>
                      <w:color w:val="000000"/>
                      <w:sz w:val="90"/>
                      <w:szCs w:val="90"/>
                    </w:rPr>
                    <w:t>第三部分</w:t>
                  </w:r>
                  <w:r>
                    <w:rPr>
                      <w:rFonts w:ascii="黑体" w:eastAsia="黑体" w:cs="黑体" w:hint="eastAsia"/>
                      <w:color w:val="000000"/>
                      <w:sz w:val="90"/>
                      <w:szCs w:val="90"/>
                    </w:rPr>
                    <w:t xml:space="preserve"> </w:t>
                  </w:r>
                  <w:r>
                    <w:rPr>
                      <w:rFonts w:ascii="黑体" w:eastAsia="黑体" w:cs="黑体" w:hint="eastAsia"/>
                      <w:color w:val="000000"/>
                      <w:sz w:val="90"/>
                      <w:szCs w:val="90"/>
                    </w:rPr>
                    <w:t>相关名词解释</w:t>
                  </w:r>
                </w:p>
              </w:txbxContent>
            </v:textbox>
          </v:shape>
        </w:pict>
      </w:r>
    </w:p>
    <w:p w:rsidR="00661907" w:rsidRDefault="00661907"/>
    <w:p w:rsidR="00661907" w:rsidRDefault="00661907"/>
    <w:p w:rsidR="00661907" w:rsidRDefault="00661907"/>
    <w:p w:rsidR="00661907" w:rsidRDefault="00661907"/>
    <w:p w:rsidR="00661907" w:rsidRDefault="00661907"/>
    <w:p w:rsidR="00661907" w:rsidRDefault="00661907"/>
    <w:p w:rsidR="00661907" w:rsidRDefault="00661907"/>
    <w:p w:rsidR="00661907" w:rsidRDefault="00661907"/>
    <w:p w:rsidR="00661907" w:rsidRDefault="00661907"/>
    <w:p w:rsidR="00661907" w:rsidRDefault="00661907"/>
    <w:p w:rsidR="00661907" w:rsidRDefault="00661907"/>
    <w:p w:rsidR="00661907" w:rsidRDefault="00661907">
      <w:pPr>
        <w:tabs>
          <w:tab w:val="left" w:pos="886"/>
        </w:tabs>
        <w:jc w:val="left"/>
        <w:sectPr w:rsidR="00661907">
          <w:headerReference w:type="first" r:id="rId28"/>
          <w:pgSz w:w="11906" w:h="16838"/>
          <w:pgMar w:top="2041" w:right="1531" w:bottom="2041" w:left="1531" w:header="851" w:footer="992" w:gutter="0"/>
          <w:pgNumType w:fmt="numberInDash"/>
          <w:cols w:space="720"/>
          <w:titlePg/>
          <w:docGrid w:type="lines" w:linePitch="312"/>
        </w:sectPr>
      </w:pP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w:t>
      </w:r>
      <w:r>
        <w:rPr>
          <w:rFonts w:ascii="仿宋_GB2312" w:eastAsia="仿宋_GB2312" w:cs="Times New Roman" w:hint="eastAsia"/>
          <w:color w:val="000000"/>
          <w:kern w:val="0"/>
          <w:sz w:val="32"/>
          <w:szCs w:val="32"/>
        </w:rPr>
        <w:t>到下年或以后年度继续使用的资金，或项目已完成等产生的结余资金。</w:t>
      </w: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w:t>
      </w:r>
      <w:r>
        <w:rPr>
          <w:rFonts w:ascii="仿宋_GB2312" w:eastAsia="仿宋_GB2312" w:cs="Times New Roman" w:hint="eastAsia"/>
          <w:color w:val="000000"/>
          <w:kern w:val="0"/>
          <w:sz w:val="32"/>
          <w:szCs w:val="32"/>
        </w:rPr>
        <w:t>部门集中安排的用于购置固定资产、战备性和应急性储备、土地和无形资产，以及购建基础设施、大型修缮和财政支持企业更新改造所发生的支出。</w:t>
      </w:r>
    </w:p>
    <w:p w:rsidR="00661907" w:rsidRDefault="000B580C" w:rsidP="009A1155">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661907" w:rsidRDefault="000B580C" w:rsidP="009A1155">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w:t>
      </w:r>
      <w:r>
        <w:rPr>
          <w:rFonts w:ascii="仿宋_GB2312" w:eastAsia="仿宋_GB2312" w:cs="Times New Roman" w:hint="eastAsia"/>
          <w:color w:val="000000"/>
          <w:kern w:val="0"/>
          <w:sz w:val="32"/>
          <w:szCs w:val="32"/>
        </w:rPr>
        <w:t>舶等燃料费、维修费、保险费等。</w:t>
      </w: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661907" w:rsidRDefault="000B580C" w:rsidP="009A1155">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61907" w:rsidRDefault="000B580C" w:rsidP="009A1155">
      <w:pPr>
        <w:widowControl/>
        <w:spacing w:line="560" w:lineRule="exact"/>
        <w:ind w:firstLineChars="200" w:firstLine="643"/>
        <w:rPr>
          <w:rFonts w:ascii="仿宋_GB2312" w:eastAsia="仿宋_GB2312" w:cs="ArialUnicodeMS"/>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661907" w:rsidRDefault="00661907"/>
    <w:p w:rsidR="00661907" w:rsidRDefault="00661907"/>
    <w:p w:rsidR="00661907" w:rsidRDefault="00661907"/>
    <w:p w:rsidR="00661907" w:rsidRDefault="00661907"/>
    <w:p w:rsidR="00661907" w:rsidRDefault="00661907">
      <w:pPr>
        <w:tabs>
          <w:tab w:val="left" w:pos="235"/>
        </w:tabs>
        <w:jc w:val="left"/>
      </w:pPr>
    </w:p>
    <w:p w:rsidR="00661907" w:rsidRDefault="00661907">
      <w:pPr>
        <w:tabs>
          <w:tab w:val="left" w:pos="235"/>
        </w:tabs>
        <w:jc w:val="left"/>
      </w:pPr>
    </w:p>
    <w:p w:rsidR="00661907" w:rsidRDefault="00661907">
      <w:pPr>
        <w:tabs>
          <w:tab w:val="left" w:pos="235"/>
        </w:tabs>
        <w:jc w:val="left"/>
      </w:pPr>
    </w:p>
    <w:p w:rsidR="00661907" w:rsidRDefault="00661907">
      <w:pPr>
        <w:tabs>
          <w:tab w:val="left" w:pos="235"/>
        </w:tabs>
        <w:jc w:val="left"/>
      </w:pPr>
    </w:p>
    <w:p w:rsidR="00661907" w:rsidRDefault="00661907">
      <w:pPr>
        <w:tabs>
          <w:tab w:val="left" w:pos="235"/>
        </w:tabs>
        <w:jc w:val="left"/>
      </w:pPr>
    </w:p>
    <w:p w:rsidR="00661907" w:rsidRDefault="00661907">
      <w:pPr>
        <w:tabs>
          <w:tab w:val="left" w:pos="235"/>
        </w:tabs>
        <w:jc w:val="left"/>
        <w:sectPr w:rsidR="00661907">
          <w:headerReference w:type="default" r:id="rId29"/>
          <w:pgSz w:w="11906" w:h="16838"/>
          <w:pgMar w:top="2098" w:right="1474" w:bottom="1985" w:left="1588" w:header="851" w:footer="992" w:gutter="0"/>
          <w:pgNumType w:fmt="numberInDash"/>
          <w:cols w:space="720"/>
          <w:docGrid w:type="lines" w:linePitch="312"/>
        </w:sectPr>
      </w:pPr>
    </w:p>
    <w:p w:rsidR="00661907" w:rsidRDefault="00661907">
      <w:pPr>
        <w:tabs>
          <w:tab w:val="left" w:pos="235"/>
        </w:tabs>
        <w:jc w:val="left"/>
      </w:pPr>
    </w:p>
    <w:p w:rsidR="00661907" w:rsidRDefault="00661907">
      <w:pPr>
        <w:tabs>
          <w:tab w:val="left" w:pos="235"/>
        </w:tabs>
        <w:jc w:val="left"/>
        <w:sectPr w:rsidR="00661907">
          <w:headerReference w:type="default" r:id="rId30"/>
          <w:pgSz w:w="11906" w:h="16838"/>
          <w:pgMar w:top="2098" w:right="1474" w:bottom="1985" w:left="1588" w:header="851" w:footer="992" w:gutter="0"/>
          <w:pgNumType w:fmt="numberInDash"/>
          <w:cols w:space="720"/>
          <w:docGrid w:type="lines" w:linePitch="312"/>
        </w:sectPr>
      </w:pPr>
      <w:r w:rsidRPr="00661907">
        <w:rPr>
          <w:sz w:val="72"/>
        </w:rPr>
        <w:pict>
          <v:shape id="文本框 176" o:spid="_x0000_s2050" type="#_x0000_t202" style="position:absolute;margin-left:-82.05pt;margin-top:112pt;width:613.65pt;height:263.1pt;z-index:251661312;mso-wrap-distance-left:3.17494mm;mso-wrap-distance-right:3.17494mm;v-text-anchor:middle" stroked="f">
            <v:textbox id="862custom">
              <w:txbxContent>
                <w:p w:rsidR="00661907" w:rsidRDefault="000B580C">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hint="eastAsia"/>
                      <w:color w:val="000000"/>
                      <w:sz w:val="90"/>
                      <w:szCs w:val="90"/>
                    </w:rPr>
                    <w:t xml:space="preserve"> </w:t>
                  </w:r>
                </w:p>
                <w:p w:rsidR="00661907" w:rsidRDefault="000B580C">
                  <w:pPr>
                    <w:widowControl/>
                    <w:jc w:val="center"/>
                  </w:pPr>
                  <w:r>
                    <w:rPr>
                      <w:rFonts w:ascii="黑体" w:eastAsia="黑体" w:cs="黑体" w:hint="eastAsia"/>
                      <w:color w:val="000000"/>
                      <w:sz w:val="90"/>
                      <w:szCs w:val="90"/>
                    </w:rPr>
                    <w:t>2019</w:t>
                  </w:r>
                  <w:r>
                    <w:rPr>
                      <w:rFonts w:ascii="黑体" w:eastAsia="黑体" w:cs="黑体" w:hint="eastAsia"/>
                      <w:color w:val="000000"/>
                      <w:sz w:val="90"/>
                      <w:szCs w:val="90"/>
                    </w:rPr>
                    <w:t>年度部门决算报表</w:t>
                  </w:r>
                </w:p>
              </w:txbxContent>
            </v:textbox>
          </v:shape>
        </w:pict>
      </w:r>
    </w:p>
    <w:p w:rsidR="00661907" w:rsidRDefault="00661907"/>
    <w:sectPr w:rsidR="00661907" w:rsidSect="00661907">
      <w:headerReference w:type="default" r:id="rId31"/>
      <w:footerReference w:type="default" r:id="rId32"/>
      <w:headerReference w:type="first" r:id="rId33"/>
      <w:pgSz w:w="11906" w:h="16838"/>
      <w:pgMar w:top="1701" w:right="1417" w:bottom="1281" w:left="141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0C" w:rsidRDefault="000B580C" w:rsidP="00661907">
      <w:r>
        <w:separator/>
      </w:r>
    </w:p>
  </w:endnote>
  <w:endnote w:type="continuationSeparator" w:id="0">
    <w:p w:rsidR="000B580C" w:rsidRDefault="000B580C" w:rsidP="00661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variable"/>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宋体"/>
    <w:charset w:val="86"/>
    <w:family w:val="roman"/>
    <w:pitch w:val="variable"/>
    <w:sig w:usb0="00000000" w:usb1="00000000" w:usb2="00000000" w:usb3="00000000" w:csb0="00000000" w:csb1="00000000"/>
  </w:font>
  <w:font w:name="仿宋_GB2312">
    <w:altName w:val="仿宋"/>
    <w:charset w:val="86"/>
    <w:family w:val="modern"/>
    <w:pitch w:val="variable"/>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variable"/>
    <w:sig w:usb0="00000001" w:usb1="080E0000" w:usb2="00000000" w:usb3="00000000" w:csb0="00040000" w:csb1="00000000"/>
  </w:font>
  <w:font w:name="Yu Gothic UI Semibold">
    <w:altName w:val="MS UI Gothic"/>
    <w:charset w:val="80"/>
    <w:family w:val="swiss"/>
    <w:pitch w:val="variable"/>
    <w:sig w:usb0="00000000" w:usb1="00000000" w:usb2="00000016" w:usb3="00000000" w:csb0="2002009F" w:csb1="00000000"/>
  </w:font>
  <w:font w:name="黑体">
    <w:altName w:val="SimHei"/>
    <w:panose1 w:val="02010609060101010101"/>
    <w:charset w:val="86"/>
    <w:family w:val="modern"/>
    <w:pitch w:val="fixed"/>
    <w:sig w:usb0="800002BF" w:usb1="38CF7CFA" w:usb2="00000016" w:usb3="00000000" w:csb0="00040001" w:csb1="00000000"/>
  </w:font>
  <w:font w:name="思源黑体 HW Bold">
    <w:altName w:val="黑体"/>
    <w:charset w:val="86"/>
    <w:family w:val="swiss"/>
    <w:pitch w:val="variable"/>
    <w:sig w:usb0="00000000" w:usb1="00000000" w:usb2="00000016" w:usb3="00000000" w:csb0="002E0107" w:csb1="00000000"/>
  </w:font>
  <w:font w:name="仿宋">
    <w:altName w:val="微软雅黑"/>
    <w:panose1 w:val="02010609060101010101"/>
    <w:charset w:val="86"/>
    <w:family w:val="modern"/>
    <w:pitch w:val="fixed"/>
    <w:sig w:usb0="800002BF" w:usb1="38CF7CFA" w:usb2="00000016" w:usb3="00000000" w:csb0="00040001" w:csb1="00000000"/>
  </w:font>
  <w:font w:name="ArialUnicodeMS">
    <w:altName w:val="Dotum"/>
    <w:charset w:val="81"/>
    <w:family w:val="auto"/>
    <w:pitch w:val="variable"/>
    <w:sig w:usb0="00000000" w:usb1="00000000" w:usb2="00000010" w:usb3="00000000" w:csb0="00080001" w:csb1="00000000"/>
  </w:font>
  <w:font w:name="Malgun Gothic">
    <w:panose1 w:val="020B0503020000020004"/>
    <w:charset w:val="81"/>
    <w:family w:val="swiss"/>
    <w:pitch w:val="variable"/>
    <w:sig w:usb0="900002AF" w:usb1="09D77CFB" w:usb2="00000012" w:usb3="00000000" w:csb0="00080001" w:csb1="00000000"/>
  </w:font>
  <w:font w:name="DengXian-Regular">
    <w:altName w:val="宋体"/>
    <w:charset w:val="86"/>
    <w:family w:val="auto"/>
    <w:pitch w:val="variable"/>
    <w:sig w:usb0="00000000" w:usb1="00000000" w:usb2="00000010" w:usb3="00000000" w:csb0="00040001" w:csb1="00000000"/>
  </w:font>
  <w:font w:name="DengXian-Bold">
    <w:altName w:val="宋体"/>
    <w:charset w:val="86"/>
    <w:family w:val="auto"/>
    <w:pitch w:val="variable"/>
    <w:sig w:usb0="00000000" w:usb1="00000000" w:usb2="00000010" w:usb3="00000000" w:csb0="00040001" w:csb1="00000000"/>
  </w:font>
  <w:font w:name="TimesNewRomanPSMT">
    <w:altName w:val="Arial"/>
    <w:charset w:val="00"/>
    <w:family w:val="swiss"/>
    <w:pitch w:val="variable"/>
    <w:sig w:usb0="00000000" w:usb1="00000000" w:usb2="00000000" w:usb3="00000000" w:csb0="00000001" w:csb1="00000000"/>
  </w:font>
  <w:font w:name="MS-UIGothic,Bold">
    <w:altName w:val="Dotum"/>
    <w:charset w:val="81"/>
    <w:family w:val="auto"/>
    <w:pitch w:val="variable"/>
    <w:sig w:usb0="00000000" w:usb1="0000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4"/>
    </w:pPr>
    <w:r>
      <w:pict>
        <v:shapetype id="_x0000_t202" coordsize="21600,21600" o:spt="202" path="m,l,21600r21600,l21600,xe">
          <v:stroke joinstyle="miter"/>
          <v:path gradientshapeok="t" o:connecttype="rect"/>
        </v:shapetype>
        <v:shape id="文本框 67" o:spid="_x0000_s1069" type="#_x0000_t202" style="position:absolute;margin-left:209.65pt;margin-top:-12.95pt;width:30.6pt;height:14.3pt;z-index:100;mso-wrap-distance-left:3.17494mm;mso-wrap-distance-right:3.17494mm;mso-position-horizontal-relative:margin" filled="f" stroked="f">
          <v:textbox id="871custom" inset="0,0,0,0">
            <w:txbxContent>
              <w:p w:rsidR="00661907" w:rsidRDefault="00661907">
                <w:pPr>
                  <w:pStyle w:val="a4"/>
                  <w:jc w:val="center"/>
                  <w:rPr>
                    <w:rFonts w:ascii="Times New Roman" w:cs="Times New Roman"/>
                    <w:sz w:val="24"/>
                    <w:szCs w:val="24"/>
                  </w:rPr>
                </w:pPr>
                <w:r>
                  <w:rPr>
                    <w:rFonts w:ascii="Times New Roman" w:cs="Times New Roman"/>
                    <w:sz w:val="24"/>
                    <w:szCs w:val="24"/>
                  </w:rPr>
                  <w:fldChar w:fldCharType="begin"/>
                </w:r>
                <w:r w:rsidR="000B580C">
                  <w:rPr>
                    <w:rFonts w:ascii="Times New Roman" w:cs="Times New Roman"/>
                    <w:sz w:val="24"/>
                    <w:szCs w:val="24"/>
                  </w:rPr>
                  <w:instrText xml:space="preserve"> PAGE  \* MERGEFORMAT </w:instrText>
                </w:r>
                <w:r>
                  <w:rPr>
                    <w:rFonts w:ascii="Times New Roman" w:cs="Times New Roman"/>
                    <w:sz w:val="24"/>
                    <w:szCs w:val="24"/>
                  </w:rPr>
                  <w:fldChar w:fldCharType="separate"/>
                </w:r>
                <w:r w:rsidR="009A1155">
                  <w:rPr>
                    <w:rFonts w:ascii="Times New Roman" w:cs="Times New Roman"/>
                    <w:noProof/>
                    <w:sz w:val="24"/>
                    <w:szCs w:val="24"/>
                  </w:rPr>
                  <w:t>- 16 -</w:t>
                </w:r>
                <w:r>
                  <w:rPr>
                    <w:rFonts w:ascii="Times New Roman" w:cs="Times New Roman"/>
                    <w:sz w:val="24"/>
                    <w:szCs w:val="24"/>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4"/>
    </w:pPr>
    <w:r>
      <w:pict>
        <v:shapetype id="_x0000_t202" coordsize="21600,21600" o:spt="202" path="m,l,21600r21600,l21600,xe">
          <v:stroke joinstyle="miter"/>
          <v:path gradientshapeok="t" o:connecttype="rect"/>
        </v:shapetype>
        <v:shape id="文本框 70" o:spid="_x0000_s1068" type="#_x0000_t202" style="position:absolute;margin-left:206.55pt;margin-top:-22.45pt;width:34pt;height:35.15pt;z-index:102;mso-wrap-distance-left:3.17494mm;mso-wrap-distance-right:3.17494mm;mso-position-horizontal-relative:margin" filled="f" stroked="f">
          <v:textbox id="872custom" inset="0,0,0,0">
            <w:txbxContent>
              <w:p w:rsidR="00661907" w:rsidRDefault="00661907">
                <w:pPr>
                  <w:pStyle w:val="a4"/>
                  <w:jc w:val="center"/>
                  <w:rPr>
                    <w:rFonts w:ascii="Times New Roman" w:cs="Times New Roman"/>
                    <w:sz w:val="24"/>
                    <w:szCs w:val="24"/>
                  </w:rPr>
                </w:pPr>
                <w:r>
                  <w:rPr>
                    <w:rFonts w:ascii="Times New Roman" w:cs="Times New Roman"/>
                    <w:sz w:val="24"/>
                    <w:szCs w:val="24"/>
                  </w:rPr>
                  <w:fldChar w:fldCharType="begin"/>
                </w:r>
                <w:r w:rsidR="000B580C">
                  <w:rPr>
                    <w:rFonts w:ascii="Times New Roman" w:cs="Times New Roman"/>
                    <w:sz w:val="24"/>
                    <w:szCs w:val="24"/>
                  </w:rPr>
                  <w:instrText xml:space="preserve"> PAGE  \* MERGEFORMAT </w:instrText>
                </w:r>
                <w:r>
                  <w:rPr>
                    <w:rFonts w:ascii="Times New Roman" w:cs="Times New Roman"/>
                    <w:sz w:val="24"/>
                    <w:szCs w:val="24"/>
                  </w:rPr>
                  <w:fldChar w:fldCharType="separate"/>
                </w:r>
                <w:r w:rsidR="009A1155">
                  <w:rPr>
                    <w:rFonts w:ascii="Times New Roman" w:cs="Times New Roman"/>
                    <w:noProof/>
                    <w:sz w:val="24"/>
                    <w:szCs w:val="24"/>
                  </w:rPr>
                  <w:t>- 6 -</w:t>
                </w:r>
                <w:r>
                  <w:rPr>
                    <w:rFonts w:ascii="Times New Roman" w:cs="Times New Roman"/>
                    <w:sz w:val="24"/>
                    <w:szCs w:val="24"/>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4"/>
    </w:pPr>
    <w:r>
      <w:pict>
        <v:shapetype id="_x0000_t202" coordsize="21600,21600" o:spt="202" path="m,l,21600r21600,l21600,xe">
          <v:stroke joinstyle="miter"/>
          <v:path gradientshapeok="t" o:connecttype="rect"/>
        </v:shapetype>
        <v:shape id="文本框 155" o:spid="_x0000_s1046" type="#_x0000_t202" style="position:absolute;margin-left:209.15pt;margin-top:-6pt;width:26pt;height:18.7pt;z-index:104;mso-wrap-style:none;mso-wrap-distance-left:3.17494mm;mso-wrap-distance-right:3.17494mm;mso-position-horizontal-relative:margin" filled="f" stroked="f">
          <v:textbox id="873custom" inset="0,0,0,0">
            <w:txbxContent>
              <w:p w:rsidR="00661907" w:rsidRDefault="00661907">
                <w:pPr>
                  <w:pStyle w:val="a4"/>
                  <w:rPr>
                    <w:rFonts w:ascii="Times New Roman" w:cs="Times New Roman"/>
                    <w:sz w:val="24"/>
                    <w:szCs w:val="24"/>
                  </w:rPr>
                </w:pPr>
                <w:r>
                  <w:rPr>
                    <w:rFonts w:ascii="Times New Roman" w:cs="Times New Roman"/>
                    <w:sz w:val="24"/>
                    <w:szCs w:val="24"/>
                  </w:rPr>
                  <w:fldChar w:fldCharType="begin"/>
                </w:r>
                <w:r w:rsidR="000B580C">
                  <w:rPr>
                    <w:rFonts w:ascii="Times New Roman" w:cs="Times New Roman"/>
                    <w:sz w:val="24"/>
                    <w:szCs w:val="24"/>
                  </w:rPr>
                  <w:instrText xml:space="preserve"> PAGE  \* MERGEFORMAT </w:instrText>
                </w:r>
                <w:r>
                  <w:rPr>
                    <w:rFonts w:ascii="Times New Roman" w:cs="Times New Roman"/>
                    <w:sz w:val="24"/>
                    <w:szCs w:val="24"/>
                  </w:rPr>
                  <w:fldChar w:fldCharType="separate"/>
                </w:r>
                <w:r w:rsidR="009A1155">
                  <w:rPr>
                    <w:rFonts w:ascii="Times New Roman" w:cs="Times New Roman"/>
                    <w:noProof/>
                    <w:sz w:val="24"/>
                    <w:szCs w:val="24"/>
                  </w:rPr>
                  <w:t>- 19 -</w:t>
                </w:r>
                <w:r>
                  <w:rPr>
                    <w:rFonts w:ascii="Times New Roman" w:cs="Times New Roman"/>
                    <w:sz w:val="24"/>
                    <w:szCs w:val="24"/>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4"/>
    </w:pPr>
    <w:r>
      <w:pict>
        <v:shapetype id="_x0000_t202" coordsize="21600,21600" o:spt="202" path="m,l,21600r21600,l21600,xe">
          <v:stroke joinstyle="miter"/>
          <v:path gradientshapeok="t" o:connecttype="rect"/>
        </v:shapetype>
        <v:shape id="文本框 158" o:spid="_x0000_s1045" type="#_x0000_t202" style="position:absolute;margin-left:205.45pt;margin-top:-18.75pt;width:30.15pt;height:31.45pt;z-index:106;mso-wrap-distance-left:3.17494mm;mso-wrap-distance-right:3.17494mm;mso-position-horizontal-relative:margin" filled="f" stroked="f">
          <v:textbox id="874custom" inset="0,0,0,0">
            <w:txbxContent>
              <w:p w:rsidR="00661907" w:rsidRDefault="00661907">
                <w:pPr>
                  <w:pStyle w:val="a4"/>
                  <w:rPr>
                    <w:rFonts w:ascii="Times New Roman" w:cs="Times New Roman"/>
                    <w:sz w:val="24"/>
                    <w:szCs w:val="24"/>
                  </w:rPr>
                </w:pPr>
                <w:r>
                  <w:rPr>
                    <w:rFonts w:ascii="Times New Roman" w:cs="Times New Roman"/>
                    <w:sz w:val="24"/>
                    <w:szCs w:val="24"/>
                  </w:rPr>
                  <w:fldChar w:fldCharType="begin"/>
                </w:r>
                <w:r w:rsidR="000B580C">
                  <w:rPr>
                    <w:rFonts w:ascii="Times New Roman" w:cs="Times New Roman"/>
                    <w:sz w:val="24"/>
                    <w:szCs w:val="24"/>
                  </w:rPr>
                  <w:instrText xml:space="preserve"> PAGE  \* MERGEFORMAT </w:instrText>
                </w:r>
                <w:r>
                  <w:rPr>
                    <w:rFonts w:ascii="Times New Roman" w:cs="Times New Roman"/>
                    <w:sz w:val="24"/>
                    <w:szCs w:val="24"/>
                  </w:rPr>
                  <w:fldChar w:fldCharType="separate"/>
                </w:r>
                <w:r w:rsidR="009A1155">
                  <w:rPr>
                    <w:rFonts w:ascii="Times New Roman" w:cs="Times New Roman"/>
                    <w:noProof/>
                    <w:sz w:val="24"/>
                    <w:szCs w:val="24"/>
                  </w:rPr>
                  <w:t>- 17 -</w:t>
                </w:r>
                <w:r>
                  <w:rPr>
                    <w:rFonts w:asci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4"/>
    </w:pPr>
    <w:r>
      <w:pict>
        <v:shapetype id="_x0000_t202" coordsize="21600,21600" o:spt="202" path="m,l,21600r21600,l21600,xe">
          <v:stroke joinstyle="miter"/>
          <v:path gradientshapeok="t" o:connecttype="rect"/>
        </v:shapetype>
        <v:shape id="文本框 213" o:spid="_x0000_s1025" type="#_x0000_t202" style="position:absolute;margin-left:209.15pt;margin-top:-6pt;width:26pt;height:18.7pt;z-index:112;mso-wrap-style:none;mso-wrap-distance-left:3.17494mm;mso-wrap-distance-right:3.17494mm;mso-position-horizontal-relative:margin" filled="f" stroked="f">
          <v:textbox id="875custom" inset="0,0,0,0">
            <w:txbxContent>
              <w:p w:rsidR="00661907" w:rsidRDefault="00661907">
                <w:pPr>
                  <w:pStyle w:val="a4"/>
                  <w:rPr>
                    <w:rFonts w:ascii="Times New Roman" w:cs="Times New Roman"/>
                    <w:sz w:val="24"/>
                    <w:szCs w:val="24"/>
                  </w:rPr>
                </w:pPr>
                <w:r>
                  <w:rPr>
                    <w:rFonts w:ascii="Times New Roman" w:cs="Times New Roman"/>
                    <w:sz w:val="24"/>
                    <w:szCs w:val="24"/>
                  </w:rPr>
                  <w:fldChar w:fldCharType="begin"/>
                </w:r>
                <w:r w:rsidR="000B580C">
                  <w:rPr>
                    <w:rFonts w:ascii="Times New Roman" w:cs="Times New Roman"/>
                    <w:sz w:val="24"/>
                    <w:szCs w:val="24"/>
                  </w:rPr>
                  <w:instrText xml:space="preserve"> PAGE  \* MERGEFORMAT </w:instrText>
                </w:r>
                <w:r>
                  <w:rPr>
                    <w:rFonts w:ascii="Times New Roman" w:cs="Times New Roman"/>
                    <w:sz w:val="24"/>
                    <w:szCs w:val="24"/>
                  </w:rPr>
                  <w:fldChar w:fldCharType="separate"/>
                </w:r>
                <w:r w:rsidR="009A1155">
                  <w:rPr>
                    <w:rFonts w:ascii="Times New Roman" w:cs="Times New Roman"/>
                    <w:noProof/>
                    <w:sz w:val="24"/>
                    <w:szCs w:val="24"/>
                  </w:rPr>
                  <w:t>- 25 -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0C" w:rsidRDefault="000B580C" w:rsidP="00661907">
      <w:r>
        <w:separator/>
      </w:r>
    </w:p>
  </w:footnote>
  <w:footnote w:type="continuationSeparator" w:id="0">
    <w:p w:rsidR="000B580C" w:rsidRDefault="000B580C" w:rsidP="00661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r>
      <w:pict>
        <v:group id="组合 6" o:spid="_x0000_s1081" style="position:absolute;left:0;text-align:left;margin-left:0;margin-top:29.75pt;width:157.5pt;height:.05pt;z-index:66;mso-wrap-distance-left:3.17494mm;mso-wrap-distance-right:3.17494mm;mso-position-horizontal:left;mso-position-horizontal-relative:page;mso-position-vertical-relative:page" coordorigin=",595" coordsize="3150,0#_x0000_t1">
          <v:shapetype id="_x0000_t202" coordsize="21600,21600" o:spt="202" path="m,l,21600r21600,l21600,xe">
            <v:stroke joinstyle="miter"/>
            <v:path gradientshapeok="t" o:connecttype="rect"/>
          </v:shapetype>
          <v:shape id="_s7" o:spid="_x0000_s1083" type="#_x0000_t202" style="position:absolute;left:101;top:595;width:3048;height:0" filled="f" stroked="f">
            <v:textbox id="863custom">
              <w:txbxContent>
                <w:p w:rsidR="00661907" w:rsidRDefault="000B580C">
                  <w:pPr>
                    <w:rPr>
                      <w:rFonts w:ascii="微软雅黑" w:eastAsia="微软雅黑" w:cs="微软雅黑"/>
                      <w:b/>
                      <w:bCs/>
                      <w:sz w:val="28"/>
                      <w:szCs w:val="36"/>
                    </w:rPr>
                  </w:pPr>
                  <w:r>
                    <w:rPr>
                      <w:rFonts w:ascii="微软雅黑" w:eastAsia="微软雅黑" w:cs="微软雅黑" w:hint="eastAsia"/>
                      <w:b/>
                      <w:bCs/>
                      <w:sz w:val="28"/>
                      <w:szCs w:val="36"/>
                    </w:rPr>
                    <w:t xml:space="preserve">20XX </w:t>
                  </w:r>
                  <w:r>
                    <w:rPr>
                      <w:rFonts w:ascii="微软雅黑" w:eastAsia="微软雅黑" w:cs="微软雅黑" w:hint="eastAsia"/>
                      <w:b/>
                      <w:bCs/>
                      <w:sz w:val="28"/>
                      <w:szCs w:val="36"/>
                    </w:rPr>
                    <w:t>企业业务制定</w:t>
                  </w:r>
                </w:p>
              </w:txbxContent>
            </v:textbox>
          </v:shape>
          <v:rect id="_s8" o:spid="_x0000_s1082" style="position:absolute;top:595;width:101;height:0" fillcolor="black" stroked="f"/>
          <w10:wrap anchorx="page" anchory="page"/>
        </v:group>
      </w:pict>
    </w:r>
    <w:r>
      <w:pict>
        <v:group id="组合 14" o:spid="_x0000_s1077" style="position:absolute;left:0;text-align:left;margin-left:0;margin-top:0;width:601.5pt;height:.05pt;z-index:64;mso-wrap-distance-left:3.17494mm;mso-wrap-distance-right:3.17494mm;mso-position-horizontal-relative:page;mso-position-vertical-relative:page" coordsize="12030,1#_x0000_t1">
          <v:rect id="_s15" o:spid="_x0000_s1080" style="position:absolute;width:12030;height:0" fillcolor="#ffd966" stroked="f"/>
          <v:shape id="_s16" o:spid="_x0000_s1079" style="position:absolute;left:9323;width:2606;height:0" coordsize="21600,21600" o:spt="100" adj="0,,0" path="m10800,10800l@8@8@4@6,10800,10800r,l@9@7@30@31@17@18@24@25@15@16@32@33xe" fillcolor="black" stroked="f">
            <v:stroke joinstyle="miter"/>
            <v:formulas/>
            <v:path o:connecttype="custom" textboxrect="3163,3163,18437,18437"/>
          </v:shape>
          <v:shape id="_s17" o:spid="_x0000_s1078" style="position:absolute;left:9624;width:2406;height:1" coordsize="21600,21600" o:spt="100" adj="0,,0" path="m10800,10800l@8@8@4@6,10800,10800r,l@9@7@30@31@17@18@24@25@15@16@32@33xe" fillcolor="#ffd966" stroked="f">
            <v:stroke joinstyle="miter"/>
            <v:formulas/>
            <v:path o:connecttype="custom" textboxrect="3163,3163,18437,18437"/>
          </v:shape>
          <w10:wrap anchorx="page" anchory="page"/>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r>
      <w:pict>
        <v:group id="组合 167" o:spid="_x0000_s1041" style="position:absolute;left:0;text-align:left;margin-left:-2.15pt;margin-top:59pt;width:601.85pt;height:.05pt;z-index:118;mso-wrap-distance-left:3.17494mm;mso-wrap-distance-right:3.17494mm;mso-position-horizontal-relative:page;mso-position-vertical-relative:page" coordorigin="-43,1179" coordsize="12037,0#_x0000_t1">
          <v:rect id="_s168" o:spid="_x0000_s1044" style="position:absolute;left:-43;top:1180;width:12037;height:0" fillcolor="#ffd966" stroked="f"/>
          <v:shape id="_s169" o:spid="_x0000_s1043" style="position:absolute;left:9285;top:1180;width:2608;height:0" coordsize="21600,21600" o:spt="100" adj="0,,0" path="m10800,10800l@8@8@4@6,10800,10800r,l@9@7@30@31@17@18@24@25@15@16@32@33xe" fillcolor="black" stroked="f">
            <v:stroke joinstyle="miter"/>
            <v:formulas/>
            <v:path o:connecttype="custom" textboxrect="3163,3163,18437,18437"/>
          </v:shape>
          <v:shape id="_s170" o:spid="_x0000_s1042" style="position:absolute;left:9586;top:1179;width:2407;height:0" coordsize="21600,21600" o:spt="100" adj="0,,0" path="m10800,10800l@8@8@4@6,10800,10800r,l@9@7@30@31@17@18@24@25@15@16@32@33xe" fillcolor="#ffd966" stroked="f">
            <v:stroke joinstyle="miter"/>
            <v:formulas/>
            <v:path o:connecttype="custom" textboxrect="3163,3163,18437,18437"/>
          </v:shape>
          <w10:wrap anchorx="page" anchory="page"/>
        </v:group>
      </w:pict>
    </w:r>
    <w:r>
      <w:pict>
        <v:shapetype id="_x0000_t202" coordsize="21600,21600" o:spt="202" path="m,l,21600r21600,l21600,xe">
          <v:stroke joinstyle="miter"/>
          <v:path gradientshapeok="t" o:connecttype="rect"/>
        </v:shapetype>
        <v:shape id="文本框 173" o:spid="_x0000_s1040" type="#_x0000_t202" style="position:absolute;left:0;text-align:left;margin-left:-84.1pt;margin-top:17.55pt;width:231pt;height:32.05pt;z-index:120;mso-wrap-distance-left:3.17494mm;mso-wrap-distance-right:3.17494mm" filled="f" stroked="f">
          <v:textbox id="868custom">
            <w:txbxContent>
              <w:p w:rsidR="00661907" w:rsidRDefault="00661907">
                <w:pPr>
                  <w:rPr>
                    <w:rFonts w:ascii="微软雅黑" w:eastAsia="微软雅黑" w:cs="微软雅黑"/>
                    <w:b/>
                    <w:bCs/>
                    <w:sz w:val="32"/>
                    <w:szCs w:val="40"/>
                  </w:rPr>
                </w:pPr>
              </w:p>
            </w:txbxContent>
          </v:textbox>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r>
      <w:pict>
        <v:group id="组合 182" o:spid="_x0000_s1036" style="position:absolute;left:0;text-align:left;margin-left:2.5pt;margin-top:28.75pt;width:599.8pt;height:.05pt;z-index:114;mso-wrap-distance-left:3.17494mm;mso-wrap-distance-right:3.17494mm;mso-position-horizontal-relative:page;mso-position-vertical-relative:page" coordorigin="49,574" coordsize="11995,0#_x0000_t1">
          <v:rect id="_s183" o:spid="_x0000_s1039" style="position:absolute;left:49;top:575;width:11995;height:0" fillcolor="#ffd966" stroked="f"/>
          <v:shape id="_s184" o:spid="_x0000_s1038" style="position:absolute;left:9346;top:575;width:2599;height:0" coordsize="21600,21600" o:spt="100" adj="0,,0" path="m10800,10800l@8@8@4@6,10800,10800r,l@9@7@30@31@17@18@24@25@15@16@32@33xe" fillcolor="black" stroked="f">
            <v:stroke joinstyle="miter"/>
            <v:formulas/>
            <v:path o:connecttype="custom" textboxrect="3163,3163,18437,18437"/>
          </v:shape>
          <v:shape id="_s185" o:spid="_x0000_s1037" style="position:absolute;left:9646;top:574;width:2399;height:0" coordsize="21600,21600" o:spt="100" adj="0,,0" path="m10800,10800l@8@8@4@6,10800,10800r,l@9@7@30@31@17@18@24@25@15@16@32@33xe" fillcolor="#ffd966" stroked="f">
            <v:stroke joinstyle="miter"/>
            <v:formulas/>
            <v:path o:connecttype="custom" textboxrect="3163,3163,18437,18437"/>
          </v:shape>
          <w10:wrap anchorx="page" anchory="page"/>
        </v:group>
      </w:pict>
    </w:r>
    <w:r>
      <w:pict>
        <v:group id="组合 191" o:spid="_x0000_s1033" style="position:absolute;left:0;text-align:left;margin-left:0;margin-top:29.75pt;width:280pt;height:.05pt;z-index:116;mso-wrap-distance-left:3.17494mm;mso-wrap-distance-right:3.17494mm;mso-position-horizontal-relative:page;mso-position-vertical-relative:page" coordorigin=",595" coordsize="5600,0#_x0000_t1">
          <v:shapetype id="_x0000_t202" coordsize="21600,21600" o:spt="202" path="m,l,21600r21600,l21600,xe">
            <v:stroke joinstyle="miter"/>
            <v:path gradientshapeok="t" o:connecttype="rect"/>
          </v:shapetype>
          <v:shape id="_s192" o:spid="_x0000_s1035" type="#_x0000_t202" style="position:absolute;left:180;top:595;width:5419;height:0" filled="f" stroked="f">
            <v:textbox id="869custom">
              <w:txbxContent>
                <w:p w:rsidR="00661907" w:rsidRDefault="000B580C">
                  <w:pPr>
                    <w:rPr>
                      <w:rFonts w:ascii="微软雅黑" w:eastAsia="微软雅黑" w:cs="微软雅黑"/>
                      <w:b/>
                      <w:bCs/>
                      <w:sz w:val="32"/>
                      <w:szCs w:val="40"/>
                    </w:rPr>
                  </w:pPr>
                  <w:r>
                    <w:rPr>
                      <w:rFonts w:ascii="微软雅黑" w:eastAsia="微软雅黑" w:cs="微软雅黑" w:hint="eastAsia"/>
                      <w:b/>
                      <w:bCs/>
                      <w:sz w:val="32"/>
                      <w:szCs w:val="40"/>
                    </w:rPr>
                    <w:t>第四部分</w:t>
                  </w:r>
                  <w:r>
                    <w:rPr>
                      <w:rFonts w:ascii="微软雅黑" w:eastAsia="微软雅黑" w:cs="微软雅黑" w:hint="eastAsia"/>
                      <w:b/>
                      <w:bCs/>
                      <w:sz w:val="32"/>
                      <w:szCs w:val="40"/>
                    </w:rPr>
                    <w:t xml:space="preserve"> 2019</w:t>
                  </w:r>
                  <w:r>
                    <w:rPr>
                      <w:rFonts w:ascii="微软雅黑" w:eastAsia="微软雅黑" w:cs="微软雅黑" w:hint="eastAsia"/>
                      <w:b/>
                      <w:bCs/>
                      <w:sz w:val="32"/>
                      <w:szCs w:val="40"/>
                    </w:rPr>
                    <w:t>年度部门决算报表</w:t>
                  </w:r>
                </w:p>
                <w:p w:rsidR="00661907" w:rsidRDefault="00661907"/>
              </w:txbxContent>
            </v:textbox>
          </v:shape>
          <v:rect id="_s193" o:spid="_x0000_s1034" style="position:absolute;top:595;width:180;height:0" fillcolor="black" stroked="f"/>
          <w10:wrap anchorx="page" anchory="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r>
      <w:pict>
        <v:group id="组合 199" o:spid="_x0000_s1029" style="position:absolute;left:0;text-align:left;margin-left:0;margin-top:0;width:601.5pt;height:.05pt;z-index:108;mso-wrap-distance-left:3.17494mm;mso-wrap-distance-right:3.17494mm;mso-position-horizontal-relative:page;mso-position-vertical-relative:page" coordsize="12030,0#_x0000_t1">
          <v:rect id="_s200" o:spid="_x0000_s1032" style="position:absolute;width:12030;height:0" fillcolor="#ffd966" stroked="f"/>
          <v:shape id="_s201" o:spid="_x0000_s1031" style="position:absolute;left:9323;width:2606;height:0" coordsize="21600,21600" o:spt="100" adj="0,,0" path="m10800,10800l@8@8@4@6,10800,10800r,l@9@7@30@31@17@18@24@25@15@16@32@33xe" fillcolor="black" stroked="f">
            <v:stroke joinstyle="miter"/>
            <v:formulas/>
            <v:path o:connecttype="custom" textboxrect="3163,3163,18437,18437"/>
          </v:shape>
          <v:shape id="_s202" o:spid="_x0000_s1030" style="position:absolute;left:9624;width:2406;height:0" coordsize="21600,21600" o:spt="100" adj="0,,0" path="m10800,10800l@8@8@4@6,10800,10800r,l@9@7@30@31@17@18@24@25@15@16@32@33xe" fillcolor="#ffd966" stroked="f">
            <v:stroke joinstyle="miter"/>
            <v:formulas/>
            <v:path o:connecttype="custom" textboxrect="3163,3163,18437,18437"/>
          </v:shape>
          <w10:wrap anchorx="page" anchory="page"/>
        </v:group>
      </w:pict>
    </w:r>
    <w:r>
      <w:pict>
        <v:group id="组合 208" o:spid="_x0000_s1026" style="position:absolute;left:0;text-align:left;margin-left:0;margin-top:29.75pt;width:254.25pt;height:.05pt;z-index:110;mso-wrap-distance-left:3.17494mm;mso-wrap-distance-right:3.17494mm;mso-position-horizontal:left;mso-position-horizontal-relative:page;mso-position-vertical-relative:page" coordorigin=",595" coordsize="5085,0#_x0000_t1">
          <v:shapetype id="_x0000_t202" coordsize="21600,21600" o:spt="202" path="m,l,21600r21600,l21600,xe">
            <v:stroke joinstyle="miter"/>
            <v:path gradientshapeok="t" o:connecttype="rect"/>
          </v:shapetype>
          <v:shape id="_s209" o:spid="_x0000_s1028" type="#_x0000_t202" style="position:absolute;left:164;top:595;width:4920;height:0" filled="f" stroked="f">
            <v:textbox id="870custom">
              <w:txbxContent>
                <w:p w:rsidR="00661907" w:rsidRDefault="000B580C">
                  <w:pPr>
                    <w:rPr>
                      <w:rFonts w:ascii="微软雅黑" w:eastAsia="微软雅黑" w:cs="微软雅黑"/>
                      <w:b/>
                      <w:bCs/>
                      <w:sz w:val="28"/>
                      <w:szCs w:val="36"/>
                    </w:rPr>
                  </w:pPr>
                  <w:r>
                    <w:rPr>
                      <w:rFonts w:ascii="微软雅黑" w:eastAsia="微软雅黑" w:cs="微软雅黑" w:hint="eastAsia"/>
                      <w:b/>
                      <w:bCs/>
                      <w:sz w:val="28"/>
                      <w:szCs w:val="36"/>
                    </w:rPr>
                    <w:t>第四部分</w:t>
                  </w:r>
                  <w:r>
                    <w:rPr>
                      <w:rFonts w:ascii="微软雅黑" w:eastAsia="微软雅黑" w:cs="微软雅黑" w:hint="eastAsia"/>
                      <w:b/>
                      <w:bCs/>
                      <w:sz w:val="28"/>
                      <w:szCs w:val="36"/>
                    </w:rPr>
                    <w:t xml:space="preserve">  2019</w:t>
                  </w:r>
                  <w:r>
                    <w:rPr>
                      <w:rFonts w:ascii="微软雅黑" w:eastAsia="微软雅黑" w:cs="微软雅黑" w:hint="eastAsia"/>
                      <w:b/>
                      <w:bCs/>
                      <w:sz w:val="28"/>
                      <w:szCs w:val="36"/>
                    </w:rPr>
                    <w:t>年度部门决算报表</w:t>
                  </w:r>
                </w:p>
              </w:txbxContent>
            </v:textbox>
          </v:shape>
          <v:rect id="_s210" o:spid="_x0000_s1027" style="position:absolute;top:595;width:164;height:0" fillcolor="black" stroked="f"/>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r>
      <w:pict>
        <v:group id="组合 53" o:spid="_x0000_s1073" style="position:absolute;left:0;text-align:left;margin-left:0;margin-top:53.75pt;width:599.8pt;height:.05pt;z-index:96;mso-wrap-distance-left:3.17494mm;mso-wrap-distance-right:3.17494mm;mso-position-horizontal-relative:page;mso-position-vertical-relative:page" coordorigin=",1074" coordsize="11995,0#_x0000_t1">
          <v:rect id="_s54" o:spid="_x0000_s1076" style="position:absolute;top:1075;width:11995;height:0" fillcolor="#ffd966" stroked="f"/>
          <v:shape id="_s55" o:spid="_x0000_s1075" style="position:absolute;left:9296;top:1075;width:2599;height:0" coordsize="21600,21600" o:spt="100" adj="0,,0" path="m10800,10800l@8@8@4@6,10800,10800r,l@9@7@30@31@17@18@24@25@15@16@32@33xe" fillcolor="black" stroked="f">
            <v:stroke joinstyle="miter"/>
            <v:formulas/>
            <v:path o:connecttype="custom" textboxrect="3163,3163,18437,18437"/>
          </v:shape>
          <v:shape id="_s56" o:spid="_x0000_s1074" style="position:absolute;left:9596;top:1074;width:2399;height:0" coordsize="21600,21600" o:spt="100" adj="0,,0" path="m10800,10800l@8@8@4@6,10800,10800r,l@9@7@30@31@17@18@24@25@15@16@32@33xe" fillcolor="#ffd966" stroked="f">
            <v:stroke joinstyle="miter"/>
            <v:formulas/>
            <v:path o:connecttype="custom" textboxrect="3163,3163,18437,18437"/>
          </v:shape>
          <w10:wrap anchorx="page" anchory="page"/>
        </v:group>
      </w:pict>
    </w:r>
    <w:r>
      <w:pict>
        <v:group id="组合 62" o:spid="_x0000_s1070" style="position:absolute;left:0;text-align:left;margin-left:-2.15pt;margin-top:47.15pt;width:235.7pt;height:.05pt;z-index:98;mso-wrap-distance-left:3.17494mm;mso-wrap-distance-right:3.17494mm;mso-position-horizontal-relative:page;mso-position-vertical-relative:page" coordorigin="-43,943" coordsize="4714,0#_x0000_t1">
          <v:shapetype id="_x0000_t202" coordsize="21600,21600" o:spt="202" path="m,l,21600r21600,l21600,xe">
            <v:stroke joinstyle="miter"/>
            <v:path gradientshapeok="t" o:connecttype="rect"/>
          </v:shapetype>
          <v:shape id="_s63" o:spid="_x0000_s1072" type="#_x0000_t202" style="position:absolute;left:109;top:943;width:4561;height:0" filled="f" stroked="f">
            <v:textbox id="864custom">
              <w:txbxContent>
                <w:p w:rsidR="00661907" w:rsidRDefault="000B580C">
                  <w:pPr>
                    <w:rPr>
                      <w:rFonts w:ascii="微软雅黑" w:eastAsia="微软雅黑" w:cs="微软雅黑"/>
                      <w:b/>
                      <w:bCs/>
                      <w:sz w:val="32"/>
                      <w:szCs w:val="40"/>
                    </w:rPr>
                  </w:pPr>
                  <w:r>
                    <w:rPr>
                      <w:rFonts w:ascii="微软雅黑" w:eastAsia="微软雅黑" w:cs="微软雅黑" w:hint="eastAsia"/>
                      <w:b/>
                      <w:bCs/>
                      <w:sz w:val="32"/>
                      <w:szCs w:val="40"/>
                    </w:rPr>
                    <w:t>第一部分</w:t>
                  </w:r>
                  <w:r>
                    <w:rPr>
                      <w:rFonts w:ascii="微软雅黑" w:eastAsia="微软雅黑" w:cs="微软雅黑" w:hint="eastAsia"/>
                      <w:b/>
                      <w:bCs/>
                      <w:sz w:val="32"/>
                      <w:szCs w:val="40"/>
                    </w:rPr>
                    <w:t xml:space="preserve">  </w:t>
                  </w:r>
                  <w:r>
                    <w:rPr>
                      <w:rFonts w:ascii="微软雅黑" w:eastAsia="微软雅黑" w:cs="微软雅黑" w:hint="eastAsia"/>
                      <w:b/>
                      <w:bCs/>
                      <w:sz w:val="32"/>
                      <w:szCs w:val="40"/>
                    </w:rPr>
                    <w:t>部门概况</w:t>
                  </w:r>
                </w:p>
              </w:txbxContent>
            </v:textbox>
          </v:shape>
          <v:rect id="_s64" o:spid="_x0000_s1071" style="position:absolute;left:-43;top:943;width:152;height:0" fillcolor="black" stroked="f"/>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r>
      <w:pict>
        <v:group id="组合 79" o:spid="_x0000_s1065" style="position:absolute;left:0;text-align:left;margin-left:2.25pt;margin-top:45.75pt;width:239.85pt;height:.05pt;z-index:82;mso-wrap-distance-left:3.17494mm;mso-wrap-distance-right:3.17494mm;mso-position-horizontal-relative:page;mso-position-vertical-relative:page" coordorigin="45,915" coordsize="4797,0#_x0000_t1">
          <v:shapetype id="_x0000_t202" coordsize="21600,21600" o:spt="202" path="m,l,21600r21600,l21600,xe">
            <v:stroke joinstyle="miter"/>
            <v:path gradientshapeok="t" o:connecttype="rect"/>
          </v:shapetype>
          <v:shape id="_s80" o:spid="_x0000_s1067" type="#_x0000_t202" style="position:absolute;left:194;top:915;width:4647;height:0" filled="f" stroked="f">
            <v:textbox id="865custom">
              <w:txbxContent>
                <w:p w:rsidR="00661907" w:rsidRDefault="000B580C">
                  <w:pPr>
                    <w:rPr>
                      <w:rFonts w:ascii="微软雅黑" w:eastAsia="微软雅黑" w:cs="微软雅黑"/>
                      <w:b/>
                      <w:bCs/>
                      <w:sz w:val="32"/>
                      <w:szCs w:val="40"/>
                    </w:rPr>
                  </w:pPr>
                  <w:r>
                    <w:rPr>
                      <w:rFonts w:ascii="微软雅黑" w:eastAsia="微软雅黑" w:cs="微软雅黑" w:hint="eastAsia"/>
                      <w:b/>
                      <w:bCs/>
                      <w:sz w:val="32"/>
                      <w:szCs w:val="40"/>
                    </w:rPr>
                    <w:t>第二部分</w:t>
                  </w:r>
                  <w:r>
                    <w:rPr>
                      <w:rFonts w:ascii="微软雅黑" w:eastAsia="微软雅黑" w:cs="微软雅黑" w:hint="eastAsia"/>
                      <w:b/>
                      <w:bCs/>
                      <w:sz w:val="32"/>
                      <w:szCs w:val="40"/>
                    </w:rPr>
                    <w:t xml:space="preserve">  </w:t>
                  </w:r>
                  <w:r>
                    <w:rPr>
                      <w:rFonts w:ascii="微软雅黑" w:eastAsia="微软雅黑" w:cs="微软雅黑" w:hint="eastAsia"/>
                      <w:b/>
                      <w:bCs/>
                      <w:sz w:val="32"/>
                      <w:szCs w:val="40"/>
                    </w:rPr>
                    <w:t>部门决算情况说明</w:t>
                  </w:r>
                </w:p>
              </w:txbxContent>
            </v:textbox>
          </v:shape>
          <v:rect id="_s81" o:spid="_x0000_s1066" style="position:absolute;left:45;top:915;width:149;height:0" fillcolor="black" stroked="f"/>
          <w10:wrap anchorx="page" anchory="page"/>
        </v:group>
      </w:pict>
    </w:r>
    <w:r>
      <w:pict>
        <v:group id="组合 87" o:spid="_x0000_s1061" style="position:absolute;left:0;text-align:left;margin-left:2.75pt;margin-top:46.95pt;width:601.85pt;height:.05pt;z-index:80;mso-wrap-distance-left:3.17494mm;mso-wrap-distance-right:3.17494mm;mso-position-horizontal-relative:page;mso-position-vertical-relative:page" coordorigin="55,939" coordsize="12037,0#_x0000_t1">
          <v:rect id="_s88" o:spid="_x0000_s1064" style="position:absolute;left:55;top:939;width:12037;height:0" fillcolor="#ffd966" stroked="f"/>
          <v:shape id="_s89" o:spid="_x0000_s1063" style="position:absolute;left:9383;top:939;width:2608;height:0" coordsize="21600,21600" o:spt="100" adj="0,,0" path="m10800,10800l@8@8@4@6,10800,10800r,l@9@7@30@31@17@18@24@25@15@16@32@33xe" fillcolor="black" stroked="f">
            <v:stroke joinstyle="miter"/>
            <v:formulas/>
            <v:path o:connecttype="custom" textboxrect="3163,3163,18437,18437"/>
          </v:shape>
          <v:shape id="_s90" o:spid="_x0000_s1062" style="position:absolute;left:9684;top:939;width:2407;height:0" coordsize="21600,21600" o:spt="100" adj="0,,0" path="m10800,10800l@8@8@4@6,10800,10800r,l@9@7@30@31@17@18@24@25@15@16@32@33xe" fillcolor="#ffd966" stroked="f">
            <v:stroke joinstyle="miter"/>
            <v:formulas/>
            <v:path o:connecttype="custom" textboxrect="3163,3163,18437,18437"/>
          </v:shape>
          <w10:wrap anchorx="page" anchory="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r>
      <w:pict>
        <v:group id="组合 124" o:spid="_x0000_s1057" style="position:absolute;left:0;text-align:left;margin-left:0;margin-top:0;width:599.8pt;height:.05pt;z-index:86;mso-wrap-distance-left:3.17494mm;mso-wrap-distance-right:3.17494mm;mso-position-horizontal-relative:page;mso-position-vertical-relative:page" coordsize="11995,0#_x0000_t1">
          <v:rect id="_s125" o:spid="_x0000_s1060" style="position:absolute;width:11995;height:0" fillcolor="#ffd966" stroked="f"/>
          <v:shape id="_s126" o:spid="_x0000_s1059" style="position:absolute;left:9296;width:2599;height:0" coordsize="21600,21600" o:spt="100" adj="0,,0" path="m10800,10800l@8@8@4@6,10800,10800r,l@9@7@30@31@17@18@24@25@15@16@32@33xe" fillcolor="black" stroked="f">
            <v:stroke joinstyle="miter"/>
            <v:formulas/>
            <v:path o:connecttype="custom" textboxrect="3163,3163,18437,18437"/>
          </v:shape>
          <v:shape id="_s127" o:spid="_x0000_s1058" style="position:absolute;left:9596;width:2399;height:0" coordsize="21600,21600" o:spt="100" adj="0,,0" path="m10800,10800l@8@8@4@6,10800,10800r,l@9@7@30@31@17@18@24@25@15@16@32@33xe" fillcolor="#ffd966" stroked="f">
            <v:stroke joinstyle="miter"/>
            <v:formulas/>
            <v:path o:connecttype="custom" textboxrect="3163,3163,18437,18437"/>
          </v:shape>
          <w10:wrap anchorx="page" anchory="page"/>
        </v:group>
      </w:pict>
    </w:r>
    <w:r>
      <w:pict>
        <v:group id="组合 133" o:spid="_x0000_s1054" style="position:absolute;left:0;text-align:left;margin-left:-2.15pt;margin-top:47.15pt;width:235.7pt;height:.05pt;z-index:88;mso-wrap-distance-left:3.17494mm;mso-wrap-distance-right:3.17494mm;mso-position-horizontal-relative:page;mso-position-vertical-relative:page" coordorigin="-43,943" coordsize="4714,0#_x0000_t1">
          <v:shapetype id="_x0000_t202" coordsize="21600,21600" o:spt="202" path="m,l,21600r21600,l21600,xe">
            <v:stroke joinstyle="miter"/>
            <v:path gradientshapeok="t" o:connecttype="rect"/>
          </v:shapetype>
          <v:shape id="_s134" o:spid="_x0000_s1056" type="#_x0000_t202" style="position:absolute;left:109;top:943;width:4561;height:0" filled="f" stroked="f">
            <v:textbox id="866custom">
              <w:txbxContent>
                <w:p w:rsidR="00661907" w:rsidRDefault="000B580C">
                  <w:pPr>
                    <w:rPr>
                      <w:rFonts w:ascii="微软雅黑" w:eastAsia="微软雅黑" w:cs="微软雅黑"/>
                      <w:b/>
                      <w:bCs/>
                      <w:sz w:val="32"/>
                      <w:szCs w:val="40"/>
                    </w:rPr>
                  </w:pPr>
                  <w:r>
                    <w:rPr>
                      <w:rFonts w:ascii="微软雅黑" w:eastAsia="微软雅黑" w:cs="微软雅黑" w:hint="eastAsia"/>
                      <w:b/>
                      <w:bCs/>
                      <w:sz w:val="32"/>
                      <w:szCs w:val="40"/>
                    </w:rPr>
                    <w:t>第三部分</w:t>
                  </w:r>
                  <w:r>
                    <w:rPr>
                      <w:rFonts w:ascii="微软雅黑" w:eastAsia="微软雅黑" w:cs="微软雅黑" w:hint="eastAsia"/>
                      <w:b/>
                      <w:bCs/>
                      <w:sz w:val="32"/>
                      <w:szCs w:val="40"/>
                    </w:rPr>
                    <w:t xml:space="preserve">  </w:t>
                  </w:r>
                  <w:r>
                    <w:rPr>
                      <w:rFonts w:ascii="微软雅黑" w:eastAsia="微软雅黑" w:cs="微软雅黑" w:hint="eastAsia"/>
                      <w:b/>
                      <w:bCs/>
                      <w:sz w:val="32"/>
                      <w:szCs w:val="40"/>
                    </w:rPr>
                    <w:t>名词解释</w:t>
                  </w:r>
                </w:p>
              </w:txbxContent>
            </v:textbox>
          </v:shape>
          <v:rect id="_s135" o:spid="_x0000_s1055" style="position:absolute;left:-43;top:943;width:152;height:0" fillcolor="black" stroked="f"/>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07" w:rsidRDefault="00661907">
    <w:pPr>
      <w:pStyle w:val="a5"/>
    </w:pPr>
    <w:r>
      <w:pict>
        <v:group id="组合 141" o:spid="_x0000_s1051" style="position:absolute;left:0;text-align:left;margin-left:0;margin-top:29.75pt;width:157.5pt;height:.05pt;z-index:92;mso-wrap-distance-left:3.17494mm;mso-wrap-distance-right:3.17494mm;mso-position-horizontal:left;mso-position-horizontal-relative:page;mso-position-vertical-relative:page" coordorigin=",595" coordsize="3150,0#_x0000_t1">
          <v:shapetype id="_x0000_t202" coordsize="21600,21600" o:spt="202" path="m,l,21600r21600,l21600,xe">
            <v:stroke joinstyle="miter"/>
            <v:path gradientshapeok="t" o:connecttype="rect"/>
          </v:shapetype>
          <v:shape id="_s142" o:spid="_x0000_s1053" type="#_x0000_t202" style="position:absolute;left:101;top:595;width:3048;height:0" filled="f" stroked="f">
            <v:textbox id="867custom">
              <w:txbxContent>
                <w:p w:rsidR="00661907" w:rsidRDefault="000B580C">
                  <w:pPr>
                    <w:rPr>
                      <w:rFonts w:ascii="微软雅黑" w:eastAsia="微软雅黑" w:cs="微软雅黑"/>
                      <w:b/>
                      <w:bCs/>
                      <w:sz w:val="28"/>
                      <w:szCs w:val="36"/>
                    </w:rPr>
                  </w:pPr>
                  <w:r>
                    <w:rPr>
                      <w:rFonts w:ascii="微软雅黑" w:eastAsia="微软雅黑" w:cs="微软雅黑" w:hint="eastAsia"/>
                      <w:b/>
                      <w:bCs/>
                      <w:sz w:val="28"/>
                      <w:szCs w:val="36"/>
                    </w:rPr>
                    <w:t xml:space="preserve">20XX </w:t>
                  </w:r>
                  <w:r>
                    <w:rPr>
                      <w:rFonts w:ascii="微软雅黑" w:eastAsia="微软雅黑" w:cs="微软雅黑" w:hint="eastAsia"/>
                      <w:b/>
                      <w:bCs/>
                      <w:sz w:val="28"/>
                      <w:szCs w:val="36"/>
                    </w:rPr>
                    <w:t>企业业务制定</w:t>
                  </w:r>
                </w:p>
              </w:txbxContent>
            </v:textbox>
          </v:shape>
          <v:rect id="_s143" o:spid="_x0000_s1052" style="position:absolute;top:595;width:101;height:0" fillcolor="black" stroked="f"/>
          <w10:wrap anchorx="page" anchory="page"/>
        </v:group>
      </w:pict>
    </w:r>
    <w:r>
      <w:pict>
        <v:group id="组合 149" o:spid="_x0000_s1047" style="position:absolute;left:0;text-align:left;margin-left:0;margin-top:0;width:601.5pt;height:.05pt;z-index:90;mso-wrap-distance-left:3.17494mm;mso-wrap-distance-right:3.17494mm;mso-position-horizontal-relative:page;mso-position-vertical-relative:page" coordsize="12030,1#_x0000_t1">
          <v:rect id="_s150" o:spid="_x0000_s1050" style="position:absolute;width:12030;height:0" fillcolor="#ffd966" stroked="f"/>
          <v:shape id="_s151" o:spid="_x0000_s1049" style="position:absolute;left:9323;width:2606;height:0" coordsize="21600,21600" o:spt="100" adj="0,,0" path="m10800,10800l@8@8@4@6,10800,10800r,l@9@7@30@31@17@18@24@25@15@16@32@33xe" fillcolor="black" stroked="f">
            <v:stroke joinstyle="miter"/>
            <v:formulas/>
            <v:path o:connecttype="custom" textboxrect="3163,3163,18437,18437"/>
          </v:shape>
          <v:shape id="_s152" o:spid="_x0000_s1048" style="position:absolute;left:9624;width:2406;height:1" coordsize="21600,21600" o:spt="100" adj="0,,0" path="m10800,10800l@8@8@4@6,10800,10800r,l@9@7@30@31@17@18@24@25@15@16@32@33xe" fillcolor="#ffd966" stroked="f">
            <v:stroke joinstyle="miter"/>
            <v:formulas/>
            <v:path o:connecttype="custom" textboxrect="3163,3163,18437,18437"/>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ind w:left="0" w:firstLine="0"/>
      </w:pPr>
      <w:rPr>
        <w:rFonts w:hint="eastAsia"/>
      </w:rPr>
    </w:lvl>
  </w:abstractNum>
  <w:abstractNum w:abstractNumId="1">
    <w:nsid w:val="59950409"/>
    <w:multiLevelType w:val="singleLevel"/>
    <w:tmpl w:val="59950409"/>
    <w:lvl w:ilvl="0">
      <w:start w:val="1"/>
      <w:numFmt w:val="decimal"/>
      <w:lvlRestart w:val="0"/>
      <w:suff w:val="space"/>
      <w:lvlText w:val="%1."/>
      <w:lvlJc w:val="left"/>
      <w:pPr>
        <w:tabs>
          <w:tab w:val="num" w:pos="0"/>
        </w:tabs>
        <w:ind w:left="0" w:firstLine="0"/>
      </w:pPr>
    </w:lvl>
  </w:abstractNum>
  <w:abstractNum w:abstractNumId="2">
    <w:nsid w:val="5F222FFA"/>
    <w:multiLevelType w:val="singleLevel"/>
    <w:tmpl w:val="5F222FFA"/>
    <w:lvl w:ilvl="0">
      <w:start w:val="1"/>
      <w:numFmt w:val="decimal"/>
      <w:lvlRestart w:val="0"/>
      <w:suff w:val="nothing"/>
      <w:lvlText w:val="（%1）"/>
      <w:lvlJc w:val="left"/>
      <w:pPr>
        <w:tabs>
          <w:tab w:val="num" w:pos="0"/>
        </w:tabs>
        <w:ind w:left="0" w:firstLine="0"/>
      </w:pPr>
    </w:lvl>
  </w:abstractNum>
  <w:abstractNum w:abstractNumId="3">
    <w:nsid w:val="78C1413D"/>
    <w:multiLevelType w:val="singleLevel"/>
    <w:tmpl w:val="78C1413D"/>
    <w:lvl w:ilvl="0">
      <w:start w:val="1"/>
      <w:numFmt w:val="decimal"/>
      <w:lvlRestart w:val="0"/>
      <w:suff w:val="space"/>
      <w:lvlText w:val="%1."/>
      <w:lvlJc w:val="left"/>
      <w:pPr>
        <w:tabs>
          <w:tab w:val="num" w:pos="0"/>
        </w:tabs>
        <w:ind w:left="0" w:firstLine="0"/>
      </w:pPr>
    </w:lvl>
  </w:abstractNum>
  <w:num w:numId="1">
    <w:abstractNumId w:val="3"/>
  </w:num>
  <w:num w:numId="2">
    <w:abstractNumId w:val="1"/>
  </w:num>
  <w:num w:numId="3">
    <w:abstractNumId w:val="0"/>
  </w:num>
  <w:num w:numId="4">
    <w:abstractNumId w:val="2"/>
    <w:lvlOverride w:ilvl="0">
      <w:startOverride w:val="1"/>
      <w:lvl w:ilvl="0">
        <w:start w:val="1"/>
        <w:numFmt w:val="decimal"/>
        <w:lvlRestart w:val="0"/>
        <w:suff w:val="nothing"/>
        <w:lvlText w:val="（%1）"/>
        <w:lvlJc w:val="left"/>
        <w:pPr>
          <w:tabs>
            <w:tab w:val="num" w:pos="0"/>
          </w:tabs>
          <w:ind w:left="0" w:firstLine="0"/>
        </w:p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ExpandShiftReturn/>
    <w:adjustLineHeightInTable/>
    <w:useFELayout/>
    <w:doNotUseIndentAsNumberingTabStop/>
    <w:useAltKinsokuLineBreakRules/>
  </w:compat>
  <w:rsids>
    <w:rsidRoot w:val="00661907"/>
    <w:rsid w:val="000B580C"/>
    <w:rsid w:val="00661907"/>
    <w:rsid w:val="009A11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1907"/>
    <w:pPr>
      <w:widowControl w:val="0"/>
      <w:jc w:val="both"/>
    </w:pPr>
    <w:rPr>
      <w:rFonts w:ascii="等线" w:eastAsia="等线" w:cs="Arial"/>
      <w:kern w:val="2"/>
      <w:sz w:val="21"/>
      <w:szCs w:val="22"/>
    </w:rPr>
  </w:style>
  <w:style w:type="paragraph" w:styleId="1">
    <w:name w:val="heading 1"/>
    <w:basedOn w:val="a"/>
    <w:next w:val="a"/>
    <w:rsid w:val="00661907"/>
    <w:pPr>
      <w:keepNext/>
      <w:keepLines/>
      <w:spacing w:before="340" w:after="330" w:line="578" w:lineRule="auto"/>
      <w:outlineLvl w:val="0"/>
    </w:pPr>
    <w:rPr>
      <w:b/>
      <w:bCs/>
      <w:kern w:val="44"/>
      <w:sz w:val="44"/>
      <w:szCs w:val="44"/>
    </w:rPr>
  </w:style>
  <w:style w:type="paragraph" w:styleId="2">
    <w:name w:val="heading 2"/>
    <w:basedOn w:val="a"/>
    <w:next w:val="a"/>
    <w:rsid w:val="00661907"/>
    <w:pPr>
      <w:keepNext/>
      <w:keepLines/>
      <w:spacing w:before="260" w:after="260" w:line="415" w:lineRule="auto"/>
      <w:outlineLvl w:val="1"/>
    </w:pPr>
    <w:rPr>
      <w:rFonts w:ascii="等线 Light" w:eastAsia="等线 Light" w:cs="Times New Roman"/>
      <w:b/>
      <w:bCs/>
      <w:sz w:val="32"/>
      <w:szCs w:val="32"/>
    </w:rPr>
  </w:style>
  <w:style w:type="paragraph" w:styleId="3">
    <w:name w:val="heading 3"/>
    <w:basedOn w:val="a"/>
    <w:next w:val="a"/>
    <w:rsid w:val="00661907"/>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1907"/>
    <w:rPr>
      <w:rFonts w:ascii="仿宋_GB2312" w:eastAsia="仿宋_GB2312" w:cs="仿宋_GB2312"/>
      <w:sz w:val="32"/>
      <w:szCs w:val="32"/>
      <w:lang w:val="zh-CN" w:bidi="zh-CN"/>
    </w:rPr>
  </w:style>
  <w:style w:type="paragraph" w:styleId="a4">
    <w:name w:val="footer"/>
    <w:basedOn w:val="a"/>
    <w:rsid w:val="00661907"/>
    <w:pPr>
      <w:tabs>
        <w:tab w:val="center" w:pos="4153"/>
        <w:tab w:val="right" w:pos="8306"/>
      </w:tabs>
      <w:snapToGrid w:val="0"/>
      <w:jc w:val="left"/>
    </w:pPr>
    <w:rPr>
      <w:sz w:val="18"/>
      <w:szCs w:val="18"/>
    </w:rPr>
  </w:style>
  <w:style w:type="paragraph" w:styleId="a5">
    <w:name w:val="header"/>
    <w:basedOn w:val="a"/>
    <w:rsid w:val="00661907"/>
    <w:pPr>
      <w:tabs>
        <w:tab w:val="center" w:pos="4153"/>
        <w:tab w:val="right" w:pos="8306"/>
      </w:tabs>
      <w:snapToGrid w:val="0"/>
      <w:jc w:val="center"/>
    </w:pPr>
    <w:rPr>
      <w:sz w:val="18"/>
      <w:szCs w:val="18"/>
    </w:rPr>
  </w:style>
  <w:style w:type="paragraph" w:customStyle="1" w:styleId="10">
    <w:name w:val="列出段落1"/>
    <w:basedOn w:val="a"/>
    <w:rsid w:val="00661907"/>
    <w:pPr>
      <w:spacing w:before="2"/>
      <w:ind w:left="119" w:right="434" w:firstLine="643"/>
    </w:pPr>
    <w:rPr>
      <w:rFonts w:ascii="仿宋_GB2312" w:eastAsia="仿宋_GB2312" w:cs="仿宋_GB2312"/>
      <w:lang w:val="zh-CN" w:bidi="zh-CN"/>
    </w:rPr>
  </w:style>
  <w:style w:type="paragraph" w:styleId="a6">
    <w:name w:val="Balloon Text"/>
    <w:basedOn w:val="a"/>
    <w:rsid w:val="0066190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6.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chart" Target="charts/chart4.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chart" Target="charts/chart3.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1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800" b="1" i="0" u="none" strike="noStrike" baseline="0">
                <a:solidFill>
                  <a:srgbClr val="000000"/>
                </a:solidFill>
                <a:latin typeface="Times New Roman"/>
                <a:ea typeface="宋体"/>
                <a:cs typeface="Arial"/>
              </a:defRPr>
            </a:pPr>
            <a:r>
              <a:rPr lang="zh-CN"/>
              <a:t>支出决算结构饼状图</a:t>
            </a:r>
          </a:p>
        </c:rich>
      </c:tx>
      <c:layout>
        <c:manualLayout>
          <c:xMode val="edge"/>
          <c:yMode val="edge"/>
          <c:x val="0.22647718000000006"/>
          <c:y val="2.6845638000000008E-2"/>
        </c:manualLayout>
      </c:layout>
      <c:spPr>
        <a:ln>
          <a:noFill/>
        </a:ln>
      </c:spPr>
    </c:title>
    <c:plotArea>
      <c:layout/>
      <c:pieChart>
        <c:varyColors val="1"/>
        <c:ser>
          <c:idx val="0"/>
          <c:order val="0"/>
          <c:tx>
            <c:strRef>
              <c:f>'Sheet1'!$B$1</c:f>
              <c:strCache>
                <c:ptCount val="1"/>
                <c:pt idx="0">
                  <c:v>支出决算结构饼状图</c:v>
                </c:pt>
              </c:strCache>
            </c:strRef>
          </c:tx>
          <c:spPr>
            <a:ln>
              <a:noFill/>
            </a:ln>
          </c:spPr>
          <c:explosion val="1"/>
          <c:dPt>
            <c:idx val="0"/>
            <c:spPr>
              <a:solidFill>
                <a:srgbClr val="4472C4"/>
              </a:solidFill>
            </c:spPr>
          </c:dPt>
          <c:dPt>
            <c:idx val="1"/>
            <c:spPr>
              <a:solidFill>
                <a:srgbClr val="ED7D31"/>
              </a:solidFill>
            </c:spPr>
          </c:dPt>
          <c:dLbls>
            <c:numFmt formatCode="0%" sourceLinked="0"/>
            <c:txPr>
              <a:bodyPr/>
              <a:lstStyle/>
              <a:p>
                <a:pPr>
                  <a:defRPr sz="1000" b="0" i="0" u="none" strike="noStrike" baseline="0">
                    <a:solidFill>
                      <a:srgbClr val="000000"/>
                    </a:solidFill>
                    <a:latin typeface="Times New Roman"/>
                    <a:ea typeface="宋体"/>
                    <a:cs typeface="Arial"/>
                  </a:defRPr>
                </a:pPr>
                <a:endParaRPr lang="zh-CN"/>
              </a:p>
            </c:txPr>
            <c:showPercent val="1"/>
            <c:showLeaderLines val="1"/>
          </c:dLbls>
          <c:cat>
            <c:strRef>
              <c:f>'Sheet1'!$A$2:$A$3</c:f>
              <c:strCache>
                <c:ptCount val="2"/>
                <c:pt idx="0">
                  <c:v>基本支出</c:v>
                </c:pt>
                <c:pt idx="1">
                  <c:v>项目支出</c:v>
                </c:pt>
              </c:strCache>
            </c:strRef>
          </c:cat>
          <c:val>
            <c:numRef>
              <c:f>'Sheet1'!$B$2:$B$3</c:f>
              <c:numCache>
                <c:formatCode>0.00%</c:formatCode>
                <c:ptCount val="2"/>
                <c:pt idx="0">
                  <c:v>0.3469000000000001</c:v>
                </c:pt>
                <c:pt idx="1">
                  <c:v>0.65310000000000024</c:v>
                </c:pt>
              </c:numCache>
            </c:numRef>
          </c:val>
        </c:ser>
        <c:firstSliceAng val="0"/>
      </c:pieChart>
      <c:spPr>
        <a:noFill/>
      </c:spPr>
    </c:plotArea>
    <c:legend>
      <c:legendPos val="r"/>
      <c:spPr>
        <a:noFill/>
        <a:ln>
          <a:noFill/>
        </a:ln>
      </c:spPr>
      <c:txPr>
        <a:bodyPr/>
        <a:lstStyle/>
        <a:p>
          <a:pPr>
            <a:defRPr sz="1000" b="0" i="0" u="none" strike="noStrike" baseline="0">
              <a:solidFill>
                <a:srgbClr val="000000"/>
              </a:solidFill>
              <a:latin typeface="Times New Roman"/>
              <a:ea typeface="宋体"/>
              <a:cs typeface="Arial"/>
            </a:defRPr>
          </a:pPr>
          <a:endParaRPr lang="zh-CN"/>
        </a:p>
      </c:txPr>
    </c:legend>
    <c:plotVisOnly val="1"/>
    <c:dispBlanksAs val="zero"/>
  </c:chart>
  <c:spPr>
    <a:noFill/>
    <a:ln>
      <a:noFill/>
    </a:ln>
  </c:spPr>
  <c:txPr>
    <a:bodyPr/>
    <a:lstStyle/>
    <a:p>
      <a:pPr>
        <a:defRPr sz="1000" b="0" i="0" u="none" strike="noStrike" baseline="0">
          <a:solidFill>
            <a:srgbClr val="000000"/>
          </a:solidFill>
          <a:latin typeface="Times New Roman"/>
          <a:ea typeface="宋体"/>
          <a:cs typeface="Arial"/>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 (2)'!$B$1</c:f>
              <c:strCache>
                <c:ptCount val="1"/>
                <c:pt idx="0">
                  <c:v>2018年</c:v>
                </c:pt>
              </c:strCache>
            </c:strRef>
          </c:tx>
          <c:spPr>
            <a:solidFill>
              <a:srgbClr val="4472C4"/>
            </a:solidFill>
            <a:ln>
              <a:noFill/>
            </a:ln>
          </c:spPr>
          <c:cat>
            <c:strRef>
              <c:f>'Sheet1 (2)'!$A$2:$A$3</c:f>
              <c:strCache>
                <c:ptCount val="2"/>
                <c:pt idx="0">
                  <c:v>财政拨款收入</c:v>
                </c:pt>
                <c:pt idx="1">
                  <c:v>财政拨款支出</c:v>
                </c:pt>
              </c:strCache>
            </c:strRef>
          </c:cat>
          <c:val>
            <c:numRef>
              <c:f>'Sheet1 (2)'!$B$2:$B$3</c:f>
              <c:numCache>
                <c:formatCode>General</c:formatCode>
                <c:ptCount val="2"/>
                <c:pt idx="0">
                  <c:v>2073.54</c:v>
                </c:pt>
                <c:pt idx="1">
                  <c:v>2073.54</c:v>
                </c:pt>
              </c:numCache>
            </c:numRef>
          </c:val>
        </c:ser>
        <c:ser>
          <c:idx val="1"/>
          <c:order val="1"/>
          <c:tx>
            <c:strRef>
              <c:f>'Sheet1 (2)'!$C$1</c:f>
              <c:strCache>
                <c:ptCount val="1"/>
                <c:pt idx="0">
                  <c:v>2019年</c:v>
                </c:pt>
              </c:strCache>
            </c:strRef>
          </c:tx>
          <c:spPr>
            <a:solidFill>
              <a:srgbClr val="ED7D31"/>
            </a:solidFill>
            <a:ln>
              <a:noFill/>
            </a:ln>
          </c:spPr>
          <c:cat>
            <c:strRef>
              <c:f>'Sheet1 (2)'!$A$2:$A$3</c:f>
              <c:strCache>
                <c:ptCount val="2"/>
                <c:pt idx="0">
                  <c:v>财政拨款收入</c:v>
                </c:pt>
                <c:pt idx="1">
                  <c:v>财政拨款支出</c:v>
                </c:pt>
              </c:strCache>
            </c:strRef>
          </c:cat>
          <c:val>
            <c:numRef>
              <c:f>'Sheet1 (2)'!$C$2:$C$3</c:f>
              <c:numCache>
                <c:formatCode>General</c:formatCode>
                <c:ptCount val="2"/>
                <c:pt idx="0">
                  <c:v>2968.65</c:v>
                </c:pt>
                <c:pt idx="1">
                  <c:v>2968.65</c:v>
                </c:pt>
              </c:numCache>
            </c:numRef>
          </c:val>
        </c:ser>
        <c:axId val="133028096"/>
        <c:axId val="133033984"/>
      </c:barChart>
      <c:catAx>
        <c:axId val="133028096"/>
        <c:scaling>
          <c:orientation val="minMax"/>
        </c:scaling>
        <c:axPos val="b"/>
        <c:numFmt formatCode="General" sourceLinked="1"/>
        <c:maj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Ax val="133033984"/>
        <c:crosses val="autoZero"/>
        <c:auto val="1"/>
        <c:lblAlgn val="ctr"/>
        <c:lblOffset val="100"/>
      </c:catAx>
      <c:valAx>
        <c:axId val="133033984"/>
        <c:scaling>
          <c:orientation val="minMax"/>
        </c:scaling>
        <c:axPos val="l"/>
        <c:majorGridlines/>
        <c:numFmt formatCode="General" sourceLinked="1"/>
        <c:maj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Ax val="133028096"/>
        <c:crossesAt val="1"/>
        <c:crossBetween val="between"/>
      </c:valAx>
      <c:dTable>
        <c:showHorzBorder val="1"/>
        <c:showVertBorder val="1"/>
        <c:showOutline val="1"/>
        <c:showKeys val="1"/>
        <c:txPr>
          <a:bodyPr/>
          <a:lstStyle/>
          <a:p>
            <a:pPr rtl="0">
              <a:defRPr sz="1000" b="0" i="0" u="none" strike="noStrike" baseline="0">
                <a:solidFill>
                  <a:srgbClr val="000000"/>
                </a:solidFill>
                <a:latin typeface="Times New Roman"/>
                <a:ea typeface="宋体"/>
                <a:cs typeface="Arial"/>
              </a:defRPr>
            </a:pPr>
            <a:endParaRPr lang="zh-CN"/>
          </a:p>
        </c:txPr>
      </c:dTable>
      <c:spPr>
        <a:solidFill>
          <a:srgbClr val="FFFFFF"/>
        </a:solidFill>
      </c:spPr>
    </c:plotArea>
    <c:plotVisOnly val="1"/>
    <c:dispBlanksAs val="gap"/>
  </c:chart>
  <c:spPr>
    <a:ln>
      <a:noFill/>
    </a:ln>
  </c:spPr>
  <c:txPr>
    <a:bodyPr/>
    <a:lstStyle/>
    <a:p>
      <a:pPr>
        <a:defRPr sz="1000" b="0" i="0" u="none" strike="noStrike" baseline="0">
          <a:solidFill>
            <a:srgbClr val="000000"/>
          </a:solidFill>
          <a:latin typeface="Times New Roman"/>
          <a:ea typeface="宋体"/>
          <a:cs typeface="Arial"/>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 (3)'!$B$1</c:f>
              <c:strCache>
                <c:ptCount val="1"/>
                <c:pt idx="0">
                  <c:v>2019年预算</c:v>
                </c:pt>
              </c:strCache>
            </c:strRef>
          </c:tx>
          <c:spPr>
            <a:solidFill>
              <a:srgbClr val="4472C4"/>
            </a:solidFill>
            <a:ln>
              <a:noFill/>
            </a:ln>
          </c:spPr>
          <c:cat>
            <c:strRef>
              <c:f>'Sheet1 (3)'!$A$2:$A$3</c:f>
              <c:strCache>
                <c:ptCount val="2"/>
                <c:pt idx="0">
                  <c:v>财政拨款收入</c:v>
                </c:pt>
                <c:pt idx="1">
                  <c:v>财政拨款支出</c:v>
                </c:pt>
              </c:strCache>
            </c:strRef>
          </c:cat>
          <c:val>
            <c:numRef>
              <c:f>'Sheet1 (3)'!$B$2:$B$3</c:f>
              <c:numCache>
                <c:formatCode>General</c:formatCode>
                <c:ptCount val="2"/>
                <c:pt idx="0">
                  <c:v>1572.61</c:v>
                </c:pt>
                <c:pt idx="1">
                  <c:v>1572.61</c:v>
                </c:pt>
              </c:numCache>
            </c:numRef>
          </c:val>
        </c:ser>
        <c:ser>
          <c:idx val="1"/>
          <c:order val="1"/>
          <c:tx>
            <c:strRef>
              <c:f>'Sheet1 (3)'!$C$1</c:f>
              <c:strCache>
                <c:ptCount val="1"/>
                <c:pt idx="0">
                  <c:v>2019年决算</c:v>
                </c:pt>
              </c:strCache>
            </c:strRef>
          </c:tx>
          <c:spPr>
            <a:solidFill>
              <a:srgbClr val="ED7D31"/>
            </a:solidFill>
            <a:ln>
              <a:noFill/>
            </a:ln>
          </c:spPr>
          <c:cat>
            <c:strRef>
              <c:f>'Sheet1 (3)'!$A$2:$A$3</c:f>
              <c:strCache>
                <c:ptCount val="2"/>
                <c:pt idx="0">
                  <c:v>财政拨款收入</c:v>
                </c:pt>
                <c:pt idx="1">
                  <c:v>财政拨款支出</c:v>
                </c:pt>
              </c:strCache>
            </c:strRef>
          </c:cat>
          <c:val>
            <c:numRef>
              <c:f>'Sheet1 (3)'!$C$2:$C$3</c:f>
              <c:numCache>
                <c:formatCode>General</c:formatCode>
                <c:ptCount val="2"/>
                <c:pt idx="0">
                  <c:v>2968.65</c:v>
                </c:pt>
                <c:pt idx="1">
                  <c:v>2968.65</c:v>
                </c:pt>
              </c:numCache>
            </c:numRef>
          </c:val>
        </c:ser>
        <c:axId val="132113536"/>
        <c:axId val="132115072"/>
      </c:barChart>
      <c:catAx>
        <c:axId val="132113536"/>
        <c:scaling>
          <c:orientation val="minMax"/>
        </c:scaling>
        <c:axPos val="b"/>
        <c:numFmt formatCode="General" sourceLinked="1"/>
        <c:maj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Ax val="132115072"/>
        <c:crosses val="autoZero"/>
        <c:auto val="1"/>
        <c:lblAlgn val="ctr"/>
        <c:lblOffset val="100"/>
      </c:catAx>
      <c:valAx>
        <c:axId val="132115072"/>
        <c:scaling>
          <c:orientation val="minMax"/>
        </c:scaling>
        <c:axPos val="l"/>
        <c:majorGridlines/>
        <c:numFmt formatCode="General" sourceLinked="1"/>
        <c:majorTickMark val="none"/>
        <c:tickLblPos val="nextTo"/>
        <c:txPr>
          <a:bodyPr/>
          <a:lstStyle/>
          <a:p>
            <a:pPr>
              <a:defRPr sz="1000" b="0" i="0" u="none" strike="noStrike" baseline="0">
                <a:solidFill>
                  <a:srgbClr val="000000"/>
                </a:solidFill>
                <a:latin typeface="Times New Roman"/>
                <a:ea typeface="宋体"/>
                <a:cs typeface="Arial"/>
              </a:defRPr>
            </a:pPr>
            <a:endParaRPr lang="zh-CN"/>
          </a:p>
        </c:txPr>
        <c:crossAx val="132113536"/>
        <c:crossesAt val="1"/>
        <c:crossBetween val="between"/>
      </c:valAx>
      <c:dTable>
        <c:showHorzBorder val="1"/>
        <c:showVertBorder val="1"/>
        <c:showOutline val="1"/>
        <c:showKeys val="1"/>
        <c:txPr>
          <a:bodyPr/>
          <a:lstStyle/>
          <a:p>
            <a:pPr rtl="0">
              <a:defRPr sz="1000" b="0" i="0" u="none" strike="noStrike" baseline="0">
                <a:solidFill>
                  <a:srgbClr val="000000"/>
                </a:solidFill>
                <a:latin typeface="Times New Roman"/>
                <a:ea typeface="宋体"/>
                <a:cs typeface="Arial"/>
              </a:defRPr>
            </a:pPr>
            <a:endParaRPr lang="zh-CN"/>
          </a:p>
        </c:txPr>
      </c:dTable>
      <c:spPr>
        <a:solidFill>
          <a:srgbClr val="FFFFFF"/>
        </a:solidFill>
      </c:spPr>
    </c:plotArea>
    <c:plotVisOnly val="1"/>
    <c:dispBlanksAs val="gap"/>
  </c:chart>
  <c:spPr>
    <a:ln>
      <a:noFill/>
    </a:ln>
  </c:spPr>
  <c:txPr>
    <a:bodyPr/>
    <a:lstStyle/>
    <a:p>
      <a:pPr>
        <a:defRPr sz="1000" b="0" i="0" u="none" strike="noStrike" baseline="0">
          <a:solidFill>
            <a:srgbClr val="000000"/>
          </a:solidFill>
          <a:latin typeface="Times New Roman"/>
          <a:ea typeface="宋体"/>
          <a:cs typeface="Arial"/>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 (4)'!$B$1</c:f>
              <c:strCache>
                <c:ptCount val="1"/>
                <c:pt idx="0">
                  <c:v>财政拨款支出</c:v>
                </c:pt>
              </c:strCache>
            </c:strRef>
          </c:tx>
          <c:spPr>
            <a:ln>
              <a:noFill/>
            </a:ln>
          </c:spPr>
          <c:dPt>
            <c:idx val="0"/>
            <c:spPr>
              <a:solidFill>
                <a:srgbClr val="4572A7"/>
              </a:solidFill>
            </c:spPr>
          </c:dPt>
          <c:dPt>
            <c:idx val="1"/>
            <c:spPr>
              <a:solidFill>
                <a:srgbClr val="AA4643"/>
              </a:solidFill>
            </c:spPr>
          </c:dPt>
          <c:dPt>
            <c:idx val="2"/>
            <c:spPr>
              <a:solidFill>
                <a:srgbClr val="89A54E"/>
              </a:solidFill>
            </c:spPr>
          </c:dPt>
          <c:dPt>
            <c:idx val="3"/>
            <c:spPr>
              <a:solidFill>
                <a:srgbClr val="71588F"/>
              </a:solidFill>
            </c:spPr>
          </c:dPt>
          <c:dPt>
            <c:idx val="4"/>
            <c:spPr>
              <a:solidFill>
                <a:srgbClr val="4198AF"/>
              </a:solidFill>
            </c:spPr>
          </c:dPt>
          <c:dPt>
            <c:idx val="5"/>
            <c:spPr>
              <a:solidFill>
                <a:srgbClr val="DB843D"/>
              </a:solidFill>
            </c:spPr>
          </c:dPt>
          <c:dPt>
            <c:idx val="6"/>
            <c:spPr>
              <a:solidFill>
                <a:srgbClr val="93A9CF"/>
              </a:solidFill>
            </c:spPr>
          </c:dPt>
          <c:dPt>
            <c:idx val="7"/>
            <c:spPr>
              <a:solidFill>
                <a:srgbClr val="D19392"/>
              </a:solidFill>
            </c:spPr>
          </c:dPt>
          <c:dPt>
            <c:idx val="8"/>
            <c:spPr>
              <a:solidFill>
                <a:srgbClr val="B9CD96"/>
              </a:solidFill>
            </c:spPr>
          </c:dPt>
          <c:dLbls>
            <c:dLbl>
              <c:idx val="1"/>
              <c:layout>
                <c:manualLayout>
                  <c:x val="5.0043825000000007E-2"/>
                  <c:y val="-4.1957570000000007E-2"/>
                </c:manualLayout>
              </c:layout>
              <c:showPercent val="1"/>
            </c:dLbl>
            <c:dLbl>
              <c:idx val="2"/>
              <c:layout>
                <c:manualLayout>
                  <c:x val="5.3833760000000022E-2"/>
                  <c:y val="1.8769043000000005E-3"/>
                </c:manualLayout>
              </c:layout>
              <c:showPercent val="1"/>
            </c:dLbl>
            <c:dLbl>
              <c:idx val="3"/>
              <c:layout>
                <c:manualLayout>
                  <c:x val="-1.6562765000000007E-2"/>
                  <c:y val="-2.8263000000000012E-3"/>
                </c:manualLayout>
              </c:layout>
              <c:showPercent val="1"/>
            </c:dLbl>
            <c:dLbl>
              <c:idx val="4"/>
              <c:layout>
                <c:manualLayout>
                  <c:x val="-8.5239310000000026E-2"/>
                  <c:y val="-3.557147000000001E-3"/>
                </c:manualLayout>
              </c:layout>
              <c:showPercent val="1"/>
            </c:dLbl>
            <c:dLbl>
              <c:idx val="5"/>
              <c:layout>
                <c:manualLayout>
                  <c:x val="-9.0081670000000016E-2"/>
                  <c:y val="-6.0409470000000007E-2"/>
                </c:manualLayout>
              </c:layout>
              <c:showPercent val="1"/>
            </c:dLbl>
            <c:dLbl>
              <c:idx val="7"/>
              <c:layout>
                <c:manualLayout>
                  <c:x val="1.2764654000000004E-2"/>
                  <c:y val="-2.6983190000000015E-2"/>
                </c:manualLayout>
              </c:layout>
              <c:showPercent val="1"/>
            </c:dLbl>
            <c:numFmt formatCode="0.00%" sourceLinked="0"/>
            <c:spPr>
              <a:noFill/>
              <a:ln>
                <a:noFill/>
              </a:ln>
            </c:spPr>
            <c:txPr>
              <a:bodyPr vert="horz"/>
              <a:lstStyle/>
              <a:p>
                <a:pPr>
                  <a:defRPr sz="1000" b="0" i="0" u="none" strike="noStrike" baseline="0">
                    <a:solidFill>
                      <a:srgbClr val="000000"/>
                    </a:solidFill>
                    <a:latin typeface="Times New Roman"/>
                    <a:ea typeface="宋体"/>
                    <a:cs typeface="Arial"/>
                  </a:defRPr>
                </a:pPr>
                <a:endParaRPr lang="zh-CN"/>
              </a:p>
            </c:txPr>
            <c:showPercent val="1"/>
            <c:showLeaderLines val="1"/>
          </c:dLbls>
          <c:cat>
            <c:strRef>
              <c:f>'Sheet1 (4)'!$A$2:$A$10</c:f>
              <c:strCache>
                <c:ptCount val="9"/>
                <c:pt idx="0">
                  <c:v>一般公共服务（类）</c:v>
                </c:pt>
                <c:pt idx="1">
                  <c:v>文化旅游体育与传媒（类）</c:v>
                </c:pt>
                <c:pt idx="2">
                  <c:v>社会保障和就业（类）</c:v>
                </c:pt>
                <c:pt idx="3">
                  <c:v>卫生健康（类）</c:v>
                </c:pt>
                <c:pt idx="4">
                  <c:v>节能环保（类）</c:v>
                </c:pt>
                <c:pt idx="5">
                  <c:v>城乡社区（类）</c:v>
                </c:pt>
                <c:pt idx="6">
                  <c:v>农林水（类）</c:v>
                </c:pt>
                <c:pt idx="7">
                  <c:v>灾害防治及应急管理（类）</c:v>
                </c:pt>
                <c:pt idx="8">
                  <c:v>其他（类）</c:v>
                </c:pt>
              </c:strCache>
            </c:strRef>
          </c:cat>
          <c:val>
            <c:numRef>
              <c:f>'Sheet1 (4)'!$B$2:$B$10</c:f>
              <c:numCache>
                <c:formatCode>0.00%</c:formatCode>
                <c:ptCount val="9"/>
                <c:pt idx="0">
                  <c:v>0.44210000000000005</c:v>
                </c:pt>
                <c:pt idx="1">
                  <c:v>3.5200000000000002E-2</c:v>
                </c:pt>
                <c:pt idx="2">
                  <c:v>3.100000000000001E-2</c:v>
                </c:pt>
                <c:pt idx="3">
                  <c:v>7.700000000000002E-3</c:v>
                </c:pt>
                <c:pt idx="4">
                  <c:v>0.1401</c:v>
                </c:pt>
                <c:pt idx="5">
                  <c:v>0.17820000000000005</c:v>
                </c:pt>
                <c:pt idx="6">
                  <c:v>0.15420000000000006</c:v>
                </c:pt>
                <c:pt idx="7">
                  <c:v>3.4000000000000015E-3</c:v>
                </c:pt>
                <c:pt idx="8">
                  <c:v>7.6000000000000017E-3</c:v>
                </c:pt>
              </c:numCache>
            </c:numRef>
          </c:val>
        </c:ser>
        <c:firstSliceAng val="0"/>
      </c:pieChart>
      <c:spPr>
        <a:noFill/>
      </c:spPr>
    </c:plotArea>
    <c:legend>
      <c:legendPos val="t"/>
      <c:spPr>
        <a:noFill/>
        <a:ln>
          <a:noFill/>
        </a:ln>
      </c:spPr>
      <c:txPr>
        <a:bodyPr/>
        <a:lstStyle/>
        <a:p>
          <a:pPr>
            <a:defRPr sz="1000" b="0" i="0" u="none" strike="noStrike" baseline="0">
              <a:solidFill>
                <a:srgbClr val="000000"/>
              </a:solidFill>
              <a:latin typeface="Times New Roman"/>
              <a:ea typeface="宋体"/>
              <a:cs typeface="Arial"/>
            </a:defRPr>
          </a:pPr>
          <a:endParaRPr lang="zh-CN"/>
        </a:p>
      </c:txPr>
    </c:legend>
    <c:plotVisOnly val="1"/>
    <c:dispBlanksAs val="zero"/>
  </c:chart>
  <c:spPr>
    <a:ln>
      <a:noFill/>
    </a:ln>
  </c:spPr>
  <c:txPr>
    <a:bodyPr/>
    <a:lstStyle/>
    <a:p>
      <a:pPr>
        <a:defRPr sz="1000" b="0" i="0" u="none" strike="noStrike" baseline="0">
          <a:solidFill>
            <a:srgbClr val="000000"/>
          </a:solidFill>
          <a:latin typeface="Times New Roman"/>
          <a:ea typeface="宋体"/>
          <a:cs typeface="Arial"/>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28</Pages>
  <Words>1476</Words>
  <Characters>8415</Characters>
  <Application>Microsoft Office Word</Application>
  <DocSecurity>0</DocSecurity>
  <Lines>70</Lines>
  <Paragraphs>19</Paragraphs>
  <ScaleCrop>false</ScaleCrop>
  <Company>Microsoft</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56</cp:revision>
  <cp:lastPrinted>2020-07-30T02:37:00Z</cp:lastPrinted>
  <dcterms:created xsi:type="dcterms:W3CDTF">2020-07-29T09:42:00Z</dcterms:created>
  <dcterms:modified xsi:type="dcterms:W3CDTF">2020-11-24T07:48:00Z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